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bookmarkStart w:id="1" w:name="_Toc428963342" w:displacedByCustomXml="next"/>
    <w:bookmarkStart w:id="2" w:name="_Toc428963968" w:displacedByCustomXml="next"/>
    <w:bookmarkStart w:id="3" w:name="_Toc428966355" w:displacedByCustomXml="next"/>
    <w:bookmarkStart w:id="4" w:name="_Toc429048067" w:displacedByCustomXml="next"/>
    <w:sdt>
      <w:sdtPr>
        <w:rPr>
          <w:rFonts w:ascii="Times New Roman" w:hAnsi="Times New Roman" w:cs="Times New Roman"/>
        </w:rPr>
        <w:id w:val="-1724287493"/>
        <w:docPartObj>
          <w:docPartGallery w:val="Cover Pages"/>
          <w:docPartUnique/>
        </w:docPartObj>
      </w:sdtPr>
      <w:sdtEndPr/>
      <w:sdtContent>
        <w:p w:rsidR="00F4599F" w:rsidRPr="004E7F7B" w:rsidRDefault="002B3789" w:rsidP="004E7F7B">
          <w:pPr>
            <w:spacing w:line="240" w:lineRule="auto"/>
            <w:rPr>
              <w:rFonts w:ascii="Times New Roman" w:hAnsi="Times New Roman" w:cs="Times New Roman"/>
            </w:rPr>
          </w:pPr>
          <w:r w:rsidRPr="004E7F7B">
            <w:rPr>
              <w:rFonts w:ascii="Times New Roman" w:hAnsi="Times New Roman" w:cs="Times New Roman"/>
              <w:lang w:val="tr-TR" w:eastAsia="tr-TR"/>
            </w:rPr>
            <mc:AlternateContent>
              <mc:Choice Requires="wps">
                <w:drawing>
                  <wp:anchor distT="0" distB="0" distL="114300" distR="114300" simplePos="0" relativeHeight="251659264" behindDoc="1" locked="0" layoutInCell="1" allowOverlap="1">
                    <wp:simplePos x="0" y="0"/>
                    <wp:positionH relativeFrom="margin">
                      <wp:align>center</wp:align>
                    </wp:positionH>
                    <wp:positionV relativeFrom="paragraph">
                      <wp:posOffset>-433070</wp:posOffset>
                    </wp:positionV>
                    <wp:extent cx="6852920" cy="7212965"/>
                    <wp:effectExtent l="0" t="0" r="0" b="0"/>
                    <wp:wrapNone/>
                    <wp:docPr id="122" name="Metin Kutusu 122"/>
                    <wp:cNvGraphicFramePr/>
                    <a:graphic xmlns:a="http://schemas.openxmlformats.org/drawingml/2006/main">
                      <a:graphicData uri="http://schemas.microsoft.com/office/word/2010/wordprocessingShape">
                        <wps:wsp>
                          <wps:cNvSpPr txBox="1"/>
                          <wps:spPr>
                            <a:xfrm>
                              <a:off x="0" y="0"/>
                              <a:ext cx="6852920" cy="7212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sz w:val="96"/>
                                    <w:szCs w:val="96"/>
                                  </w:rPr>
                                  <w:alias w:val="Başlık"/>
                                  <w:tag w:val=""/>
                                  <w:id w:val="-1898973169"/>
                                  <w:dataBinding w:prefixMappings="xmlns:ns0='http://purl.org/dc/elements/1.1/' xmlns:ns1='http://schemas.openxmlformats.org/package/2006/metadata/core-properties' " w:xpath="/ns1:coreProperties[1]/ns0:title[1]" w:storeItemID="{6C3C8BC8-F283-45AE-878A-BAB7291924A1}"/>
                                  <w:text/>
                                </w:sdtPr>
                                <w:sdtEndPr/>
                                <w:sdtContent>
                                  <w:p w:rsidR="00C51FE5" w:rsidRPr="00F4599F" w:rsidRDefault="00C51FE5" w:rsidP="002B3789">
                                    <w:pPr>
                                      <w:pStyle w:val="AralkYok"/>
                                      <w:pBdr>
                                        <w:bottom w:val="single" w:sz="6" w:space="4" w:color="7F7F7F" w:themeColor="text1" w:themeTint="80"/>
                                      </w:pBdr>
                                      <w:jc w:val="center"/>
                                      <w:rPr>
                                        <w:rFonts w:eastAsiaTheme="majorEastAsia" w:cstheme="majorBidi"/>
                                        <w:sz w:val="96"/>
                                        <w:szCs w:val="96"/>
                                      </w:rPr>
                                    </w:pPr>
                                    <w:r w:rsidRPr="00F4599F">
                                      <w:rPr>
                                        <w:rFonts w:eastAsiaTheme="majorEastAsia" w:cstheme="majorBidi"/>
                                        <w:sz w:val="96"/>
                                        <w:szCs w:val="96"/>
                                      </w:rPr>
                                      <w:t>ENERGY MARKET REGULATORY AUTHORITY</w:t>
                                    </w:r>
                                  </w:p>
                                </w:sdtContent>
                              </w:sdt>
                              <w:sdt>
                                <w:sdtPr>
                                  <w:rPr>
                                    <w:caps/>
                                    <w:sz w:val="96"/>
                                    <w:szCs w:val="96"/>
                                  </w:rPr>
                                  <w:alias w:val="Altyazı"/>
                                  <w:tag w:val=""/>
                                  <w:id w:val="-847406244"/>
                                  <w:dataBinding w:prefixMappings="xmlns:ns0='http://purl.org/dc/elements/1.1/' xmlns:ns1='http://schemas.openxmlformats.org/package/2006/metadata/core-properties' " w:xpath="/ns1:coreProperties[1]/ns0:subject[1]" w:storeItemID="{6C3C8BC8-F283-45AE-878A-BAB7291924A1}"/>
                                  <w:text/>
                                </w:sdtPr>
                                <w:sdtEndPr/>
                                <w:sdtContent>
                                  <w:p w:rsidR="00C51FE5" w:rsidRPr="00F4599F" w:rsidRDefault="00C51FE5" w:rsidP="002B3789">
                                    <w:pPr>
                                      <w:pStyle w:val="AralkYok"/>
                                      <w:spacing w:before="240"/>
                                      <w:jc w:val="center"/>
                                      <w:rPr>
                                        <w:caps/>
                                        <w:sz w:val="96"/>
                                        <w:szCs w:val="96"/>
                                      </w:rPr>
                                    </w:pPr>
                                    <w:r>
                                      <w:rPr>
                                        <w:caps/>
                                        <w:sz w:val="96"/>
                                        <w:szCs w:val="96"/>
                                      </w:rPr>
                                      <w:t>2019</w:t>
                                    </w:r>
                                    <w:r w:rsidRPr="00F4599F">
                                      <w:rPr>
                                        <w:caps/>
                                        <w:sz w:val="96"/>
                                        <w:szCs w:val="96"/>
                                      </w:rPr>
                                      <w:t xml:space="preserve"> ACTIVITY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Metin Kutusu 122" o:spid="_x0000_s1026" type="#_x0000_t202" style="position:absolute;left:0;text-align:left;margin-left:0;margin-top:-34.1pt;width:539.6pt;height:567.95pt;z-index:-2516572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bW/gQIAAHEFAAAOAAAAZHJzL2Uyb0RvYy54bWysVEtv1DAQviPxHyzfaXYD28eq2WppVYQo&#10;bcUW9ex17G6E4zH2ZJPl1zN2ku0DLkVcEs/MN+/H6VlXG7ZVPlRgCz49mHCmrISysg8F/353+e6Y&#10;s4DClsKAVQXfqcDPFm/fnLZurnLYgCmVZ2TEhnnrCr5BdPMsC3KjahEOwClLQg2+Fkikf8hKL1qy&#10;Xpssn0wOsxZ86TxIFQJxL3ohXyT7WiuJN1oHhcwUnGLD9PXpu47fbHEq5g9euE0lhzDEP0RRi8qS&#10;072pC4GCNb76w1RdSQ8BNB5IqDPQupIq5UDZTCcvsllthFMpFypOcPsyhf9nVl5vbz2rSupdnnNm&#10;RU1N+qqwsuxLg01oWORTlVoX5gReOYJj9xE60hj5gZgx+U77Ov4pLUZyqvduX2PVIZPEPDye5Sc5&#10;iSTJjvJpfnI4i3ayR3XnA35SULP4KLinJqbaiu1VwB46QqI3C5eVMamRxrKWXLyfTZLCXkLGjY1Y&#10;lUZiMBNT6kNPL9wZFTHGflOaSpIyiIw0jOrceLYVNEZCSmUxJZ/sEjqiNAXxGsUB/xjVa5T7PEbP&#10;YHGvXFcWfMr+RdjljzFk3eOp5k/yjk/s1t3Q6jWUO+q0h35jgpOXFXXjSgS8FZ5WhDpIa4839NEG&#10;qOowvDjbgP/1N37E0+SSlLOWVq7g4WcjvOLMfLY00x9mR7TStKTPKP+MWj+jbFOfA7VkSkfGyfQk&#10;fY9mfGoP9T1diGX0TCJhJfkvuEQ/EufYnwO6MVItlwlGu+kEXtmVk9F47FGcuLvuXng3jCXSRF/D&#10;uKJi/mI6e2zUtLBsEHSVRjeWua/tUH7a6zT8ww2Kh+MpnVCPl3LxGwAA//8DAFBLAwQUAAYACAAA&#10;ACEA9Kchtt8AAAAKAQAADwAAAGRycy9kb3ducmV2LnhtbEyPwU7DMBBE70j9B2srcWudVigpIU5V&#10;ofYEF5oKODrxEkfE6yh2msDX45zKbVYzmn2T7SfTsiv2rrEkYLOOgCFVVjVUC7gUp9UOmPOSlGwt&#10;oYAfdLDPF3eZTJUd6Q2vZ1+zUEIulQK0913Kuas0GunWtkMK3pftjfTh7GuuejmGctPybRTF3MiG&#10;wgctO3zWWH2fByPg9DGVVPy+XPTn8fgwDmVF78WrEPfL6fAEzOPkb2GY8QM65IGptAMpx1oBYYgX&#10;sIp3W2CzHSWPQZWzipMEeJ7x/xPyPwAAAP//AwBQSwECLQAUAAYACAAAACEAtoM4kv4AAADhAQAA&#10;EwAAAAAAAAAAAAAAAAAAAAAAW0NvbnRlbnRfVHlwZXNdLnhtbFBLAQItABQABgAIAAAAIQA4/SH/&#10;1gAAAJQBAAALAAAAAAAAAAAAAAAAAC8BAABfcmVscy8ucmVsc1BLAQItABQABgAIAAAAIQDCMbW/&#10;gQIAAHEFAAAOAAAAAAAAAAAAAAAAAC4CAABkcnMvZTJvRG9jLnhtbFBLAQItABQABgAIAAAAIQD0&#10;pyG23wAAAAoBAAAPAAAAAAAAAAAAAAAAANsEAABkcnMvZG93bnJldi54bWxQSwUGAAAAAAQABADz&#10;AAAA5wUAAAAA&#10;" filled="f" stroked="f" strokeweight=".5pt">
                    <v:textbox inset="36pt,36pt,36pt,36pt">
                      <w:txbxContent>
                        <w:sdt>
                          <w:sdtPr>
                            <w:rPr>
                              <w:rFonts w:eastAsiaTheme="majorEastAsia" w:cstheme="majorBidi"/>
                              <w:sz w:val="96"/>
                              <w:szCs w:val="96"/>
                            </w:rPr>
                            <w:alias w:val="Başlık"/>
                            <w:tag w:val=""/>
                            <w:id w:val="-1898973169"/>
                            <w:dataBinding w:prefixMappings="xmlns:ns0='http://purl.org/dc/elements/1.1/' xmlns:ns1='http://schemas.openxmlformats.org/package/2006/metadata/core-properties' " w:xpath="/ns1:coreProperties[1]/ns0:title[1]" w:storeItemID="{6C3C8BC8-F283-45AE-878A-BAB7291924A1}"/>
                            <w:text/>
                          </w:sdtPr>
                          <w:sdtContent>
                            <w:p w:rsidR="00C51FE5" w:rsidRPr="00F4599F" w:rsidRDefault="00C51FE5" w:rsidP="002B3789">
                              <w:pPr>
                                <w:pStyle w:val="AralkYok"/>
                                <w:pBdr>
                                  <w:bottom w:val="single" w:sz="6" w:space="4" w:color="7F7F7F" w:themeColor="text1" w:themeTint="80"/>
                                </w:pBdr>
                                <w:jc w:val="center"/>
                                <w:rPr>
                                  <w:rFonts w:eastAsiaTheme="majorEastAsia" w:cstheme="majorBidi"/>
                                  <w:sz w:val="96"/>
                                  <w:szCs w:val="96"/>
                                </w:rPr>
                              </w:pPr>
                              <w:r w:rsidRPr="00F4599F">
                                <w:rPr>
                                  <w:rFonts w:eastAsiaTheme="majorEastAsia" w:cstheme="majorBidi"/>
                                  <w:sz w:val="96"/>
                                  <w:szCs w:val="96"/>
                                </w:rPr>
                                <w:t>ENERGY MARKET REGULATORY AUTHORITY</w:t>
                              </w:r>
                            </w:p>
                          </w:sdtContent>
                        </w:sdt>
                        <w:sdt>
                          <w:sdtPr>
                            <w:rPr>
                              <w:caps/>
                              <w:sz w:val="96"/>
                              <w:szCs w:val="96"/>
                            </w:rPr>
                            <w:alias w:val="Altyazı"/>
                            <w:tag w:val=""/>
                            <w:id w:val="-847406244"/>
                            <w:dataBinding w:prefixMappings="xmlns:ns0='http://purl.org/dc/elements/1.1/' xmlns:ns1='http://schemas.openxmlformats.org/package/2006/metadata/core-properties' " w:xpath="/ns1:coreProperties[1]/ns0:subject[1]" w:storeItemID="{6C3C8BC8-F283-45AE-878A-BAB7291924A1}"/>
                            <w:text/>
                          </w:sdtPr>
                          <w:sdtContent>
                            <w:p w:rsidR="00C51FE5" w:rsidRPr="00F4599F" w:rsidRDefault="00C51FE5" w:rsidP="002B3789">
                              <w:pPr>
                                <w:pStyle w:val="AralkYok"/>
                                <w:spacing w:before="240"/>
                                <w:jc w:val="center"/>
                                <w:rPr>
                                  <w:caps/>
                                  <w:sz w:val="96"/>
                                  <w:szCs w:val="96"/>
                                </w:rPr>
                              </w:pPr>
                              <w:r>
                                <w:rPr>
                                  <w:caps/>
                                  <w:sz w:val="96"/>
                                  <w:szCs w:val="96"/>
                                </w:rPr>
                                <w:t>2019</w:t>
                              </w:r>
                              <w:r w:rsidRPr="00F4599F">
                                <w:rPr>
                                  <w:caps/>
                                  <w:sz w:val="96"/>
                                  <w:szCs w:val="96"/>
                                </w:rPr>
                                <w:t xml:space="preserve"> ACTIVITY REPORT</w:t>
                              </w:r>
                            </w:p>
                          </w:sdtContent>
                        </w:sdt>
                      </w:txbxContent>
                    </v:textbox>
                    <w10:wrap anchorx="margin"/>
                  </v:shape>
                </w:pict>
              </mc:Fallback>
            </mc:AlternateContent>
          </w:r>
        </w:p>
        <w:p w:rsidR="00F4599F" w:rsidRPr="004E7F7B" w:rsidRDefault="00F4599F" w:rsidP="004E7F7B">
          <w:pPr>
            <w:spacing w:line="240" w:lineRule="auto"/>
            <w:rPr>
              <w:rFonts w:ascii="Times New Roman" w:hAnsi="Times New Roman" w:cs="Times New Roman"/>
            </w:rPr>
          </w:pPr>
          <w:r w:rsidRPr="004E7F7B">
            <w:rPr>
              <w:rFonts w:ascii="Times New Roman" w:hAnsi="Times New Roman" w:cs="Times New Roman"/>
            </w:rPr>
            <w:br w:type="page"/>
          </w:r>
        </w:p>
      </w:sdtContent>
    </w:sdt>
    <w:sdt>
      <w:sdtPr>
        <w:rPr>
          <w:rFonts w:ascii="Times New Roman" w:eastAsiaTheme="minorHAnsi" w:hAnsi="Times New Roman" w:cs="Times New Roman"/>
          <w:b w:val="0"/>
          <w:sz w:val="22"/>
          <w:szCs w:val="22"/>
          <w:lang w:val="tr-TR"/>
        </w:rPr>
        <w:id w:val="-2108876794"/>
        <w:docPartObj>
          <w:docPartGallery w:val="Table of Contents"/>
          <w:docPartUnique/>
        </w:docPartObj>
      </w:sdtPr>
      <w:sdtEndPr>
        <w:rPr>
          <w:bCs/>
          <w:lang w:val="en-US"/>
        </w:rPr>
      </w:sdtEndPr>
      <w:sdtContent>
        <w:p w:rsidR="00D03F3E" w:rsidRPr="004E7F7B" w:rsidRDefault="00D03F3E" w:rsidP="004E7F7B">
          <w:pPr>
            <w:pStyle w:val="TBal"/>
            <w:rPr>
              <w:rFonts w:ascii="Times New Roman" w:hAnsi="Times New Roman" w:cs="Times New Roman"/>
              <w:sz w:val="22"/>
              <w:szCs w:val="22"/>
            </w:rPr>
          </w:pPr>
          <w:r w:rsidRPr="004E7F7B">
            <w:rPr>
              <w:rFonts w:ascii="Times New Roman" w:hAnsi="Times New Roman" w:cs="Times New Roman"/>
              <w:sz w:val="22"/>
              <w:szCs w:val="22"/>
            </w:rPr>
            <w:t>TABLE OF CONTENTS</w:t>
          </w:r>
        </w:p>
        <w:p w:rsidR="00D816E6" w:rsidRPr="004E7F7B" w:rsidRDefault="00D816E6" w:rsidP="004E7F7B">
          <w:pPr>
            <w:pStyle w:val="TBal"/>
            <w:rPr>
              <w:rFonts w:ascii="Times New Roman" w:hAnsi="Times New Roman" w:cs="Times New Roman"/>
              <w:sz w:val="22"/>
              <w:szCs w:val="22"/>
            </w:rPr>
          </w:pPr>
        </w:p>
        <w:p w:rsidR="00C616B9" w:rsidRDefault="00D816E6">
          <w:pPr>
            <w:pStyle w:val="T1"/>
            <w:tabs>
              <w:tab w:val="left" w:pos="440"/>
              <w:tab w:val="right" w:leader="dot" w:pos="9396"/>
            </w:tabs>
            <w:rPr>
              <w:rFonts w:eastAsiaTheme="minorEastAsia"/>
              <w:lang w:val="tr-TR" w:eastAsia="tr-TR"/>
            </w:rPr>
          </w:pPr>
          <w:r w:rsidRPr="004E7F7B">
            <w:rPr>
              <w:rFonts w:ascii="Times New Roman" w:hAnsi="Times New Roman" w:cs="Times New Roman"/>
            </w:rPr>
            <w:fldChar w:fldCharType="begin"/>
          </w:r>
          <w:r w:rsidRPr="004E7F7B">
            <w:rPr>
              <w:rFonts w:ascii="Times New Roman" w:hAnsi="Times New Roman" w:cs="Times New Roman"/>
            </w:rPr>
            <w:instrText xml:space="preserve"> TOC \o "1-3" \h \z \u </w:instrText>
          </w:r>
          <w:r w:rsidRPr="004E7F7B">
            <w:rPr>
              <w:rFonts w:ascii="Times New Roman" w:hAnsi="Times New Roman" w:cs="Times New Roman"/>
            </w:rPr>
            <w:fldChar w:fldCharType="separate"/>
          </w:r>
          <w:hyperlink w:anchor="_Toc48817812" w:history="1">
            <w:r w:rsidR="00C616B9" w:rsidRPr="00CE52B5">
              <w:rPr>
                <w:rStyle w:val="Kpr"/>
                <w:rFonts w:ascii="Times New Roman" w:hAnsi="Times New Roman" w:cs="Times New Roman"/>
              </w:rPr>
              <w:t>1.</w:t>
            </w:r>
            <w:r w:rsidR="00C616B9">
              <w:rPr>
                <w:rFonts w:eastAsiaTheme="minorEastAsia"/>
                <w:lang w:val="tr-TR" w:eastAsia="tr-TR"/>
              </w:rPr>
              <w:tab/>
            </w:r>
            <w:r w:rsidR="00C616B9" w:rsidRPr="00CE52B5">
              <w:rPr>
                <w:rStyle w:val="Kpr"/>
                <w:rFonts w:ascii="Times New Roman" w:hAnsi="Times New Roman" w:cs="Times New Roman"/>
              </w:rPr>
              <w:t>ENERGY MARKET REGULATORY AUTHORITY</w:t>
            </w:r>
            <w:r w:rsidR="00C616B9">
              <w:rPr>
                <w:webHidden/>
              </w:rPr>
              <w:tab/>
            </w:r>
            <w:r w:rsidR="00C616B9">
              <w:rPr>
                <w:webHidden/>
              </w:rPr>
              <w:fldChar w:fldCharType="begin"/>
            </w:r>
            <w:r w:rsidR="00C616B9">
              <w:rPr>
                <w:webHidden/>
              </w:rPr>
              <w:instrText xml:space="preserve"> PAGEREF _Toc48817812 \h </w:instrText>
            </w:r>
            <w:r w:rsidR="00C616B9">
              <w:rPr>
                <w:webHidden/>
              </w:rPr>
            </w:r>
            <w:r w:rsidR="00C616B9">
              <w:rPr>
                <w:webHidden/>
              </w:rPr>
              <w:fldChar w:fldCharType="separate"/>
            </w:r>
            <w:r w:rsidR="00C616B9">
              <w:rPr>
                <w:webHidden/>
              </w:rPr>
              <w:t>1</w:t>
            </w:r>
            <w:r w:rsidR="00C616B9">
              <w:rPr>
                <w:webHidden/>
              </w:rPr>
              <w:fldChar w:fldCharType="end"/>
            </w:r>
          </w:hyperlink>
        </w:p>
        <w:p w:rsidR="00C616B9" w:rsidRDefault="00736E4B">
          <w:pPr>
            <w:pStyle w:val="T2"/>
            <w:tabs>
              <w:tab w:val="left" w:pos="880"/>
              <w:tab w:val="right" w:leader="dot" w:pos="9396"/>
            </w:tabs>
            <w:rPr>
              <w:rFonts w:eastAsiaTheme="minorEastAsia"/>
              <w:lang w:val="tr-TR" w:eastAsia="tr-TR"/>
            </w:rPr>
          </w:pPr>
          <w:hyperlink w:anchor="_Toc48817813" w:history="1">
            <w:r w:rsidR="00C616B9" w:rsidRPr="00CE52B5">
              <w:rPr>
                <w:rStyle w:val="Kpr"/>
                <w:rFonts w:ascii="Times New Roman" w:hAnsi="Times New Roman" w:cs="Times New Roman"/>
              </w:rPr>
              <w:t>1.1.</w:t>
            </w:r>
            <w:r w:rsidR="00C616B9">
              <w:rPr>
                <w:rFonts w:eastAsiaTheme="minorEastAsia"/>
                <w:lang w:val="tr-TR" w:eastAsia="tr-TR"/>
              </w:rPr>
              <w:tab/>
            </w:r>
            <w:r w:rsidR="00C616B9" w:rsidRPr="00CE52B5">
              <w:rPr>
                <w:rStyle w:val="Kpr"/>
                <w:rFonts w:ascii="Times New Roman" w:hAnsi="Times New Roman" w:cs="Times New Roman"/>
              </w:rPr>
              <w:t>Duties, Authorities and Responsibilities of the Authority</w:t>
            </w:r>
            <w:r w:rsidR="00C616B9">
              <w:rPr>
                <w:webHidden/>
              </w:rPr>
              <w:tab/>
            </w:r>
            <w:r w:rsidR="00C616B9">
              <w:rPr>
                <w:webHidden/>
              </w:rPr>
              <w:fldChar w:fldCharType="begin"/>
            </w:r>
            <w:r w:rsidR="00C616B9">
              <w:rPr>
                <w:webHidden/>
              </w:rPr>
              <w:instrText xml:space="preserve"> PAGEREF _Toc48817813 \h </w:instrText>
            </w:r>
            <w:r w:rsidR="00C616B9">
              <w:rPr>
                <w:webHidden/>
              </w:rPr>
            </w:r>
            <w:r w:rsidR="00C616B9">
              <w:rPr>
                <w:webHidden/>
              </w:rPr>
              <w:fldChar w:fldCharType="separate"/>
            </w:r>
            <w:r w:rsidR="00C616B9">
              <w:rPr>
                <w:webHidden/>
              </w:rPr>
              <w:t>1</w:t>
            </w:r>
            <w:r w:rsidR="00C616B9">
              <w:rPr>
                <w:webHidden/>
              </w:rPr>
              <w:fldChar w:fldCharType="end"/>
            </w:r>
          </w:hyperlink>
        </w:p>
        <w:p w:rsidR="00C616B9" w:rsidRDefault="00736E4B">
          <w:pPr>
            <w:pStyle w:val="T2"/>
            <w:tabs>
              <w:tab w:val="left" w:pos="880"/>
              <w:tab w:val="right" w:leader="dot" w:pos="9396"/>
            </w:tabs>
            <w:rPr>
              <w:rFonts w:eastAsiaTheme="minorEastAsia"/>
              <w:lang w:val="tr-TR" w:eastAsia="tr-TR"/>
            </w:rPr>
          </w:pPr>
          <w:hyperlink w:anchor="_Toc48817814" w:history="1">
            <w:r w:rsidR="00C616B9" w:rsidRPr="00CE52B5">
              <w:rPr>
                <w:rStyle w:val="Kpr"/>
                <w:rFonts w:ascii="Times New Roman" w:hAnsi="Times New Roman" w:cs="Times New Roman"/>
              </w:rPr>
              <w:t>1.2.</w:t>
            </w:r>
            <w:r w:rsidR="00C616B9">
              <w:rPr>
                <w:rFonts w:eastAsiaTheme="minorEastAsia"/>
                <w:lang w:val="tr-TR" w:eastAsia="tr-TR"/>
              </w:rPr>
              <w:tab/>
            </w:r>
            <w:r w:rsidR="00C616B9" w:rsidRPr="00CE52B5">
              <w:rPr>
                <w:rStyle w:val="Kpr"/>
                <w:rFonts w:ascii="Times New Roman" w:hAnsi="Times New Roman" w:cs="Times New Roman"/>
              </w:rPr>
              <w:t>Structure and Authority</w:t>
            </w:r>
            <w:r w:rsidR="00C616B9">
              <w:rPr>
                <w:webHidden/>
              </w:rPr>
              <w:tab/>
            </w:r>
            <w:r w:rsidR="00C616B9">
              <w:rPr>
                <w:webHidden/>
              </w:rPr>
              <w:fldChar w:fldCharType="begin"/>
            </w:r>
            <w:r w:rsidR="00C616B9">
              <w:rPr>
                <w:webHidden/>
              </w:rPr>
              <w:instrText xml:space="preserve"> PAGEREF _Toc48817814 \h </w:instrText>
            </w:r>
            <w:r w:rsidR="00C616B9">
              <w:rPr>
                <w:webHidden/>
              </w:rPr>
            </w:r>
            <w:r w:rsidR="00C616B9">
              <w:rPr>
                <w:webHidden/>
              </w:rPr>
              <w:fldChar w:fldCharType="separate"/>
            </w:r>
            <w:r w:rsidR="00C616B9">
              <w:rPr>
                <w:webHidden/>
              </w:rPr>
              <w:t>2</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15" w:history="1">
            <w:r w:rsidR="00C616B9" w:rsidRPr="00CE52B5">
              <w:rPr>
                <w:rStyle w:val="Kpr"/>
                <w:rFonts w:ascii="Times New Roman" w:hAnsi="Times New Roman" w:cs="Times New Roman"/>
              </w:rPr>
              <w:t>1.2.1.</w:t>
            </w:r>
            <w:r w:rsidR="00C616B9">
              <w:rPr>
                <w:rFonts w:eastAsiaTheme="minorEastAsia"/>
                <w:lang w:val="tr-TR" w:eastAsia="tr-TR"/>
              </w:rPr>
              <w:tab/>
            </w:r>
            <w:r w:rsidR="00C616B9" w:rsidRPr="00CE52B5">
              <w:rPr>
                <w:rStyle w:val="Kpr"/>
                <w:rFonts w:ascii="Times New Roman" w:hAnsi="Times New Roman" w:cs="Times New Roman"/>
              </w:rPr>
              <w:t>Energy Market Regulatory Board</w:t>
            </w:r>
            <w:r w:rsidR="00C616B9">
              <w:rPr>
                <w:webHidden/>
              </w:rPr>
              <w:tab/>
            </w:r>
            <w:r w:rsidR="00C616B9">
              <w:rPr>
                <w:webHidden/>
              </w:rPr>
              <w:fldChar w:fldCharType="begin"/>
            </w:r>
            <w:r w:rsidR="00C616B9">
              <w:rPr>
                <w:webHidden/>
              </w:rPr>
              <w:instrText xml:space="preserve"> PAGEREF _Toc48817815 \h </w:instrText>
            </w:r>
            <w:r w:rsidR="00C616B9">
              <w:rPr>
                <w:webHidden/>
              </w:rPr>
            </w:r>
            <w:r w:rsidR="00C616B9">
              <w:rPr>
                <w:webHidden/>
              </w:rPr>
              <w:fldChar w:fldCharType="separate"/>
            </w:r>
            <w:r w:rsidR="00C616B9">
              <w:rPr>
                <w:webHidden/>
              </w:rPr>
              <w:t>2</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16" w:history="1">
            <w:r w:rsidR="00C616B9" w:rsidRPr="00CE52B5">
              <w:rPr>
                <w:rStyle w:val="Kpr"/>
                <w:rFonts w:ascii="Times New Roman" w:hAnsi="Times New Roman" w:cs="Times New Roman"/>
              </w:rPr>
              <w:t>1.2.2.</w:t>
            </w:r>
            <w:r w:rsidR="00C616B9">
              <w:rPr>
                <w:rFonts w:eastAsiaTheme="minorEastAsia"/>
                <w:lang w:val="tr-TR" w:eastAsia="tr-TR"/>
              </w:rPr>
              <w:tab/>
            </w:r>
            <w:r w:rsidR="00C616B9" w:rsidRPr="00CE52B5">
              <w:rPr>
                <w:rStyle w:val="Kpr"/>
                <w:rFonts w:ascii="Times New Roman" w:hAnsi="Times New Roman" w:cs="Times New Roman"/>
              </w:rPr>
              <w:t>The Presidency</w:t>
            </w:r>
            <w:r w:rsidR="00C616B9">
              <w:rPr>
                <w:webHidden/>
              </w:rPr>
              <w:tab/>
            </w:r>
            <w:r w:rsidR="00C616B9">
              <w:rPr>
                <w:webHidden/>
              </w:rPr>
              <w:fldChar w:fldCharType="begin"/>
            </w:r>
            <w:r w:rsidR="00C616B9">
              <w:rPr>
                <w:webHidden/>
              </w:rPr>
              <w:instrText xml:space="preserve"> PAGEREF _Toc48817816 \h </w:instrText>
            </w:r>
            <w:r w:rsidR="00C616B9">
              <w:rPr>
                <w:webHidden/>
              </w:rPr>
            </w:r>
            <w:r w:rsidR="00C616B9">
              <w:rPr>
                <w:webHidden/>
              </w:rPr>
              <w:fldChar w:fldCharType="separate"/>
            </w:r>
            <w:r w:rsidR="00C616B9">
              <w:rPr>
                <w:webHidden/>
              </w:rPr>
              <w:t>5</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17" w:history="1">
            <w:r w:rsidR="00C616B9" w:rsidRPr="00CE52B5">
              <w:rPr>
                <w:rStyle w:val="Kpr"/>
                <w:rFonts w:ascii="Times New Roman" w:hAnsi="Times New Roman" w:cs="Times New Roman"/>
              </w:rPr>
              <w:t>1.2.3.</w:t>
            </w:r>
            <w:r w:rsidR="00C616B9">
              <w:rPr>
                <w:rFonts w:eastAsiaTheme="minorEastAsia"/>
                <w:lang w:val="tr-TR" w:eastAsia="tr-TR"/>
              </w:rPr>
              <w:tab/>
            </w:r>
            <w:r w:rsidR="00C616B9" w:rsidRPr="00CE52B5">
              <w:rPr>
                <w:rStyle w:val="Kpr"/>
                <w:rFonts w:ascii="Times New Roman" w:hAnsi="Times New Roman" w:cs="Times New Roman"/>
              </w:rPr>
              <w:t>Service Units</w:t>
            </w:r>
            <w:r w:rsidR="00C616B9">
              <w:rPr>
                <w:webHidden/>
              </w:rPr>
              <w:tab/>
            </w:r>
            <w:r w:rsidR="00C616B9">
              <w:rPr>
                <w:webHidden/>
              </w:rPr>
              <w:fldChar w:fldCharType="begin"/>
            </w:r>
            <w:r w:rsidR="00C616B9">
              <w:rPr>
                <w:webHidden/>
              </w:rPr>
              <w:instrText xml:space="preserve"> PAGEREF _Toc48817817 \h </w:instrText>
            </w:r>
            <w:r w:rsidR="00C616B9">
              <w:rPr>
                <w:webHidden/>
              </w:rPr>
            </w:r>
            <w:r w:rsidR="00C616B9">
              <w:rPr>
                <w:webHidden/>
              </w:rPr>
              <w:fldChar w:fldCharType="separate"/>
            </w:r>
            <w:r w:rsidR="00C616B9">
              <w:rPr>
                <w:webHidden/>
              </w:rPr>
              <w:t>6</w:t>
            </w:r>
            <w:r w:rsidR="00C616B9">
              <w:rPr>
                <w:webHidden/>
              </w:rPr>
              <w:fldChar w:fldCharType="end"/>
            </w:r>
          </w:hyperlink>
        </w:p>
        <w:p w:rsidR="00C616B9" w:rsidRDefault="00736E4B">
          <w:pPr>
            <w:pStyle w:val="T2"/>
            <w:tabs>
              <w:tab w:val="left" w:pos="880"/>
              <w:tab w:val="right" w:leader="dot" w:pos="9396"/>
            </w:tabs>
            <w:rPr>
              <w:rFonts w:eastAsiaTheme="minorEastAsia"/>
              <w:lang w:val="tr-TR" w:eastAsia="tr-TR"/>
            </w:rPr>
          </w:pPr>
          <w:hyperlink w:anchor="_Toc48817818" w:history="1">
            <w:r w:rsidR="00C616B9" w:rsidRPr="00CE52B5">
              <w:rPr>
                <w:rStyle w:val="Kpr"/>
                <w:rFonts w:ascii="Times New Roman" w:hAnsi="Times New Roman" w:cs="Times New Roman"/>
              </w:rPr>
              <w:t>1.3.</w:t>
            </w:r>
            <w:r w:rsidR="00C616B9">
              <w:rPr>
                <w:rFonts w:eastAsiaTheme="minorEastAsia"/>
                <w:lang w:val="tr-TR" w:eastAsia="tr-TR"/>
              </w:rPr>
              <w:tab/>
            </w:r>
            <w:r w:rsidR="00C616B9" w:rsidRPr="00CE52B5">
              <w:rPr>
                <w:rStyle w:val="Kpr"/>
                <w:rFonts w:ascii="Times New Roman" w:hAnsi="Times New Roman" w:cs="Times New Roman"/>
              </w:rPr>
              <w:t>Auditing of the Activities of the Authority</w:t>
            </w:r>
            <w:r w:rsidR="00C616B9">
              <w:rPr>
                <w:webHidden/>
              </w:rPr>
              <w:tab/>
            </w:r>
            <w:r w:rsidR="00C616B9">
              <w:rPr>
                <w:webHidden/>
              </w:rPr>
              <w:fldChar w:fldCharType="begin"/>
            </w:r>
            <w:r w:rsidR="00C616B9">
              <w:rPr>
                <w:webHidden/>
              </w:rPr>
              <w:instrText xml:space="preserve"> PAGEREF _Toc48817818 \h </w:instrText>
            </w:r>
            <w:r w:rsidR="00C616B9">
              <w:rPr>
                <w:webHidden/>
              </w:rPr>
            </w:r>
            <w:r w:rsidR="00C616B9">
              <w:rPr>
                <w:webHidden/>
              </w:rPr>
              <w:fldChar w:fldCharType="separate"/>
            </w:r>
            <w:r w:rsidR="00C616B9">
              <w:rPr>
                <w:webHidden/>
              </w:rPr>
              <w:t>0</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19" w:history="1">
            <w:r w:rsidR="00C616B9" w:rsidRPr="00CE52B5">
              <w:rPr>
                <w:rStyle w:val="Kpr"/>
                <w:rFonts w:ascii="Times New Roman" w:hAnsi="Times New Roman" w:cs="Times New Roman"/>
              </w:rPr>
              <w:t>2. LEGISLATION ACTIVITIES</w:t>
            </w:r>
            <w:r w:rsidR="00C616B9">
              <w:rPr>
                <w:webHidden/>
              </w:rPr>
              <w:tab/>
            </w:r>
            <w:r w:rsidR="00C616B9">
              <w:rPr>
                <w:webHidden/>
              </w:rPr>
              <w:fldChar w:fldCharType="begin"/>
            </w:r>
            <w:r w:rsidR="00C616B9">
              <w:rPr>
                <w:webHidden/>
              </w:rPr>
              <w:instrText xml:space="preserve"> PAGEREF _Toc48817819 \h </w:instrText>
            </w:r>
            <w:r w:rsidR="00C616B9">
              <w:rPr>
                <w:webHidden/>
              </w:rPr>
            </w:r>
            <w:r w:rsidR="00C616B9">
              <w:rPr>
                <w:webHidden/>
              </w:rPr>
              <w:fldChar w:fldCharType="separate"/>
            </w:r>
            <w:r w:rsidR="00C616B9">
              <w:rPr>
                <w:webHidden/>
              </w:rPr>
              <w:t>1</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20" w:history="1">
            <w:r w:rsidR="00C616B9" w:rsidRPr="00CE52B5">
              <w:rPr>
                <w:rStyle w:val="Kpr"/>
                <w:rFonts w:ascii="Times New Roman" w:hAnsi="Times New Roman" w:cs="Times New Roman"/>
              </w:rPr>
              <w:t>2.1. Electricity Market Legislation</w:t>
            </w:r>
            <w:r w:rsidR="00C616B9">
              <w:rPr>
                <w:webHidden/>
              </w:rPr>
              <w:tab/>
            </w:r>
            <w:r w:rsidR="00C616B9">
              <w:rPr>
                <w:webHidden/>
              </w:rPr>
              <w:fldChar w:fldCharType="begin"/>
            </w:r>
            <w:r w:rsidR="00C616B9">
              <w:rPr>
                <w:webHidden/>
              </w:rPr>
              <w:instrText xml:space="preserve"> PAGEREF _Toc48817820 \h </w:instrText>
            </w:r>
            <w:r w:rsidR="00C616B9">
              <w:rPr>
                <w:webHidden/>
              </w:rPr>
            </w:r>
            <w:r w:rsidR="00C616B9">
              <w:rPr>
                <w:webHidden/>
              </w:rPr>
              <w:fldChar w:fldCharType="separate"/>
            </w:r>
            <w:r w:rsidR="00C616B9">
              <w:rPr>
                <w:webHidden/>
              </w:rPr>
              <w:t>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1" w:history="1">
            <w:r w:rsidR="00C616B9" w:rsidRPr="00CE52B5">
              <w:rPr>
                <w:rStyle w:val="Kpr"/>
                <w:rFonts w:ascii="Times New Roman" w:hAnsi="Times New Roman" w:cs="Times New Roman"/>
              </w:rPr>
              <w:t>2.1.1. Law</w:t>
            </w:r>
            <w:r w:rsidR="00C616B9">
              <w:rPr>
                <w:webHidden/>
              </w:rPr>
              <w:tab/>
            </w:r>
            <w:r w:rsidR="00C616B9">
              <w:rPr>
                <w:webHidden/>
              </w:rPr>
              <w:fldChar w:fldCharType="begin"/>
            </w:r>
            <w:r w:rsidR="00C616B9">
              <w:rPr>
                <w:webHidden/>
              </w:rPr>
              <w:instrText xml:space="preserve"> PAGEREF _Toc48817821 \h </w:instrText>
            </w:r>
            <w:r w:rsidR="00C616B9">
              <w:rPr>
                <w:webHidden/>
              </w:rPr>
            </w:r>
            <w:r w:rsidR="00C616B9">
              <w:rPr>
                <w:webHidden/>
              </w:rPr>
              <w:fldChar w:fldCharType="separate"/>
            </w:r>
            <w:r w:rsidR="00C616B9">
              <w:rPr>
                <w:webHidden/>
              </w:rPr>
              <w:t>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2" w:history="1">
            <w:r w:rsidR="00C616B9" w:rsidRPr="00CE52B5">
              <w:rPr>
                <w:rStyle w:val="Kpr"/>
                <w:rFonts w:ascii="Times New Roman" w:hAnsi="Times New Roman" w:cs="Times New Roman"/>
              </w:rPr>
              <w:t>2.1.2. Regulations</w:t>
            </w:r>
            <w:r w:rsidR="00C616B9">
              <w:rPr>
                <w:webHidden/>
              </w:rPr>
              <w:tab/>
            </w:r>
            <w:r w:rsidR="00C616B9">
              <w:rPr>
                <w:webHidden/>
              </w:rPr>
              <w:fldChar w:fldCharType="begin"/>
            </w:r>
            <w:r w:rsidR="00C616B9">
              <w:rPr>
                <w:webHidden/>
              </w:rPr>
              <w:instrText xml:space="preserve"> PAGEREF _Toc48817822 \h </w:instrText>
            </w:r>
            <w:r w:rsidR="00C616B9">
              <w:rPr>
                <w:webHidden/>
              </w:rPr>
            </w:r>
            <w:r w:rsidR="00C616B9">
              <w:rPr>
                <w:webHidden/>
              </w:rPr>
              <w:fldChar w:fldCharType="separate"/>
            </w:r>
            <w:r w:rsidR="00C616B9">
              <w:rPr>
                <w:webHidden/>
              </w:rPr>
              <w:t>4</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23" w:history="1">
            <w:r w:rsidR="00C616B9" w:rsidRPr="00CE52B5">
              <w:rPr>
                <w:rStyle w:val="Kpr"/>
                <w:rFonts w:ascii="Times New Roman" w:hAnsi="Times New Roman" w:cs="Times New Roman"/>
              </w:rPr>
              <w:t>2.2.Natural Gas Market Legislation</w:t>
            </w:r>
            <w:r w:rsidR="00C616B9">
              <w:rPr>
                <w:webHidden/>
              </w:rPr>
              <w:tab/>
            </w:r>
            <w:r w:rsidR="00C616B9">
              <w:rPr>
                <w:webHidden/>
              </w:rPr>
              <w:fldChar w:fldCharType="begin"/>
            </w:r>
            <w:r w:rsidR="00C616B9">
              <w:rPr>
                <w:webHidden/>
              </w:rPr>
              <w:instrText xml:space="preserve"> PAGEREF _Toc48817823 \h </w:instrText>
            </w:r>
            <w:r w:rsidR="00C616B9">
              <w:rPr>
                <w:webHidden/>
              </w:rPr>
            </w:r>
            <w:r w:rsidR="00C616B9">
              <w:rPr>
                <w:webHidden/>
              </w:rPr>
              <w:fldChar w:fldCharType="separate"/>
            </w:r>
            <w:r w:rsidR="00C616B9">
              <w:rPr>
                <w:webHidden/>
              </w:rPr>
              <w:t>21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4" w:history="1">
            <w:r w:rsidR="00C616B9" w:rsidRPr="00CE52B5">
              <w:rPr>
                <w:rStyle w:val="Kpr"/>
                <w:rFonts w:ascii="Times New Roman" w:hAnsi="Times New Roman" w:cs="Times New Roman"/>
              </w:rPr>
              <w:t>2.2.1.Law</w:t>
            </w:r>
            <w:r w:rsidR="00C616B9">
              <w:rPr>
                <w:webHidden/>
              </w:rPr>
              <w:tab/>
            </w:r>
            <w:r w:rsidR="00C616B9">
              <w:rPr>
                <w:webHidden/>
              </w:rPr>
              <w:fldChar w:fldCharType="begin"/>
            </w:r>
            <w:r w:rsidR="00C616B9">
              <w:rPr>
                <w:webHidden/>
              </w:rPr>
              <w:instrText xml:space="preserve"> PAGEREF _Toc48817824 \h </w:instrText>
            </w:r>
            <w:r w:rsidR="00C616B9">
              <w:rPr>
                <w:webHidden/>
              </w:rPr>
            </w:r>
            <w:r w:rsidR="00C616B9">
              <w:rPr>
                <w:webHidden/>
              </w:rPr>
              <w:fldChar w:fldCharType="separate"/>
            </w:r>
            <w:r w:rsidR="00C616B9">
              <w:rPr>
                <w:webHidden/>
              </w:rPr>
              <w:t>21</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25" w:history="1">
            <w:r w:rsidR="00C616B9" w:rsidRPr="00CE52B5">
              <w:rPr>
                <w:rStyle w:val="Kpr"/>
                <w:rFonts w:ascii="Times New Roman" w:hAnsi="Times New Roman" w:cs="Times New Roman"/>
              </w:rPr>
              <w:t>2.2.2</w:t>
            </w:r>
            <w:r w:rsidR="00C616B9">
              <w:rPr>
                <w:rFonts w:eastAsiaTheme="minorEastAsia"/>
                <w:lang w:val="tr-TR" w:eastAsia="tr-TR"/>
              </w:rPr>
              <w:tab/>
            </w:r>
            <w:r w:rsidR="00C616B9" w:rsidRPr="00CE52B5">
              <w:rPr>
                <w:rStyle w:val="Kpr"/>
                <w:rFonts w:ascii="Times New Roman" w:hAnsi="Times New Roman" w:cs="Times New Roman"/>
              </w:rPr>
              <w:t>Regulations</w:t>
            </w:r>
            <w:r w:rsidR="00C616B9">
              <w:rPr>
                <w:webHidden/>
              </w:rPr>
              <w:tab/>
            </w:r>
            <w:r w:rsidR="00C616B9">
              <w:rPr>
                <w:webHidden/>
              </w:rPr>
              <w:fldChar w:fldCharType="begin"/>
            </w:r>
            <w:r w:rsidR="00C616B9">
              <w:rPr>
                <w:webHidden/>
              </w:rPr>
              <w:instrText xml:space="preserve"> PAGEREF _Toc48817825 \h </w:instrText>
            </w:r>
            <w:r w:rsidR="00C616B9">
              <w:rPr>
                <w:webHidden/>
              </w:rPr>
            </w:r>
            <w:r w:rsidR="00C616B9">
              <w:rPr>
                <w:webHidden/>
              </w:rPr>
              <w:fldChar w:fldCharType="separate"/>
            </w:r>
            <w:r w:rsidR="00C616B9">
              <w:rPr>
                <w:webHidden/>
              </w:rPr>
              <w:t>21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6" w:history="1">
            <w:r w:rsidR="00C616B9" w:rsidRPr="00CE52B5">
              <w:rPr>
                <w:rStyle w:val="Kpr"/>
                <w:rFonts w:ascii="Times New Roman" w:hAnsi="Times New Roman" w:cs="Times New Roman"/>
              </w:rPr>
              <w:t>2.2.3. Communiqués</w:t>
            </w:r>
            <w:r w:rsidR="00C616B9">
              <w:rPr>
                <w:webHidden/>
              </w:rPr>
              <w:tab/>
            </w:r>
            <w:r w:rsidR="00C616B9">
              <w:rPr>
                <w:webHidden/>
              </w:rPr>
              <w:fldChar w:fldCharType="begin"/>
            </w:r>
            <w:r w:rsidR="00C616B9">
              <w:rPr>
                <w:webHidden/>
              </w:rPr>
              <w:instrText xml:space="preserve"> PAGEREF _Toc48817826 \h </w:instrText>
            </w:r>
            <w:r w:rsidR="00C616B9">
              <w:rPr>
                <w:webHidden/>
              </w:rPr>
            </w:r>
            <w:r w:rsidR="00C616B9">
              <w:rPr>
                <w:webHidden/>
              </w:rPr>
              <w:fldChar w:fldCharType="separate"/>
            </w:r>
            <w:r w:rsidR="00C616B9">
              <w:rPr>
                <w:webHidden/>
              </w:rPr>
              <w:t>25</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27" w:history="1">
            <w:r w:rsidR="00C616B9" w:rsidRPr="00CE52B5">
              <w:rPr>
                <w:rStyle w:val="Kpr"/>
                <w:rFonts w:ascii="Times New Roman" w:hAnsi="Times New Roman" w:cs="Times New Roman"/>
              </w:rPr>
              <w:t>2.3.Petroleum Market Legislation</w:t>
            </w:r>
            <w:r w:rsidR="00C616B9">
              <w:rPr>
                <w:webHidden/>
              </w:rPr>
              <w:tab/>
            </w:r>
            <w:r w:rsidR="00C616B9">
              <w:rPr>
                <w:webHidden/>
              </w:rPr>
              <w:fldChar w:fldCharType="begin"/>
            </w:r>
            <w:r w:rsidR="00C616B9">
              <w:rPr>
                <w:webHidden/>
              </w:rPr>
              <w:instrText xml:space="preserve"> PAGEREF _Toc48817827 \h </w:instrText>
            </w:r>
            <w:r w:rsidR="00C616B9">
              <w:rPr>
                <w:webHidden/>
              </w:rPr>
            </w:r>
            <w:r w:rsidR="00C616B9">
              <w:rPr>
                <w:webHidden/>
              </w:rPr>
              <w:fldChar w:fldCharType="separate"/>
            </w:r>
            <w:r w:rsidR="00C616B9">
              <w:rPr>
                <w:webHidden/>
              </w:rPr>
              <w:t>30</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8" w:history="1">
            <w:r w:rsidR="00C616B9" w:rsidRPr="00CE52B5">
              <w:rPr>
                <w:rStyle w:val="Kpr"/>
                <w:rFonts w:ascii="Times New Roman" w:hAnsi="Times New Roman" w:cs="Times New Roman"/>
              </w:rPr>
              <w:t>2.3.1.Law</w:t>
            </w:r>
            <w:r w:rsidR="00C616B9">
              <w:rPr>
                <w:webHidden/>
              </w:rPr>
              <w:tab/>
            </w:r>
            <w:r w:rsidR="00C616B9">
              <w:rPr>
                <w:webHidden/>
              </w:rPr>
              <w:fldChar w:fldCharType="begin"/>
            </w:r>
            <w:r w:rsidR="00C616B9">
              <w:rPr>
                <w:webHidden/>
              </w:rPr>
              <w:instrText xml:space="preserve"> PAGEREF _Toc48817828 \h </w:instrText>
            </w:r>
            <w:r w:rsidR="00C616B9">
              <w:rPr>
                <w:webHidden/>
              </w:rPr>
            </w:r>
            <w:r w:rsidR="00C616B9">
              <w:rPr>
                <w:webHidden/>
              </w:rPr>
              <w:fldChar w:fldCharType="separate"/>
            </w:r>
            <w:r w:rsidR="00C616B9">
              <w:rPr>
                <w:webHidden/>
              </w:rPr>
              <w:t>30</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29" w:history="1">
            <w:r w:rsidR="00C616B9" w:rsidRPr="00CE52B5">
              <w:rPr>
                <w:rStyle w:val="Kpr"/>
                <w:rFonts w:ascii="Times New Roman" w:hAnsi="Times New Roman" w:cs="Times New Roman"/>
              </w:rPr>
              <w:t>2.3.2.Regulations</w:t>
            </w:r>
            <w:r w:rsidR="00C616B9">
              <w:rPr>
                <w:webHidden/>
              </w:rPr>
              <w:tab/>
            </w:r>
            <w:r w:rsidR="00C616B9">
              <w:rPr>
                <w:webHidden/>
              </w:rPr>
              <w:fldChar w:fldCharType="begin"/>
            </w:r>
            <w:r w:rsidR="00C616B9">
              <w:rPr>
                <w:webHidden/>
              </w:rPr>
              <w:instrText xml:space="preserve"> PAGEREF _Toc48817829 \h </w:instrText>
            </w:r>
            <w:r w:rsidR="00C616B9">
              <w:rPr>
                <w:webHidden/>
              </w:rPr>
            </w:r>
            <w:r w:rsidR="00C616B9">
              <w:rPr>
                <w:webHidden/>
              </w:rPr>
              <w:fldChar w:fldCharType="separate"/>
            </w:r>
            <w:r w:rsidR="00C616B9">
              <w:rPr>
                <w:webHidden/>
              </w:rPr>
              <w:t>35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30" w:history="1">
            <w:r w:rsidR="00C616B9" w:rsidRPr="00CE52B5">
              <w:rPr>
                <w:rStyle w:val="Kpr"/>
              </w:rPr>
              <w:t>2.3.3. Communiqués</w:t>
            </w:r>
            <w:r w:rsidR="00C616B9">
              <w:rPr>
                <w:webHidden/>
              </w:rPr>
              <w:tab/>
            </w:r>
            <w:r w:rsidR="00C616B9">
              <w:rPr>
                <w:webHidden/>
              </w:rPr>
              <w:fldChar w:fldCharType="begin"/>
            </w:r>
            <w:r w:rsidR="00C616B9">
              <w:rPr>
                <w:webHidden/>
              </w:rPr>
              <w:instrText xml:space="preserve"> PAGEREF _Toc48817830 \h </w:instrText>
            </w:r>
            <w:r w:rsidR="00C616B9">
              <w:rPr>
                <w:webHidden/>
              </w:rPr>
            </w:r>
            <w:r w:rsidR="00C616B9">
              <w:rPr>
                <w:webHidden/>
              </w:rPr>
              <w:fldChar w:fldCharType="separate"/>
            </w:r>
            <w:r w:rsidR="00C616B9">
              <w:rPr>
                <w:webHidden/>
              </w:rPr>
              <w:t>40</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31" w:history="1">
            <w:r w:rsidR="00C616B9" w:rsidRPr="00CE52B5">
              <w:rPr>
                <w:rStyle w:val="Kpr"/>
                <w:rFonts w:ascii="Times New Roman" w:hAnsi="Times New Roman" w:cs="Times New Roman"/>
              </w:rPr>
              <w:t>2.3.4. Board Decisions</w:t>
            </w:r>
            <w:r w:rsidR="00C616B9">
              <w:rPr>
                <w:webHidden/>
              </w:rPr>
              <w:tab/>
            </w:r>
            <w:r w:rsidR="00C616B9">
              <w:rPr>
                <w:webHidden/>
              </w:rPr>
              <w:fldChar w:fldCharType="begin"/>
            </w:r>
            <w:r w:rsidR="00C616B9">
              <w:rPr>
                <w:webHidden/>
              </w:rPr>
              <w:instrText xml:space="preserve"> PAGEREF _Toc48817831 \h </w:instrText>
            </w:r>
            <w:r w:rsidR="00C616B9">
              <w:rPr>
                <w:webHidden/>
              </w:rPr>
            </w:r>
            <w:r w:rsidR="00C616B9">
              <w:rPr>
                <w:webHidden/>
              </w:rPr>
              <w:fldChar w:fldCharType="separate"/>
            </w:r>
            <w:r w:rsidR="00C616B9">
              <w:rPr>
                <w:webHidden/>
              </w:rPr>
              <w:t>41</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32" w:history="1">
            <w:r w:rsidR="00C616B9" w:rsidRPr="00CE52B5">
              <w:rPr>
                <w:rStyle w:val="Kpr"/>
                <w:rFonts w:ascii="Times New Roman" w:hAnsi="Times New Roman" w:cs="Times New Roman"/>
              </w:rPr>
              <w:t>2.4.Liquefied Petroleum Gases (LPG) Market Legislation</w:t>
            </w:r>
            <w:r w:rsidR="00C616B9">
              <w:rPr>
                <w:webHidden/>
              </w:rPr>
              <w:tab/>
            </w:r>
            <w:r w:rsidR="00C616B9">
              <w:rPr>
                <w:webHidden/>
              </w:rPr>
              <w:fldChar w:fldCharType="begin"/>
            </w:r>
            <w:r w:rsidR="00C616B9">
              <w:rPr>
                <w:webHidden/>
              </w:rPr>
              <w:instrText xml:space="preserve"> PAGEREF _Toc48817832 \h </w:instrText>
            </w:r>
            <w:r w:rsidR="00C616B9">
              <w:rPr>
                <w:webHidden/>
              </w:rPr>
            </w:r>
            <w:r w:rsidR="00C616B9">
              <w:rPr>
                <w:webHidden/>
              </w:rPr>
              <w:fldChar w:fldCharType="separate"/>
            </w:r>
            <w:r w:rsidR="00C616B9">
              <w:rPr>
                <w:webHidden/>
              </w:rPr>
              <w:t>43</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33" w:history="1">
            <w:r w:rsidR="00C616B9" w:rsidRPr="00CE52B5">
              <w:rPr>
                <w:rStyle w:val="Kpr"/>
                <w:rFonts w:ascii="Times New Roman" w:hAnsi="Times New Roman" w:cs="Times New Roman"/>
              </w:rPr>
              <w:t>2.4.1. Law</w:t>
            </w:r>
            <w:r w:rsidR="00C616B9">
              <w:rPr>
                <w:webHidden/>
              </w:rPr>
              <w:tab/>
            </w:r>
            <w:r w:rsidR="00C616B9">
              <w:rPr>
                <w:webHidden/>
              </w:rPr>
              <w:fldChar w:fldCharType="begin"/>
            </w:r>
            <w:r w:rsidR="00C616B9">
              <w:rPr>
                <w:webHidden/>
              </w:rPr>
              <w:instrText xml:space="preserve"> PAGEREF _Toc48817833 \h </w:instrText>
            </w:r>
            <w:r w:rsidR="00C616B9">
              <w:rPr>
                <w:webHidden/>
              </w:rPr>
            </w:r>
            <w:r w:rsidR="00C616B9">
              <w:rPr>
                <w:webHidden/>
              </w:rPr>
              <w:fldChar w:fldCharType="separate"/>
            </w:r>
            <w:r w:rsidR="00C616B9">
              <w:rPr>
                <w:webHidden/>
              </w:rPr>
              <w:t>43</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34" w:history="1">
            <w:r w:rsidR="00C616B9" w:rsidRPr="00CE52B5">
              <w:rPr>
                <w:rStyle w:val="Kpr"/>
                <w:rFonts w:ascii="Times New Roman" w:hAnsi="Times New Roman" w:cs="Times New Roman"/>
              </w:rPr>
              <w:t>2.4.2.</w:t>
            </w:r>
            <w:r w:rsidR="00C616B9">
              <w:rPr>
                <w:rFonts w:eastAsiaTheme="minorEastAsia"/>
                <w:lang w:val="tr-TR" w:eastAsia="tr-TR"/>
              </w:rPr>
              <w:tab/>
            </w:r>
            <w:r w:rsidR="00C616B9" w:rsidRPr="00CE52B5">
              <w:rPr>
                <w:rStyle w:val="Kpr"/>
                <w:rFonts w:ascii="Times New Roman" w:hAnsi="Times New Roman" w:cs="Times New Roman"/>
              </w:rPr>
              <w:t>Regulations</w:t>
            </w:r>
            <w:r w:rsidR="00C616B9">
              <w:rPr>
                <w:webHidden/>
              </w:rPr>
              <w:tab/>
            </w:r>
            <w:r w:rsidR="00C616B9">
              <w:rPr>
                <w:webHidden/>
              </w:rPr>
              <w:fldChar w:fldCharType="begin"/>
            </w:r>
            <w:r w:rsidR="00C616B9">
              <w:rPr>
                <w:webHidden/>
              </w:rPr>
              <w:instrText xml:space="preserve"> PAGEREF _Toc48817834 \h </w:instrText>
            </w:r>
            <w:r w:rsidR="00C616B9">
              <w:rPr>
                <w:webHidden/>
              </w:rPr>
            </w:r>
            <w:r w:rsidR="00C616B9">
              <w:rPr>
                <w:webHidden/>
              </w:rPr>
              <w:fldChar w:fldCharType="separate"/>
            </w:r>
            <w:r w:rsidR="00C616B9">
              <w:rPr>
                <w:webHidden/>
              </w:rPr>
              <w:t>47</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35" w:history="1">
            <w:r w:rsidR="00C616B9" w:rsidRPr="00CE52B5">
              <w:rPr>
                <w:rStyle w:val="Kpr"/>
                <w:rFonts w:ascii="Times New Roman" w:hAnsi="Times New Roman" w:cs="Times New Roman"/>
              </w:rPr>
              <w:t>2.4.3.</w:t>
            </w:r>
            <w:r w:rsidR="00C616B9">
              <w:rPr>
                <w:rFonts w:eastAsiaTheme="minorEastAsia"/>
                <w:lang w:val="tr-TR" w:eastAsia="tr-TR"/>
              </w:rPr>
              <w:tab/>
            </w:r>
            <w:r w:rsidR="00C616B9" w:rsidRPr="00CE52B5">
              <w:rPr>
                <w:rStyle w:val="Kpr"/>
                <w:rFonts w:ascii="Times New Roman" w:hAnsi="Times New Roman" w:cs="Times New Roman"/>
              </w:rPr>
              <w:t>Communiqués</w:t>
            </w:r>
            <w:r w:rsidR="00C616B9">
              <w:rPr>
                <w:webHidden/>
              </w:rPr>
              <w:tab/>
            </w:r>
            <w:r w:rsidR="00C616B9">
              <w:rPr>
                <w:webHidden/>
              </w:rPr>
              <w:fldChar w:fldCharType="begin"/>
            </w:r>
            <w:r w:rsidR="00C616B9">
              <w:rPr>
                <w:webHidden/>
              </w:rPr>
              <w:instrText xml:space="preserve"> PAGEREF _Toc48817835 \h </w:instrText>
            </w:r>
            <w:r w:rsidR="00C616B9">
              <w:rPr>
                <w:webHidden/>
              </w:rPr>
            </w:r>
            <w:r w:rsidR="00C616B9">
              <w:rPr>
                <w:webHidden/>
              </w:rPr>
              <w:fldChar w:fldCharType="separate"/>
            </w:r>
            <w:r w:rsidR="00C616B9">
              <w:rPr>
                <w:webHidden/>
              </w:rPr>
              <w:t>51</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36" w:history="1">
            <w:r w:rsidR="00C616B9" w:rsidRPr="00CE52B5">
              <w:rPr>
                <w:rStyle w:val="Kpr"/>
                <w:rFonts w:ascii="Times New Roman" w:hAnsi="Times New Roman" w:cs="Times New Roman"/>
              </w:rPr>
              <w:t>2.4.4.</w:t>
            </w:r>
            <w:r w:rsidR="00C616B9">
              <w:rPr>
                <w:rFonts w:eastAsiaTheme="minorEastAsia"/>
                <w:lang w:val="tr-TR" w:eastAsia="tr-TR"/>
              </w:rPr>
              <w:tab/>
            </w:r>
            <w:r w:rsidR="00C616B9" w:rsidRPr="00CE52B5">
              <w:rPr>
                <w:rStyle w:val="Kpr"/>
                <w:rFonts w:ascii="Times New Roman" w:hAnsi="Times New Roman" w:cs="Times New Roman"/>
              </w:rPr>
              <w:t>Board Decisions</w:t>
            </w:r>
            <w:r w:rsidR="00C616B9">
              <w:rPr>
                <w:webHidden/>
              </w:rPr>
              <w:tab/>
            </w:r>
            <w:r w:rsidR="00C616B9">
              <w:rPr>
                <w:webHidden/>
              </w:rPr>
              <w:fldChar w:fldCharType="begin"/>
            </w:r>
            <w:r w:rsidR="00C616B9">
              <w:rPr>
                <w:webHidden/>
              </w:rPr>
              <w:instrText xml:space="preserve"> PAGEREF _Toc48817836 \h </w:instrText>
            </w:r>
            <w:r w:rsidR="00C616B9">
              <w:rPr>
                <w:webHidden/>
              </w:rPr>
            </w:r>
            <w:r w:rsidR="00C616B9">
              <w:rPr>
                <w:webHidden/>
              </w:rPr>
              <w:fldChar w:fldCharType="separate"/>
            </w:r>
            <w:r w:rsidR="00C616B9">
              <w:rPr>
                <w:webHidden/>
              </w:rPr>
              <w:t>52</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37" w:history="1">
            <w:r w:rsidR="00C616B9" w:rsidRPr="00CE52B5">
              <w:rPr>
                <w:rStyle w:val="Kpr"/>
                <w:rFonts w:ascii="Times New Roman" w:hAnsi="Times New Roman" w:cs="Times New Roman"/>
              </w:rPr>
              <w:t>2.5.Other Legislation Activities</w:t>
            </w:r>
            <w:r w:rsidR="00C616B9">
              <w:rPr>
                <w:webHidden/>
              </w:rPr>
              <w:tab/>
            </w:r>
            <w:r w:rsidR="00C616B9">
              <w:rPr>
                <w:webHidden/>
              </w:rPr>
              <w:fldChar w:fldCharType="begin"/>
            </w:r>
            <w:r w:rsidR="00C616B9">
              <w:rPr>
                <w:webHidden/>
              </w:rPr>
              <w:instrText xml:space="preserve"> PAGEREF _Toc48817837 \h </w:instrText>
            </w:r>
            <w:r w:rsidR="00C616B9">
              <w:rPr>
                <w:webHidden/>
              </w:rPr>
            </w:r>
            <w:r w:rsidR="00C616B9">
              <w:rPr>
                <w:webHidden/>
              </w:rPr>
              <w:fldChar w:fldCharType="separate"/>
            </w:r>
            <w:r w:rsidR="00C616B9">
              <w:rPr>
                <w:webHidden/>
              </w:rPr>
              <w:t>53</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38" w:history="1">
            <w:r w:rsidR="00C616B9" w:rsidRPr="00CE52B5">
              <w:rPr>
                <w:rStyle w:val="Kpr"/>
                <w:rFonts w:ascii="Times New Roman" w:hAnsi="Times New Roman" w:cs="Times New Roman"/>
              </w:rPr>
              <w:t>2.5.1.</w:t>
            </w:r>
            <w:r w:rsidR="00C616B9">
              <w:rPr>
                <w:rFonts w:eastAsiaTheme="minorEastAsia"/>
                <w:lang w:val="tr-TR" w:eastAsia="tr-TR"/>
              </w:rPr>
              <w:tab/>
            </w:r>
            <w:r w:rsidR="00C616B9" w:rsidRPr="00CE52B5">
              <w:rPr>
                <w:rStyle w:val="Kpr"/>
                <w:rFonts w:ascii="Times New Roman" w:hAnsi="Times New Roman" w:cs="Times New Roman"/>
                <w:lang w:val="en"/>
              </w:rPr>
              <w:t>Legislative Amendments Regarding Energy Market Notifications</w:t>
            </w:r>
            <w:r w:rsidR="00C616B9">
              <w:rPr>
                <w:webHidden/>
              </w:rPr>
              <w:tab/>
            </w:r>
            <w:r w:rsidR="00C616B9">
              <w:rPr>
                <w:webHidden/>
              </w:rPr>
              <w:fldChar w:fldCharType="begin"/>
            </w:r>
            <w:r w:rsidR="00C616B9">
              <w:rPr>
                <w:webHidden/>
              </w:rPr>
              <w:instrText xml:space="preserve"> PAGEREF _Toc48817838 \h </w:instrText>
            </w:r>
            <w:r w:rsidR="00C616B9">
              <w:rPr>
                <w:webHidden/>
              </w:rPr>
            </w:r>
            <w:r w:rsidR="00C616B9">
              <w:rPr>
                <w:webHidden/>
              </w:rPr>
              <w:fldChar w:fldCharType="separate"/>
            </w:r>
            <w:r w:rsidR="00C616B9">
              <w:rPr>
                <w:webHidden/>
              </w:rPr>
              <w:t>53</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39" w:history="1">
            <w:r w:rsidR="00C616B9" w:rsidRPr="00CE52B5">
              <w:rPr>
                <w:rStyle w:val="Kpr"/>
                <w:rFonts w:ascii="Times New Roman" w:hAnsi="Times New Roman" w:cs="Times New Roman"/>
              </w:rPr>
              <w:t>2.5.2.</w:t>
            </w:r>
            <w:r w:rsidR="00C616B9">
              <w:rPr>
                <w:rFonts w:eastAsiaTheme="minorEastAsia"/>
                <w:lang w:val="tr-TR" w:eastAsia="tr-TR"/>
              </w:rPr>
              <w:tab/>
            </w:r>
            <w:r w:rsidR="00C616B9" w:rsidRPr="00CE52B5">
              <w:rPr>
                <w:rStyle w:val="Kpr"/>
                <w:rFonts w:ascii="Times New Roman" w:hAnsi="Times New Roman" w:cs="Times New Roman"/>
              </w:rPr>
              <w:t>Other Amendments</w:t>
            </w:r>
            <w:r w:rsidR="00C616B9">
              <w:rPr>
                <w:webHidden/>
              </w:rPr>
              <w:tab/>
            </w:r>
            <w:r w:rsidR="00C616B9">
              <w:rPr>
                <w:webHidden/>
              </w:rPr>
              <w:fldChar w:fldCharType="begin"/>
            </w:r>
            <w:r w:rsidR="00C616B9">
              <w:rPr>
                <w:webHidden/>
              </w:rPr>
              <w:instrText xml:space="preserve"> PAGEREF _Toc48817839 \h </w:instrText>
            </w:r>
            <w:r w:rsidR="00C616B9">
              <w:rPr>
                <w:webHidden/>
              </w:rPr>
            </w:r>
            <w:r w:rsidR="00C616B9">
              <w:rPr>
                <w:webHidden/>
              </w:rPr>
              <w:fldChar w:fldCharType="separate"/>
            </w:r>
            <w:r w:rsidR="00C616B9">
              <w:rPr>
                <w:webHidden/>
              </w:rPr>
              <w:t>54</w:t>
            </w:r>
            <w:r w:rsidR="00C616B9">
              <w:rPr>
                <w:webHidden/>
              </w:rPr>
              <w:fldChar w:fldCharType="end"/>
            </w:r>
          </w:hyperlink>
        </w:p>
        <w:p w:rsidR="00C616B9" w:rsidRDefault="00736E4B">
          <w:pPr>
            <w:pStyle w:val="T1"/>
            <w:tabs>
              <w:tab w:val="left" w:pos="440"/>
              <w:tab w:val="right" w:leader="dot" w:pos="9396"/>
            </w:tabs>
            <w:rPr>
              <w:rFonts w:eastAsiaTheme="minorEastAsia"/>
              <w:lang w:val="tr-TR" w:eastAsia="tr-TR"/>
            </w:rPr>
          </w:pPr>
          <w:hyperlink w:anchor="_Toc48817840" w:history="1">
            <w:r w:rsidR="00C616B9" w:rsidRPr="00CE52B5">
              <w:rPr>
                <w:rStyle w:val="Kpr"/>
                <w:rFonts w:ascii="Times New Roman" w:hAnsi="Times New Roman" w:cs="Times New Roman"/>
              </w:rPr>
              <w:t>3.</w:t>
            </w:r>
            <w:r w:rsidR="00C616B9">
              <w:rPr>
                <w:rFonts w:eastAsiaTheme="minorEastAsia"/>
                <w:lang w:val="tr-TR" w:eastAsia="tr-TR"/>
              </w:rPr>
              <w:tab/>
            </w:r>
            <w:r w:rsidR="00C616B9" w:rsidRPr="00CE52B5">
              <w:rPr>
                <w:rStyle w:val="Kpr"/>
                <w:rFonts w:ascii="Times New Roman" w:hAnsi="Times New Roman" w:cs="Times New Roman"/>
              </w:rPr>
              <w:t>LICENSING, CERTIFICATION AND AUTHORIZATION ACTIVITIES</w:t>
            </w:r>
            <w:r w:rsidR="00C616B9">
              <w:rPr>
                <w:webHidden/>
              </w:rPr>
              <w:tab/>
            </w:r>
            <w:r w:rsidR="00C616B9">
              <w:rPr>
                <w:webHidden/>
              </w:rPr>
              <w:fldChar w:fldCharType="begin"/>
            </w:r>
            <w:r w:rsidR="00C616B9">
              <w:rPr>
                <w:webHidden/>
              </w:rPr>
              <w:instrText xml:space="preserve"> PAGEREF _Toc48817840 \h </w:instrText>
            </w:r>
            <w:r w:rsidR="00C616B9">
              <w:rPr>
                <w:webHidden/>
              </w:rPr>
            </w:r>
            <w:r w:rsidR="00C616B9">
              <w:rPr>
                <w:webHidden/>
              </w:rPr>
              <w:fldChar w:fldCharType="separate"/>
            </w:r>
            <w:r w:rsidR="00C616B9">
              <w:rPr>
                <w:webHidden/>
              </w:rPr>
              <w:t>54</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41" w:history="1">
            <w:r w:rsidR="00C616B9" w:rsidRPr="00CE52B5">
              <w:rPr>
                <w:rStyle w:val="Kpr"/>
                <w:rFonts w:ascii="Times New Roman" w:hAnsi="Times New Roman" w:cs="Times New Roman"/>
              </w:rPr>
              <w:t>3.1.Electricity Market Licensing and Authorization Activities</w:t>
            </w:r>
            <w:r w:rsidR="00C616B9">
              <w:rPr>
                <w:webHidden/>
              </w:rPr>
              <w:tab/>
            </w:r>
            <w:r w:rsidR="00C616B9">
              <w:rPr>
                <w:webHidden/>
              </w:rPr>
              <w:fldChar w:fldCharType="begin"/>
            </w:r>
            <w:r w:rsidR="00C616B9">
              <w:rPr>
                <w:webHidden/>
              </w:rPr>
              <w:instrText xml:space="preserve"> PAGEREF _Toc48817841 \h </w:instrText>
            </w:r>
            <w:r w:rsidR="00C616B9">
              <w:rPr>
                <w:webHidden/>
              </w:rPr>
            </w:r>
            <w:r w:rsidR="00C616B9">
              <w:rPr>
                <w:webHidden/>
              </w:rPr>
              <w:fldChar w:fldCharType="separate"/>
            </w:r>
            <w:r w:rsidR="00C616B9">
              <w:rPr>
                <w:webHidden/>
              </w:rPr>
              <w:t>54</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42" w:history="1">
            <w:r w:rsidR="00C616B9" w:rsidRPr="00CE52B5">
              <w:rPr>
                <w:rStyle w:val="Kpr"/>
                <w:rFonts w:ascii="Times New Roman" w:hAnsi="Times New Roman" w:cs="Times New Roman"/>
              </w:rPr>
              <w:t>3.1.1.</w:t>
            </w:r>
            <w:r w:rsidR="00C616B9">
              <w:rPr>
                <w:rFonts w:eastAsiaTheme="minorEastAsia"/>
                <w:lang w:val="tr-TR" w:eastAsia="tr-TR"/>
              </w:rPr>
              <w:tab/>
            </w:r>
            <w:r w:rsidR="00C616B9" w:rsidRPr="00CE52B5">
              <w:rPr>
                <w:rStyle w:val="Kpr"/>
                <w:rFonts w:ascii="Times New Roman" w:hAnsi="Times New Roman" w:cs="Times New Roman"/>
              </w:rPr>
              <w:t>Licensing Activities</w:t>
            </w:r>
            <w:r w:rsidR="00C616B9">
              <w:rPr>
                <w:webHidden/>
              </w:rPr>
              <w:tab/>
            </w:r>
            <w:r w:rsidR="00C616B9">
              <w:rPr>
                <w:webHidden/>
              </w:rPr>
              <w:fldChar w:fldCharType="begin"/>
            </w:r>
            <w:r w:rsidR="00C616B9">
              <w:rPr>
                <w:webHidden/>
              </w:rPr>
              <w:instrText xml:space="preserve"> PAGEREF _Toc48817842 \h </w:instrText>
            </w:r>
            <w:r w:rsidR="00C616B9">
              <w:rPr>
                <w:webHidden/>
              </w:rPr>
            </w:r>
            <w:r w:rsidR="00C616B9">
              <w:rPr>
                <w:webHidden/>
              </w:rPr>
              <w:fldChar w:fldCharType="separate"/>
            </w:r>
            <w:r w:rsidR="00C616B9">
              <w:rPr>
                <w:webHidden/>
              </w:rPr>
              <w:t>54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43" w:history="1">
            <w:r w:rsidR="00C616B9" w:rsidRPr="00CE52B5">
              <w:rPr>
                <w:rStyle w:val="Kpr"/>
                <w:rFonts w:ascii="Times New Roman" w:hAnsi="Times New Roman" w:cs="Times New Roman"/>
              </w:rPr>
              <w:t>3.2.1.Import and Export Permits</w:t>
            </w:r>
            <w:r w:rsidR="00C616B9">
              <w:rPr>
                <w:webHidden/>
              </w:rPr>
              <w:tab/>
            </w:r>
            <w:r w:rsidR="00C616B9">
              <w:rPr>
                <w:webHidden/>
              </w:rPr>
              <w:fldChar w:fldCharType="begin"/>
            </w:r>
            <w:r w:rsidR="00C616B9">
              <w:rPr>
                <w:webHidden/>
              </w:rPr>
              <w:instrText xml:space="preserve"> PAGEREF _Toc48817843 \h </w:instrText>
            </w:r>
            <w:r w:rsidR="00C616B9">
              <w:rPr>
                <w:webHidden/>
              </w:rPr>
            </w:r>
            <w:r w:rsidR="00C616B9">
              <w:rPr>
                <w:webHidden/>
              </w:rPr>
              <w:fldChar w:fldCharType="separate"/>
            </w:r>
            <w:r w:rsidR="00C616B9">
              <w:rPr>
                <w:webHidden/>
              </w:rPr>
              <w:t>57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44" w:history="1">
            <w:r w:rsidR="00C616B9" w:rsidRPr="00CE52B5">
              <w:rPr>
                <w:rStyle w:val="Kpr"/>
                <w:rFonts w:ascii="Times New Roman" w:hAnsi="Times New Roman" w:cs="Times New Roman"/>
              </w:rPr>
              <w:t>3.2.Natural Gas Market Licensing and Certification Activities</w:t>
            </w:r>
            <w:r w:rsidR="00C616B9">
              <w:rPr>
                <w:webHidden/>
              </w:rPr>
              <w:tab/>
            </w:r>
            <w:r w:rsidR="00C616B9">
              <w:rPr>
                <w:webHidden/>
              </w:rPr>
              <w:fldChar w:fldCharType="begin"/>
            </w:r>
            <w:r w:rsidR="00C616B9">
              <w:rPr>
                <w:webHidden/>
              </w:rPr>
              <w:instrText xml:space="preserve"> PAGEREF _Toc48817844 \h </w:instrText>
            </w:r>
            <w:r w:rsidR="00C616B9">
              <w:rPr>
                <w:webHidden/>
              </w:rPr>
            </w:r>
            <w:r w:rsidR="00C616B9">
              <w:rPr>
                <w:webHidden/>
              </w:rPr>
              <w:fldChar w:fldCharType="separate"/>
            </w:r>
            <w:r w:rsidR="00C616B9">
              <w:rPr>
                <w:webHidden/>
              </w:rPr>
              <w:t>57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45" w:history="1">
            <w:r w:rsidR="00C616B9" w:rsidRPr="00CE52B5">
              <w:rPr>
                <w:rStyle w:val="Kpr"/>
                <w:rFonts w:ascii="Times New Roman" w:hAnsi="Times New Roman" w:cs="Times New Roman"/>
              </w:rPr>
              <w:t>3.2.1.Licensing Activities</w:t>
            </w:r>
            <w:r w:rsidR="00C616B9">
              <w:rPr>
                <w:webHidden/>
              </w:rPr>
              <w:tab/>
            </w:r>
            <w:r w:rsidR="00C616B9">
              <w:rPr>
                <w:webHidden/>
              </w:rPr>
              <w:fldChar w:fldCharType="begin"/>
            </w:r>
            <w:r w:rsidR="00C616B9">
              <w:rPr>
                <w:webHidden/>
              </w:rPr>
              <w:instrText xml:space="preserve"> PAGEREF _Toc48817845 \h </w:instrText>
            </w:r>
            <w:r w:rsidR="00C616B9">
              <w:rPr>
                <w:webHidden/>
              </w:rPr>
            </w:r>
            <w:r w:rsidR="00C616B9">
              <w:rPr>
                <w:webHidden/>
              </w:rPr>
              <w:fldChar w:fldCharType="separate"/>
            </w:r>
            <w:r w:rsidR="00C616B9">
              <w:rPr>
                <w:webHidden/>
              </w:rPr>
              <w:t>57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46" w:history="1">
            <w:r w:rsidR="00C616B9" w:rsidRPr="00CE52B5">
              <w:rPr>
                <w:rStyle w:val="Kpr"/>
                <w:rFonts w:ascii="Times New Roman" w:hAnsi="Times New Roman" w:cs="Times New Roman"/>
              </w:rPr>
              <w:t>3.2.2.Certification Activities</w:t>
            </w:r>
            <w:r w:rsidR="00C616B9">
              <w:rPr>
                <w:webHidden/>
              </w:rPr>
              <w:tab/>
            </w:r>
            <w:r w:rsidR="00C616B9">
              <w:rPr>
                <w:webHidden/>
              </w:rPr>
              <w:fldChar w:fldCharType="begin"/>
            </w:r>
            <w:r w:rsidR="00C616B9">
              <w:rPr>
                <w:webHidden/>
              </w:rPr>
              <w:instrText xml:space="preserve"> PAGEREF _Toc48817846 \h </w:instrText>
            </w:r>
            <w:r w:rsidR="00C616B9">
              <w:rPr>
                <w:webHidden/>
              </w:rPr>
            </w:r>
            <w:r w:rsidR="00C616B9">
              <w:rPr>
                <w:webHidden/>
              </w:rPr>
              <w:fldChar w:fldCharType="separate"/>
            </w:r>
            <w:r w:rsidR="00C616B9">
              <w:rPr>
                <w:webHidden/>
              </w:rPr>
              <w:t>59</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47" w:history="1">
            <w:r w:rsidR="00C616B9" w:rsidRPr="00CE52B5">
              <w:rPr>
                <w:rStyle w:val="Kpr"/>
                <w:rFonts w:ascii="Times New Roman" w:hAnsi="Times New Roman" w:cs="Times New Roman"/>
              </w:rPr>
              <w:t>3.3. Petroleum Market Licensing Activities</w:t>
            </w:r>
            <w:r w:rsidR="00C616B9">
              <w:rPr>
                <w:webHidden/>
              </w:rPr>
              <w:tab/>
            </w:r>
            <w:r w:rsidR="00C616B9">
              <w:rPr>
                <w:webHidden/>
              </w:rPr>
              <w:fldChar w:fldCharType="begin"/>
            </w:r>
            <w:r w:rsidR="00C616B9">
              <w:rPr>
                <w:webHidden/>
              </w:rPr>
              <w:instrText xml:space="preserve"> PAGEREF _Toc48817847 \h </w:instrText>
            </w:r>
            <w:r w:rsidR="00C616B9">
              <w:rPr>
                <w:webHidden/>
              </w:rPr>
            </w:r>
            <w:r w:rsidR="00C616B9">
              <w:rPr>
                <w:webHidden/>
              </w:rPr>
              <w:fldChar w:fldCharType="separate"/>
            </w:r>
            <w:r w:rsidR="00C616B9">
              <w:rPr>
                <w:webHidden/>
              </w:rPr>
              <w:t>59</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48" w:history="1">
            <w:r w:rsidR="00C616B9" w:rsidRPr="00CE52B5">
              <w:rPr>
                <w:rStyle w:val="Kpr"/>
                <w:rFonts w:ascii="Times New Roman" w:hAnsi="Times New Roman" w:cs="Times New Roman"/>
              </w:rPr>
              <w:t>3.3.1.Procedures Regarding the Non- Petroleum Products Authorizations</w:t>
            </w:r>
            <w:r w:rsidR="00C616B9">
              <w:rPr>
                <w:webHidden/>
              </w:rPr>
              <w:tab/>
            </w:r>
            <w:r w:rsidR="00C616B9">
              <w:rPr>
                <w:webHidden/>
              </w:rPr>
              <w:fldChar w:fldCharType="begin"/>
            </w:r>
            <w:r w:rsidR="00C616B9">
              <w:rPr>
                <w:webHidden/>
              </w:rPr>
              <w:instrText xml:space="preserve"> PAGEREF _Toc48817848 \h </w:instrText>
            </w:r>
            <w:r w:rsidR="00C616B9">
              <w:rPr>
                <w:webHidden/>
              </w:rPr>
            </w:r>
            <w:r w:rsidR="00C616B9">
              <w:rPr>
                <w:webHidden/>
              </w:rPr>
              <w:fldChar w:fldCharType="separate"/>
            </w:r>
            <w:r w:rsidR="00C616B9">
              <w:rPr>
                <w:webHidden/>
              </w:rPr>
              <w:t>61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49" w:history="1">
            <w:r w:rsidR="00C616B9" w:rsidRPr="00CE52B5">
              <w:rPr>
                <w:rStyle w:val="Kpr"/>
                <w:rFonts w:ascii="Times New Roman" w:hAnsi="Times New Roman" w:cs="Times New Roman"/>
              </w:rPr>
              <w:t>3.3.2.Automation Works for License Holders</w:t>
            </w:r>
            <w:r w:rsidR="00C616B9">
              <w:rPr>
                <w:webHidden/>
              </w:rPr>
              <w:tab/>
            </w:r>
            <w:r w:rsidR="00C616B9">
              <w:rPr>
                <w:webHidden/>
              </w:rPr>
              <w:fldChar w:fldCharType="begin"/>
            </w:r>
            <w:r w:rsidR="00C616B9">
              <w:rPr>
                <w:webHidden/>
              </w:rPr>
              <w:instrText xml:space="preserve"> PAGEREF _Toc48817849 \h </w:instrText>
            </w:r>
            <w:r w:rsidR="00C616B9">
              <w:rPr>
                <w:webHidden/>
              </w:rPr>
            </w:r>
            <w:r w:rsidR="00C616B9">
              <w:rPr>
                <w:webHidden/>
              </w:rPr>
              <w:fldChar w:fldCharType="separate"/>
            </w:r>
            <w:r w:rsidR="00C616B9">
              <w:rPr>
                <w:webHidden/>
              </w:rPr>
              <w:t>62</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50" w:history="1">
            <w:r w:rsidR="00C616B9" w:rsidRPr="00CE52B5">
              <w:rPr>
                <w:rStyle w:val="Kpr"/>
                <w:rFonts w:ascii="Times New Roman" w:hAnsi="Times New Roman" w:cs="Times New Roman"/>
              </w:rPr>
              <w:t>3.4.Liquefied Petroleum Gases (LPG) Market Licensing Activities</w:t>
            </w:r>
            <w:r w:rsidR="00C616B9">
              <w:rPr>
                <w:webHidden/>
              </w:rPr>
              <w:tab/>
            </w:r>
            <w:r w:rsidR="00C616B9">
              <w:rPr>
                <w:webHidden/>
              </w:rPr>
              <w:fldChar w:fldCharType="begin"/>
            </w:r>
            <w:r w:rsidR="00C616B9">
              <w:rPr>
                <w:webHidden/>
              </w:rPr>
              <w:instrText xml:space="preserve"> PAGEREF _Toc48817850 \h </w:instrText>
            </w:r>
            <w:r w:rsidR="00C616B9">
              <w:rPr>
                <w:webHidden/>
              </w:rPr>
            </w:r>
            <w:r w:rsidR="00C616B9">
              <w:rPr>
                <w:webHidden/>
              </w:rPr>
              <w:fldChar w:fldCharType="separate"/>
            </w:r>
            <w:r w:rsidR="00C616B9">
              <w:rPr>
                <w:webHidden/>
              </w:rPr>
              <w:t>64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1" w:history="1">
            <w:r w:rsidR="00C616B9" w:rsidRPr="00CE52B5">
              <w:rPr>
                <w:rStyle w:val="Kpr"/>
                <w:rFonts w:ascii="Times New Roman" w:hAnsi="Times New Roman" w:cs="Times New Roman"/>
              </w:rPr>
              <w:t>3.4.1.Liquefied Petroleum Gases (LPG) Market Granting Permits for Coupons</w:t>
            </w:r>
            <w:r w:rsidR="00C616B9">
              <w:rPr>
                <w:webHidden/>
              </w:rPr>
              <w:tab/>
            </w:r>
            <w:r w:rsidR="00C616B9">
              <w:rPr>
                <w:webHidden/>
              </w:rPr>
              <w:fldChar w:fldCharType="begin"/>
            </w:r>
            <w:r w:rsidR="00C616B9">
              <w:rPr>
                <w:webHidden/>
              </w:rPr>
              <w:instrText xml:space="preserve"> PAGEREF _Toc48817851 \h </w:instrText>
            </w:r>
            <w:r w:rsidR="00C616B9">
              <w:rPr>
                <w:webHidden/>
              </w:rPr>
            </w:r>
            <w:r w:rsidR="00C616B9">
              <w:rPr>
                <w:webHidden/>
              </w:rPr>
              <w:fldChar w:fldCharType="separate"/>
            </w:r>
            <w:r w:rsidR="00C616B9">
              <w:rPr>
                <w:webHidden/>
              </w:rPr>
              <w:t>65</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52" w:history="1">
            <w:r w:rsidR="00C616B9" w:rsidRPr="00CE52B5">
              <w:rPr>
                <w:rStyle w:val="Kpr"/>
                <w:rFonts w:ascii="Times New Roman" w:hAnsi="Times New Roman" w:cs="Times New Roman"/>
              </w:rPr>
              <w:t>4.    PRICE FORMATION AND TARIFICATION ACTIVITIES</w:t>
            </w:r>
            <w:r w:rsidR="00C616B9">
              <w:rPr>
                <w:webHidden/>
              </w:rPr>
              <w:tab/>
            </w:r>
            <w:r w:rsidR="00C616B9">
              <w:rPr>
                <w:webHidden/>
              </w:rPr>
              <w:fldChar w:fldCharType="begin"/>
            </w:r>
            <w:r w:rsidR="00C616B9">
              <w:rPr>
                <w:webHidden/>
              </w:rPr>
              <w:instrText xml:space="preserve"> PAGEREF _Toc48817852 \h </w:instrText>
            </w:r>
            <w:r w:rsidR="00C616B9">
              <w:rPr>
                <w:webHidden/>
              </w:rPr>
            </w:r>
            <w:r w:rsidR="00C616B9">
              <w:rPr>
                <w:webHidden/>
              </w:rPr>
              <w:fldChar w:fldCharType="separate"/>
            </w:r>
            <w:r w:rsidR="00C616B9">
              <w:rPr>
                <w:webHidden/>
              </w:rPr>
              <w:t>67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53" w:history="1">
            <w:r w:rsidR="00C616B9" w:rsidRPr="00CE52B5">
              <w:rPr>
                <w:rStyle w:val="Kpr"/>
                <w:rFonts w:ascii="Times New Roman" w:hAnsi="Times New Roman" w:cs="Times New Roman"/>
              </w:rPr>
              <w:t>4.1.Electricity Market Tariffs</w:t>
            </w:r>
            <w:r w:rsidR="00C616B9">
              <w:rPr>
                <w:webHidden/>
              </w:rPr>
              <w:tab/>
            </w:r>
            <w:r w:rsidR="00C616B9">
              <w:rPr>
                <w:webHidden/>
              </w:rPr>
              <w:fldChar w:fldCharType="begin"/>
            </w:r>
            <w:r w:rsidR="00C616B9">
              <w:rPr>
                <w:webHidden/>
              </w:rPr>
              <w:instrText xml:space="preserve"> PAGEREF _Toc48817853 \h </w:instrText>
            </w:r>
            <w:r w:rsidR="00C616B9">
              <w:rPr>
                <w:webHidden/>
              </w:rPr>
            </w:r>
            <w:r w:rsidR="00C616B9">
              <w:rPr>
                <w:webHidden/>
              </w:rPr>
              <w:fldChar w:fldCharType="separate"/>
            </w:r>
            <w:r w:rsidR="00C616B9">
              <w:rPr>
                <w:webHidden/>
              </w:rPr>
              <w:t>67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4" w:history="1">
            <w:r w:rsidR="00C616B9" w:rsidRPr="00CE52B5">
              <w:rPr>
                <w:rStyle w:val="Kpr"/>
                <w:rFonts w:ascii="Times New Roman" w:hAnsi="Times New Roman" w:cs="Times New Roman"/>
              </w:rPr>
              <w:t>4.1.1.Transmission Tariff</w:t>
            </w:r>
            <w:r w:rsidR="00C616B9">
              <w:rPr>
                <w:webHidden/>
              </w:rPr>
              <w:tab/>
            </w:r>
            <w:r w:rsidR="00C616B9">
              <w:rPr>
                <w:webHidden/>
              </w:rPr>
              <w:fldChar w:fldCharType="begin"/>
            </w:r>
            <w:r w:rsidR="00C616B9">
              <w:rPr>
                <w:webHidden/>
              </w:rPr>
              <w:instrText xml:space="preserve"> PAGEREF _Toc48817854 \h </w:instrText>
            </w:r>
            <w:r w:rsidR="00C616B9">
              <w:rPr>
                <w:webHidden/>
              </w:rPr>
            </w:r>
            <w:r w:rsidR="00C616B9">
              <w:rPr>
                <w:webHidden/>
              </w:rPr>
              <w:fldChar w:fldCharType="separate"/>
            </w:r>
            <w:r w:rsidR="00C616B9">
              <w:rPr>
                <w:webHidden/>
              </w:rPr>
              <w:t>67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5" w:history="1">
            <w:r w:rsidR="00C616B9" w:rsidRPr="00CE52B5">
              <w:rPr>
                <w:rStyle w:val="Kpr"/>
                <w:rFonts w:ascii="Times New Roman" w:hAnsi="Times New Roman" w:cs="Times New Roman"/>
              </w:rPr>
              <w:t>4.1.2.Distribution and Wholesale Tariffs</w:t>
            </w:r>
            <w:r w:rsidR="00C616B9">
              <w:rPr>
                <w:webHidden/>
              </w:rPr>
              <w:tab/>
            </w:r>
            <w:r w:rsidR="00C616B9">
              <w:rPr>
                <w:webHidden/>
              </w:rPr>
              <w:fldChar w:fldCharType="begin"/>
            </w:r>
            <w:r w:rsidR="00C616B9">
              <w:rPr>
                <w:webHidden/>
              </w:rPr>
              <w:instrText xml:space="preserve"> PAGEREF _Toc48817855 \h </w:instrText>
            </w:r>
            <w:r w:rsidR="00C616B9">
              <w:rPr>
                <w:webHidden/>
              </w:rPr>
            </w:r>
            <w:r w:rsidR="00C616B9">
              <w:rPr>
                <w:webHidden/>
              </w:rPr>
              <w:fldChar w:fldCharType="separate"/>
            </w:r>
            <w:r w:rsidR="00C616B9">
              <w:rPr>
                <w:webHidden/>
              </w:rPr>
              <w:t>68</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6" w:history="1">
            <w:r w:rsidR="00C616B9" w:rsidRPr="00CE52B5">
              <w:rPr>
                <w:rStyle w:val="Kpr"/>
                <w:rFonts w:ascii="Times New Roman" w:hAnsi="Times New Roman" w:cs="Times New Roman"/>
              </w:rPr>
              <w:t>4.1.3.Market Operation Tariff</w:t>
            </w:r>
            <w:r w:rsidR="00C616B9">
              <w:rPr>
                <w:webHidden/>
              </w:rPr>
              <w:tab/>
            </w:r>
            <w:r w:rsidR="00C616B9">
              <w:rPr>
                <w:webHidden/>
              </w:rPr>
              <w:fldChar w:fldCharType="begin"/>
            </w:r>
            <w:r w:rsidR="00C616B9">
              <w:rPr>
                <w:webHidden/>
              </w:rPr>
              <w:instrText xml:space="preserve"> PAGEREF _Toc48817856 \h </w:instrText>
            </w:r>
            <w:r w:rsidR="00C616B9">
              <w:rPr>
                <w:webHidden/>
              </w:rPr>
            </w:r>
            <w:r w:rsidR="00C616B9">
              <w:rPr>
                <w:webHidden/>
              </w:rPr>
              <w:fldChar w:fldCharType="separate"/>
            </w:r>
            <w:r w:rsidR="00C616B9">
              <w:rPr>
                <w:webHidden/>
              </w:rPr>
              <w:t>74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7" w:history="1">
            <w:r w:rsidR="00C616B9" w:rsidRPr="00CE52B5">
              <w:rPr>
                <w:rStyle w:val="Kpr"/>
                <w:rFonts w:ascii="Times New Roman" w:hAnsi="Times New Roman" w:cs="Times New Roman"/>
              </w:rPr>
              <w:t>4.1.4.OIZ Distribution Fee</w:t>
            </w:r>
            <w:r w:rsidR="00C616B9">
              <w:rPr>
                <w:webHidden/>
              </w:rPr>
              <w:tab/>
            </w:r>
            <w:r w:rsidR="00C616B9">
              <w:rPr>
                <w:webHidden/>
              </w:rPr>
              <w:fldChar w:fldCharType="begin"/>
            </w:r>
            <w:r w:rsidR="00C616B9">
              <w:rPr>
                <w:webHidden/>
              </w:rPr>
              <w:instrText xml:space="preserve"> PAGEREF _Toc48817857 \h </w:instrText>
            </w:r>
            <w:r w:rsidR="00C616B9">
              <w:rPr>
                <w:webHidden/>
              </w:rPr>
            </w:r>
            <w:r w:rsidR="00C616B9">
              <w:rPr>
                <w:webHidden/>
              </w:rPr>
              <w:fldChar w:fldCharType="separate"/>
            </w:r>
            <w:r w:rsidR="00C616B9">
              <w:rPr>
                <w:webHidden/>
              </w:rPr>
              <w:t>74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8" w:history="1">
            <w:r w:rsidR="00C616B9" w:rsidRPr="00CE52B5">
              <w:rPr>
                <w:rStyle w:val="Kpr"/>
                <w:rFonts w:ascii="Times New Roman" w:hAnsi="Times New Roman" w:cs="Times New Roman"/>
              </w:rPr>
              <w:t>4.1.5.EÜAŞ Wholesale Tariff</w:t>
            </w:r>
            <w:r w:rsidR="00C616B9">
              <w:rPr>
                <w:webHidden/>
              </w:rPr>
              <w:tab/>
            </w:r>
            <w:r w:rsidR="00C616B9">
              <w:rPr>
                <w:webHidden/>
              </w:rPr>
              <w:fldChar w:fldCharType="begin"/>
            </w:r>
            <w:r w:rsidR="00C616B9">
              <w:rPr>
                <w:webHidden/>
              </w:rPr>
              <w:instrText xml:space="preserve"> PAGEREF _Toc48817858 \h </w:instrText>
            </w:r>
            <w:r w:rsidR="00C616B9">
              <w:rPr>
                <w:webHidden/>
              </w:rPr>
            </w:r>
            <w:r w:rsidR="00C616B9">
              <w:rPr>
                <w:webHidden/>
              </w:rPr>
              <w:fldChar w:fldCharType="separate"/>
            </w:r>
            <w:r w:rsidR="00C616B9">
              <w:rPr>
                <w:webHidden/>
              </w:rPr>
              <w:t>74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59" w:history="1">
            <w:r w:rsidR="00C616B9" w:rsidRPr="00CE52B5">
              <w:rPr>
                <w:rStyle w:val="Kpr"/>
                <w:rFonts w:ascii="Times New Roman" w:hAnsi="Times New Roman" w:cs="Times New Roman"/>
              </w:rPr>
              <w:t>4.1.6.Turkey Average Electricity Wholesale Price</w:t>
            </w:r>
            <w:r w:rsidR="00C616B9">
              <w:rPr>
                <w:webHidden/>
              </w:rPr>
              <w:tab/>
            </w:r>
            <w:r w:rsidR="00C616B9">
              <w:rPr>
                <w:webHidden/>
              </w:rPr>
              <w:fldChar w:fldCharType="begin"/>
            </w:r>
            <w:r w:rsidR="00C616B9">
              <w:rPr>
                <w:webHidden/>
              </w:rPr>
              <w:instrText xml:space="preserve"> PAGEREF _Toc48817859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0" w:history="1">
            <w:r w:rsidR="00C616B9" w:rsidRPr="00CE52B5">
              <w:rPr>
                <w:rStyle w:val="Kpr"/>
                <w:rFonts w:ascii="Times New Roman" w:hAnsi="Times New Roman" w:cs="Times New Roman"/>
              </w:rPr>
              <w:t>4.1.7.License Fees</w:t>
            </w:r>
            <w:r w:rsidR="00C616B9">
              <w:rPr>
                <w:webHidden/>
              </w:rPr>
              <w:tab/>
            </w:r>
            <w:r w:rsidR="00C616B9">
              <w:rPr>
                <w:webHidden/>
              </w:rPr>
              <w:fldChar w:fldCharType="begin"/>
            </w:r>
            <w:r w:rsidR="00C616B9">
              <w:rPr>
                <w:webHidden/>
              </w:rPr>
              <w:instrText xml:space="preserve"> PAGEREF _Toc48817860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61" w:history="1">
            <w:r w:rsidR="00C616B9" w:rsidRPr="00CE52B5">
              <w:rPr>
                <w:rStyle w:val="Kpr"/>
                <w:rFonts w:ascii="Times New Roman" w:hAnsi="Times New Roman" w:cs="Times New Roman"/>
              </w:rPr>
              <w:t>4.2.Natural Gas Market Tariffs</w:t>
            </w:r>
            <w:r w:rsidR="00C616B9">
              <w:rPr>
                <w:webHidden/>
              </w:rPr>
              <w:tab/>
            </w:r>
            <w:r w:rsidR="00C616B9">
              <w:rPr>
                <w:webHidden/>
              </w:rPr>
              <w:fldChar w:fldCharType="begin"/>
            </w:r>
            <w:r w:rsidR="00C616B9">
              <w:rPr>
                <w:webHidden/>
              </w:rPr>
              <w:instrText xml:space="preserve"> PAGEREF _Toc48817861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2" w:history="1">
            <w:r w:rsidR="00C616B9" w:rsidRPr="00CE52B5">
              <w:rPr>
                <w:rStyle w:val="Kpr"/>
                <w:rFonts w:ascii="Times New Roman" w:hAnsi="Times New Roman" w:cs="Times New Roman"/>
              </w:rPr>
              <w:t>4.2.1.Transmission and Shipping Control Tariffs</w:t>
            </w:r>
            <w:r w:rsidR="00C616B9">
              <w:rPr>
                <w:webHidden/>
              </w:rPr>
              <w:tab/>
            </w:r>
            <w:r w:rsidR="00C616B9">
              <w:rPr>
                <w:webHidden/>
              </w:rPr>
              <w:fldChar w:fldCharType="begin"/>
            </w:r>
            <w:r w:rsidR="00C616B9">
              <w:rPr>
                <w:webHidden/>
              </w:rPr>
              <w:instrText xml:space="preserve"> PAGEREF _Toc48817862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3" w:history="1">
            <w:r w:rsidR="00C616B9" w:rsidRPr="00CE52B5">
              <w:rPr>
                <w:rStyle w:val="Kpr"/>
                <w:rFonts w:ascii="Times New Roman" w:hAnsi="Times New Roman" w:cs="Times New Roman"/>
              </w:rPr>
              <w:t>4.2.2.Connection Tariffs</w:t>
            </w:r>
            <w:r w:rsidR="00C616B9">
              <w:rPr>
                <w:webHidden/>
              </w:rPr>
              <w:tab/>
            </w:r>
            <w:r w:rsidR="00C616B9">
              <w:rPr>
                <w:webHidden/>
              </w:rPr>
              <w:fldChar w:fldCharType="begin"/>
            </w:r>
            <w:r w:rsidR="00C616B9">
              <w:rPr>
                <w:webHidden/>
              </w:rPr>
              <w:instrText xml:space="preserve"> PAGEREF _Toc48817863 \h </w:instrText>
            </w:r>
            <w:r w:rsidR="00C616B9">
              <w:rPr>
                <w:webHidden/>
              </w:rPr>
            </w:r>
            <w:r w:rsidR="00C616B9">
              <w:rPr>
                <w:webHidden/>
              </w:rPr>
              <w:fldChar w:fldCharType="separate"/>
            </w:r>
            <w:r w:rsidR="00C616B9">
              <w:rPr>
                <w:webHidden/>
              </w:rPr>
              <w:t>76</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4" w:history="1">
            <w:r w:rsidR="00C616B9" w:rsidRPr="00CE52B5">
              <w:rPr>
                <w:rStyle w:val="Kpr"/>
                <w:rFonts w:ascii="Times New Roman" w:hAnsi="Times New Roman" w:cs="Times New Roman"/>
              </w:rPr>
              <w:t>4.2.3.Fees for Internal Installation Project Approval, Supervision, Testing and Commissioning Transactions</w:t>
            </w:r>
            <w:r w:rsidR="00C616B9">
              <w:rPr>
                <w:webHidden/>
              </w:rPr>
              <w:tab/>
            </w:r>
            <w:r w:rsidR="00C616B9">
              <w:rPr>
                <w:webHidden/>
              </w:rPr>
              <w:fldChar w:fldCharType="begin"/>
            </w:r>
            <w:r w:rsidR="00C616B9">
              <w:rPr>
                <w:webHidden/>
              </w:rPr>
              <w:instrText xml:space="preserve"> PAGEREF _Toc48817864 \h </w:instrText>
            </w:r>
            <w:r w:rsidR="00C616B9">
              <w:rPr>
                <w:webHidden/>
              </w:rPr>
            </w:r>
            <w:r w:rsidR="00C616B9">
              <w:rPr>
                <w:webHidden/>
              </w:rPr>
              <w:fldChar w:fldCharType="separate"/>
            </w:r>
            <w:r w:rsidR="00C616B9">
              <w:rPr>
                <w:webHidden/>
              </w:rPr>
              <w:t>77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5" w:history="1">
            <w:r w:rsidR="00C616B9" w:rsidRPr="00CE52B5">
              <w:rPr>
                <w:rStyle w:val="Kpr"/>
                <w:rFonts w:ascii="Times New Roman" w:hAnsi="Times New Roman" w:cs="Times New Roman"/>
              </w:rPr>
              <w:t>4.2.4.Wholesale Tariffs</w:t>
            </w:r>
            <w:r w:rsidR="00C616B9">
              <w:rPr>
                <w:webHidden/>
              </w:rPr>
              <w:tab/>
            </w:r>
            <w:r w:rsidR="00C616B9">
              <w:rPr>
                <w:webHidden/>
              </w:rPr>
              <w:fldChar w:fldCharType="begin"/>
            </w:r>
            <w:r w:rsidR="00C616B9">
              <w:rPr>
                <w:webHidden/>
              </w:rPr>
              <w:instrText xml:space="preserve"> PAGEREF _Toc48817865 \h </w:instrText>
            </w:r>
            <w:r w:rsidR="00C616B9">
              <w:rPr>
                <w:webHidden/>
              </w:rPr>
            </w:r>
            <w:r w:rsidR="00C616B9">
              <w:rPr>
                <w:webHidden/>
              </w:rPr>
              <w:fldChar w:fldCharType="separate"/>
            </w:r>
            <w:r w:rsidR="00C616B9">
              <w:rPr>
                <w:webHidden/>
              </w:rPr>
              <w:t>77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6" w:history="1">
            <w:r w:rsidR="00C616B9" w:rsidRPr="00CE52B5">
              <w:rPr>
                <w:rStyle w:val="Kpr"/>
                <w:rFonts w:ascii="Times New Roman" w:hAnsi="Times New Roman" w:cs="Times New Roman"/>
              </w:rPr>
              <w:t>4.2.5.Retail Sale Tariffs</w:t>
            </w:r>
            <w:r w:rsidR="00C616B9">
              <w:rPr>
                <w:webHidden/>
              </w:rPr>
              <w:tab/>
            </w:r>
            <w:r w:rsidR="00C616B9">
              <w:rPr>
                <w:webHidden/>
              </w:rPr>
              <w:fldChar w:fldCharType="begin"/>
            </w:r>
            <w:r w:rsidR="00C616B9">
              <w:rPr>
                <w:webHidden/>
              </w:rPr>
              <w:instrText xml:space="preserve"> PAGEREF _Toc48817866 \h </w:instrText>
            </w:r>
            <w:r w:rsidR="00C616B9">
              <w:rPr>
                <w:webHidden/>
              </w:rPr>
            </w:r>
            <w:r w:rsidR="00C616B9">
              <w:rPr>
                <w:webHidden/>
              </w:rPr>
              <w:fldChar w:fldCharType="separate"/>
            </w:r>
            <w:r w:rsidR="00C616B9">
              <w:rPr>
                <w:webHidden/>
              </w:rPr>
              <w:t>78</w:t>
            </w:r>
            <w:r w:rsidR="00C616B9">
              <w:rPr>
                <w:webHidden/>
              </w:rPr>
              <w:fldChar w:fldCharType="end"/>
            </w:r>
          </w:hyperlink>
        </w:p>
        <w:p w:rsidR="00C616B9" w:rsidRDefault="00736E4B">
          <w:pPr>
            <w:pStyle w:val="T3"/>
            <w:tabs>
              <w:tab w:val="left" w:pos="1320"/>
              <w:tab w:val="right" w:leader="dot" w:pos="9396"/>
            </w:tabs>
            <w:rPr>
              <w:rFonts w:eastAsiaTheme="minorEastAsia"/>
              <w:lang w:val="tr-TR" w:eastAsia="tr-TR"/>
            </w:rPr>
          </w:pPr>
          <w:hyperlink w:anchor="_Toc48817867" w:history="1">
            <w:r w:rsidR="00C616B9" w:rsidRPr="00CE52B5">
              <w:rPr>
                <w:rStyle w:val="Kpr"/>
                <w:rFonts w:ascii="Times New Roman" w:hAnsi="Times New Roman" w:cs="Times New Roman"/>
              </w:rPr>
              <w:t>4.2.6</w:t>
            </w:r>
            <w:r w:rsidR="00C616B9">
              <w:rPr>
                <w:rFonts w:eastAsiaTheme="minorEastAsia"/>
                <w:lang w:val="tr-TR" w:eastAsia="tr-TR"/>
              </w:rPr>
              <w:tab/>
            </w:r>
            <w:r w:rsidR="00C616B9" w:rsidRPr="00CE52B5">
              <w:rPr>
                <w:rStyle w:val="Kpr"/>
                <w:rFonts w:ascii="Times New Roman" w:hAnsi="Times New Roman" w:cs="Times New Roman"/>
              </w:rPr>
              <w:t>Other Board Decisions Concerning the Natural Gas Market Tariffs</w:t>
            </w:r>
            <w:r w:rsidR="00C616B9">
              <w:rPr>
                <w:webHidden/>
              </w:rPr>
              <w:tab/>
            </w:r>
            <w:r w:rsidR="00C616B9">
              <w:rPr>
                <w:webHidden/>
              </w:rPr>
              <w:fldChar w:fldCharType="begin"/>
            </w:r>
            <w:r w:rsidR="00C616B9">
              <w:rPr>
                <w:webHidden/>
              </w:rPr>
              <w:instrText xml:space="preserve"> PAGEREF _Toc48817867 \h </w:instrText>
            </w:r>
            <w:r w:rsidR="00C616B9">
              <w:rPr>
                <w:webHidden/>
              </w:rPr>
            </w:r>
            <w:r w:rsidR="00C616B9">
              <w:rPr>
                <w:webHidden/>
              </w:rPr>
              <w:fldChar w:fldCharType="separate"/>
            </w:r>
            <w:r w:rsidR="00C616B9">
              <w:rPr>
                <w:webHidden/>
              </w:rPr>
              <w:t>81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68" w:history="1">
            <w:r w:rsidR="00C616B9" w:rsidRPr="00CE52B5">
              <w:rPr>
                <w:rStyle w:val="Kpr"/>
                <w:rFonts w:ascii="Times New Roman" w:hAnsi="Times New Roman" w:cs="Times New Roman"/>
              </w:rPr>
              <w:t>4.2.7.License Fees</w:t>
            </w:r>
            <w:r w:rsidR="00C616B9">
              <w:rPr>
                <w:webHidden/>
              </w:rPr>
              <w:tab/>
            </w:r>
            <w:r w:rsidR="00C616B9">
              <w:rPr>
                <w:webHidden/>
              </w:rPr>
              <w:fldChar w:fldCharType="begin"/>
            </w:r>
            <w:r w:rsidR="00C616B9">
              <w:rPr>
                <w:webHidden/>
              </w:rPr>
              <w:instrText xml:space="preserve"> PAGEREF _Toc48817868 \h </w:instrText>
            </w:r>
            <w:r w:rsidR="00C616B9">
              <w:rPr>
                <w:webHidden/>
              </w:rPr>
            </w:r>
            <w:r w:rsidR="00C616B9">
              <w:rPr>
                <w:webHidden/>
              </w:rPr>
              <w:fldChar w:fldCharType="separate"/>
            </w:r>
            <w:r w:rsidR="00C616B9">
              <w:rPr>
                <w:webHidden/>
              </w:rPr>
              <w:t>82</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69" w:history="1">
            <w:r w:rsidR="00C616B9" w:rsidRPr="00CE52B5">
              <w:rPr>
                <w:rStyle w:val="Kpr"/>
                <w:rFonts w:ascii="Times New Roman" w:hAnsi="Times New Roman" w:cs="Times New Roman"/>
              </w:rPr>
              <w:t>4.3.Petroleum Market Tariffs</w:t>
            </w:r>
            <w:r w:rsidR="00C616B9">
              <w:rPr>
                <w:webHidden/>
              </w:rPr>
              <w:tab/>
            </w:r>
            <w:r w:rsidR="00C616B9">
              <w:rPr>
                <w:webHidden/>
              </w:rPr>
              <w:fldChar w:fldCharType="begin"/>
            </w:r>
            <w:r w:rsidR="00C616B9">
              <w:rPr>
                <w:webHidden/>
              </w:rPr>
              <w:instrText xml:space="preserve"> PAGEREF _Toc48817869 \h </w:instrText>
            </w:r>
            <w:r w:rsidR="00C616B9">
              <w:rPr>
                <w:webHidden/>
              </w:rPr>
            </w:r>
            <w:r w:rsidR="00C616B9">
              <w:rPr>
                <w:webHidden/>
              </w:rPr>
              <w:fldChar w:fldCharType="separate"/>
            </w:r>
            <w:r w:rsidR="00C616B9">
              <w:rPr>
                <w:webHidden/>
              </w:rPr>
              <w:t>82</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70" w:history="1">
            <w:r w:rsidR="00C616B9" w:rsidRPr="00CE52B5">
              <w:rPr>
                <w:rStyle w:val="Kpr"/>
                <w:rFonts w:ascii="Times New Roman" w:hAnsi="Times New Roman" w:cs="Times New Roman"/>
              </w:rPr>
              <w:t>4.3.1.License Fees</w:t>
            </w:r>
            <w:r w:rsidR="00C616B9">
              <w:rPr>
                <w:webHidden/>
              </w:rPr>
              <w:tab/>
            </w:r>
            <w:r w:rsidR="00C616B9">
              <w:rPr>
                <w:webHidden/>
              </w:rPr>
              <w:fldChar w:fldCharType="begin"/>
            </w:r>
            <w:r w:rsidR="00C616B9">
              <w:rPr>
                <w:webHidden/>
              </w:rPr>
              <w:instrText xml:space="preserve"> PAGEREF _Toc48817870 \h </w:instrText>
            </w:r>
            <w:r w:rsidR="00C616B9">
              <w:rPr>
                <w:webHidden/>
              </w:rPr>
            </w:r>
            <w:r w:rsidR="00C616B9">
              <w:rPr>
                <w:webHidden/>
              </w:rPr>
              <w:fldChar w:fldCharType="separate"/>
            </w:r>
            <w:r w:rsidR="00C616B9">
              <w:rPr>
                <w:webHidden/>
              </w:rPr>
              <w:t>84</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1" w:history="1">
            <w:r w:rsidR="00C616B9" w:rsidRPr="00CE52B5">
              <w:rPr>
                <w:rStyle w:val="Kpr"/>
                <w:rFonts w:ascii="Times New Roman" w:hAnsi="Times New Roman" w:cs="Times New Roman"/>
              </w:rPr>
              <w:t>4.4.Prices in the Liquefied Petroleum Gases (LPG) Market</w:t>
            </w:r>
            <w:r w:rsidR="00C616B9">
              <w:rPr>
                <w:webHidden/>
              </w:rPr>
              <w:tab/>
            </w:r>
            <w:r w:rsidR="00C616B9">
              <w:rPr>
                <w:webHidden/>
              </w:rPr>
              <w:fldChar w:fldCharType="begin"/>
            </w:r>
            <w:r w:rsidR="00C616B9">
              <w:rPr>
                <w:webHidden/>
              </w:rPr>
              <w:instrText xml:space="preserve"> PAGEREF _Toc48817871 \h </w:instrText>
            </w:r>
            <w:r w:rsidR="00C616B9">
              <w:rPr>
                <w:webHidden/>
              </w:rPr>
            </w:r>
            <w:r w:rsidR="00C616B9">
              <w:rPr>
                <w:webHidden/>
              </w:rPr>
              <w:fldChar w:fldCharType="separate"/>
            </w:r>
            <w:r w:rsidR="00C616B9">
              <w:rPr>
                <w:webHidden/>
              </w:rPr>
              <w:t>84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72" w:history="1">
            <w:r w:rsidR="00C616B9" w:rsidRPr="00CE52B5">
              <w:rPr>
                <w:rStyle w:val="Kpr"/>
                <w:rFonts w:ascii="Times New Roman" w:hAnsi="Times New Roman" w:cs="Times New Roman"/>
              </w:rPr>
              <w:t>4.4.1.License Fees</w:t>
            </w:r>
            <w:r w:rsidR="00C616B9">
              <w:rPr>
                <w:webHidden/>
              </w:rPr>
              <w:tab/>
            </w:r>
            <w:r w:rsidR="00C616B9">
              <w:rPr>
                <w:webHidden/>
              </w:rPr>
              <w:fldChar w:fldCharType="begin"/>
            </w:r>
            <w:r w:rsidR="00C616B9">
              <w:rPr>
                <w:webHidden/>
              </w:rPr>
              <w:instrText xml:space="preserve"> PAGEREF _Toc48817872 \h </w:instrText>
            </w:r>
            <w:r w:rsidR="00C616B9">
              <w:rPr>
                <w:webHidden/>
              </w:rPr>
            </w:r>
            <w:r w:rsidR="00C616B9">
              <w:rPr>
                <w:webHidden/>
              </w:rPr>
              <w:fldChar w:fldCharType="separate"/>
            </w:r>
            <w:r w:rsidR="00C616B9">
              <w:rPr>
                <w:webHidden/>
              </w:rPr>
              <w:t>84</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73" w:history="1">
            <w:r w:rsidR="00C616B9" w:rsidRPr="00CE52B5">
              <w:rPr>
                <w:rStyle w:val="Kpr"/>
                <w:rFonts w:ascii="Times New Roman" w:hAnsi="Times New Roman" w:cs="Times New Roman"/>
              </w:rPr>
              <w:t>5. INFORMATION SYSTEMS AND AUTOMATION ACTIVITIES</w:t>
            </w:r>
            <w:r w:rsidR="00C616B9">
              <w:rPr>
                <w:webHidden/>
              </w:rPr>
              <w:tab/>
            </w:r>
            <w:r w:rsidR="00C616B9">
              <w:rPr>
                <w:webHidden/>
              </w:rPr>
              <w:fldChar w:fldCharType="begin"/>
            </w:r>
            <w:r w:rsidR="00C616B9">
              <w:rPr>
                <w:webHidden/>
              </w:rPr>
              <w:instrText xml:space="preserve"> PAGEREF _Toc48817873 \h </w:instrText>
            </w:r>
            <w:r w:rsidR="00C616B9">
              <w:rPr>
                <w:webHidden/>
              </w:rPr>
            </w:r>
            <w:r w:rsidR="00C616B9">
              <w:rPr>
                <w:webHidden/>
              </w:rPr>
              <w:fldChar w:fldCharType="separate"/>
            </w:r>
            <w:r w:rsidR="00C616B9">
              <w:rPr>
                <w:webHidden/>
              </w:rPr>
              <w:t>85</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4" w:history="1">
            <w:r w:rsidR="00C616B9" w:rsidRPr="00CE52B5">
              <w:rPr>
                <w:rStyle w:val="Kpr"/>
                <w:rFonts w:ascii="Times New Roman" w:hAnsi="Times New Roman" w:cs="Times New Roman"/>
              </w:rPr>
              <w:t>5.1 Establishment of Information Technology Department</w:t>
            </w:r>
            <w:r w:rsidR="00C616B9">
              <w:rPr>
                <w:webHidden/>
              </w:rPr>
              <w:tab/>
            </w:r>
            <w:r w:rsidR="00C616B9">
              <w:rPr>
                <w:webHidden/>
              </w:rPr>
              <w:fldChar w:fldCharType="begin"/>
            </w:r>
            <w:r w:rsidR="00C616B9">
              <w:rPr>
                <w:webHidden/>
              </w:rPr>
              <w:instrText xml:space="preserve"> PAGEREF _Toc48817874 \h </w:instrText>
            </w:r>
            <w:r w:rsidR="00C616B9">
              <w:rPr>
                <w:webHidden/>
              </w:rPr>
            </w:r>
            <w:r w:rsidR="00C616B9">
              <w:rPr>
                <w:webHidden/>
              </w:rPr>
              <w:fldChar w:fldCharType="separate"/>
            </w:r>
            <w:r w:rsidR="00C616B9">
              <w:rPr>
                <w:webHidden/>
              </w:rPr>
              <w:t>85</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5" w:history="1">
            <w:r w:rsidR="00C616B9" w:rsidRPr="00CE52B5">
              <w:rPr>
                <w:rStyle w:val="Kpr"/>
                <w:rFonts w:ascii="Times New Roman" w:hAnsi="Times New Roman" w:cs="Times New Roman"/>
              </w:rPr>
              <w:t>5.2.Information Security Management System (BGYS)</w:t>
            </w:r>
            <w:r w:rsidR="00C616B9">
              <w:rPr>
                <w:webHidden/>
              </w:rPr>
              <w:tab/>
            </w:r>
            <w:r w:rsidR="00C616B9">
              <w:rPr>
                <w:webHidden/>
              </w:rPr>
              <w:fldChar w:fldCharType="begin"/>
            </w:r>
            <w:r w:rsidR="00C616B9">
              <w:rPr>
                <w:webHidden/>
              </w:rPr>
              <w:instrText xml:space="preserve"> PAGEREF _Toc48817875 \h </w:instrText>
            </w:r>
            <w:r w:rsidR="00C616B9">
              <w:rPr>
                <w:webHidden/>
              </w:rPr>
            </w:r>
            <w:r w:rsidR="00C616B9">
              <w:rPr>
                <w:webHidden/>
              </w:rPr>
              <w:fldChar w:fldCharType="separate"/>
            </w:r>
            <w:r w:rsidR="00C616B9">
              <w:rPr>
                <w:webHidden/>
              </w:rPr>
              <w:t>85</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6" w:history="1">
            <w:r w:rsidR="00C616B9" w:rsidRPr="00CE52B5">
              <w:rPr>
                <w:rStyle w:val="Kpr"/>
                <w:rFonts w:ascii="Times New Roman" w:hAnsi="Times New Roman" w:cs="Times New Roman"/>
              </w:rPr>
              <w:t>5.3. Information Infrastructure Systems and Support Services</w:t>
            </w:r>
            <w:r w:rsidR="00C616B9">
              <w:rPr>
                <w:webHidden/>
              </w:rPr>
              <w:tab/>
            </w:r>
            <w:r w:rsidR="00C616B9">
              <w:rPr>
                <w:webHidden/>
              </w:rPr>
              <w:fldChar w:fldCharType="begin"/>
            </w:r>
            <w:r w:rsidR="00C616B9">
              <w:rPr>
                <w:webHidden/>
              </w:rPr>
              <w:instrText xml:space="preserve"> PAGEREF _Toc48817876 \h </w:instrText>
            </w:r>
            <w:r w:rsidR="00C616B9">
              <w:rPr>
                <w:webHidden/>
              </w:rPr>
            </w:r>
            <w:r w:rsidR="00C616B9">
              <w:rPr>
                <w:webHidden/>
              </w:rPr>
              <w:fldChar w:fldCharType="separate"/>
            </w:r>
            <w:r w:rsidR="00C616B9">
              <w:rPr>
                <w:webHidden/>
              </w:rPr>
              <w:t>86</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7" w:history="1">
            <w:r w:rsidR="00C616B9" w:rsidRPr="00CE52B5">
              <w:rPr>
                <w:rStyle w:val="Kpr"/>
                <w:rFonts w:ascii="Times New Roman" w:hAnsi="Times New Roman" w:cs="Times New Roman"/>
              </w:rPr>
              <w:t>5.4.Electronic Document Management System(EBYS)</w:t>
            </w:r>
            <w:r w:rsidR="00C616B9">
              <w:rPr>
                <w:webHidden/>
              </w:rPr>
              <w:tab/>
            </w:r>
            <w:r w:rsidR="00C616B9">
              <w:rPr>
                <w:webHidden/>
              </w:rPr>
              <w:fldChar w:fldCharType="begin"/>
            </w:r>
            <w:r w:rsidR="00C616B9">
              <w:rPr>
                <w:webHidden/>
              </w:rPr>
              <w:instrText xml:space="preserve"> PAGEREF _Toc48817877 \h </w:instrText>
            </w:r>
            <w:r w:rsidR="00C616B9">
              <w:rPr>
                <w:webHidden/>
              </w:rPr>
            </w:r>
            <w:r w:rsidR="00C616B9">
              <w:rPr>
                <w:webHidden/>
              </w:rPr>
              <w:fldChar w:fldCharType="separate"/>
            </w:r>
            <w:r w:rsidR="00C616B9">
              <w:rPr>
                <w:webHidden/>
              </w:rPr>
              <w:t>86</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8" w:history="1">
            <w:r w:rsidR="00C616B9" w:rsidRPr="00CE52B5">
              <w:rPr>
                <w:rStyle w:val="Kpr"/>
                <w:rFonts w:ascii="Times New Roman" w:hAnsi="Times New Roman" w:cs="Times New Roman"/>
              </w:rPr>
              <w:t xml:space="preserve">5.5. </w:t>
            </w:r>
            <w:r w:rsidR="00C616B9" w:rsidRPr="00CE52B5">
              <w:rPr>
                <w:rStyle w:val="Kpr"/>
                <w:rFonts w:ascii="Times New Roman" w:hAnsi="Times New Roman" w:cs="Times New Roman"/>
                <w:lang w:val="en"/>
              </w:rPr>
              <w:t>National Electronic Notification System (UETS) Integration Studies</w:t>
            </w:r>
            <w:r w:rsidR="00C616B9">
              <w:rPr>
                <w:webHidden/>
              </w:rPr>
              <w:tab/>
            </w:r>
            <w:r w:rsidR="00C616B9">
              <w:rPr>
                <w:webHidden/>
              </w:rPr>
              <w:fldChar w:fldCharType="begin"/>
            </w:r>
            <w:r w:rsidR="00C616B9">
              <w:rPr>
                <w:webHidden/>
              </w:rPr>
              <w:instrText xml:space="preserve"> PAGEREF _Toc48817878 \h </w:instrText>
            </w:r>
            <w:r w:rsidR="00C616B9">
              <w:rPr>
                <w:webHidden/>
              </w:rPr>
            </w:r>
            <w:r w:rsidR="00C616B9">
              <w:rPr>
                <w:webHidden/>
              </w:rPr>
              <w:fldChar w:fldCharType="separate"/>
            </w:r>
            <w:r w:rsidR="00C616B9">
              <w:rPr>
                <w:webHidden/>
              </w:rPr>
              <w:t>87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79" w:history="1">
            <w:r w:rsidR="00C616B9" w:rsidRPr="00CE52B5">
              <w:rPr>
                <w:rStyle w:val="Kpr"/>
                <w:rFonts w:ascii="Times New Roman" w:hAnsi="Times New Roman" w:cs="Times New Roman"/>
              </w:rPr>
              <w:t>5.6.Authority’s Web Page</w:t>
            </w:r>
            <w:r w:rsidR="00C616B9">
              <w:rPr>
                <w:webHidden/>
              </w:rPr>
              <w:tab/>
            </w:r>
            <w:r w:rsidR="00C616B9">
              <w:rPr>
                <w:webHidden/>
              </w:rPr>
              <w:fldChar w:fldCharType="begin"/>
            </w:r>
            <w:r w:rsidR="00C616B9">
              <w:rPr>
                <w:webHidden/>
              </w:rPr>
              <w:instrText xml:space="preserve"> PAGEREF _Toc48817879 \h </w:instrText>
            </w:r>
            <w:r w:rsidR="00C616B9">
              <w:rPr>
                <w:webHidden/>
              </w:rPr>
            </w:r>
            <w:r w:rsidR="00C616B9">
              <w:rPr>
                <w:webHidden/>
              </w:rPr>
              <w:fldChar w:fldCharType="separate"/>
            </w:r>
            <w:r w:rsidR="00C616B9">
              <w:rPr>
                <w:webHidden/>
              </w:rPr>
              <w:t>87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0" w:history="1">
            <w:r w:rsidR="00C616B9" w:rsidRPr="00CE52B5">
              <w:rPr>
                <w:rStyle w:val="Kpr"/>
                <w:rFonts w:ascii="Times New Roman" w:hAnsi="Times New Roman" w:cs="Times New Roman"/>
              </w:rPr>
              <w:t>5.7.Institutional Resource Planning (KKP)</w:t>
            </w:r>
            <w:r w:rsidR="00C616B9">
              <w:rPr>
                <w:webHidden/>
              </w:rPr>
              <w:tab/>
            </w:r>
            <w:r w:rsidR="00C616B9">
              <w:rPr>
                <w:webHidden/>
              </w:rPr>
              <w:fldChar w:fldCharType="begin"/>
            </w:r>
            <w:r w:rsidR="00C616B9">
              <w:rPr>
                <w:webHidden/>
              </w:rPr>
              <w:instrText xml:space="preserve"> PAGEREF _Toc48817880 \h </w:instrText>
            </w:r>
            <w:r w:rsidR="00C616B9">
              <w:rPr>
                <w:webHidden/>
              </w:rPr>
            </w:r>
            <w:r w:rsidR="00C616B9">
              <w:rPr>
                <w:webHidden/>
              </w:rPr>
              <w:fldChar w:fldCharType="separate"/>
            </w:r>
            <w:r w:rsidR="00C616B9">
              <w:rPr>
                <w:webHidden/>
              </w:rPr>
              <w:t>87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1" w:history="1">
            <w:r w:rsidR="00C616B9" w:rsidRPr="00CE52B5">
              <w:rPr>
                <w:rStyle w:val="Kpr"/>
                <w:rFonts w:ascii="Times New Roman" w:hAnsi="Times New Roman" w:cs="Times New Roman"/>
              </w:rPr>
              <w:t>5.8 Electronic Signature</w:t>
            </w:r>
            <w:r w:rsidR="00C616B9">
              <w:rPr>
                <w:webHidden/>
              </w:rPr>
              <w:tab/>
            </w:r>
            <w:r w:rsidR="00C616B9">
              <w:rPr>
                <w:webHidden/>
              </w:rPr>
              <w:fldChar w:fldCharType="begin"/>
            </w:r>
            <w:r w:rsidR="00C616B9">
              <w:rPr>
                <w:webHidden/>
              </w:rPr>
              <w:instrText xml:space="preserve"> PAGEREF _Toc48817881 \h </w:instrText>
            </w:r>
            <w:r w:rsidR="00C616B9">
              <w:rPr>
                <w:webHidden/>
              </w:rPr>
            </w:r>
            <w:r w:rsidR="00C616B9">
              <w:rPr>
                <w:webHidden/>
              </w:rPr>
              <w:fldChar w:fldCharType="separate"/>
            </w:r>
            <w:r w:rsidR="00C616B9">
              <w:rPr>
                <w:webHidden/>
              </w:rPr>
              <w:t>87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2" w:history="1">
            <w:r w:rsidR="00C616B9" w:rsidRPr="00CE52B5">
              <w:rPr>
                <w:rStyle w:val="Kpr"/>
                <w:rFonts w:ascii="Times New Roman" w:hAnsi="Times New Roman" w:cs="Times New Roman"/>
              </w:rPr>
              <w:t>5.9 EPARS</w:t>
            </w:r>
            <w:r w:rsidR="00C616B9">
              <w:rPr>
                <w:webHidden/>
              </w:rPr>
              <w:tab/>
            </w:r>
            <w:r w:rsidR="00C616B9">
              <w:rPr>
                <w:webHidden/>
              </w:rPr>
              <w:fldChar w:fldCharType="begin"/>
            </w:r>
            <w:r w:rsidR="00C616B9">
              <w:rPr>
                <w:webHidden/>
              </w:rPr>
              <w:instrText xml:space="preserve"> PAGEREF _Toc48817882 \h </w:instrText>
            </w:r>
            <w:r w:rsidR="00C616B9">
              <w:rPr>
                <w:webHidden/>
              </w:rPr>
            </w:r>
            <w:r w:rsidR="00C616B9">
              <w:rPr>
                <w:webHidden/>
              </w:rPr>
              <w:fldChar w:fldCharType="separate"/>
            </w:r>
            <w:r w:rsidR="00C616B9">
              <w:rPr>
                <w:webHidden/>
              </w:rPr>
              <w:t>87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3" w:history="1">
            <w:r w:rsidR="00C616B9" w:rsidRPr="00CE52B5">
              <w:rPr>
                <w:rStyle w:val="Kpr"/>
                <w:rFonts w:ascii="Times New Roman" w:hAnsi="Times New Roman" w:cs="Times New Roman"/>
              </w:rPr>
              <w:t>5.10.Energy Market Database Management System (EPVYS)</w:t>
            </w:r>
            <w:r w:rsidR="00C616B9">
              <w:rPr>
                <w:webHidden/>
              </w:rPr>
              <w:tab/>
            </w:r>
            <w:r w:rsidR="00C616B9">
              <w:rPr>
                <w:webHidden/>
              </w:rPr>
              <w:fldChar w:fldCharType="begin"/>
            </w:r>
            <w:r w:rsidR="00C616B9">
              <w:rPr>
                <w:webHidden/>
              </w:rPr>
              <w:instrText xml:space="preserve"> PAGEREF _Toc48817883 \h </w:instrText>
            </w:r>
            <w:r w:rsidR="00C616B9">
              <w:rPr>
                <w:webHidden/>
              </w:rPr>
            </w:r>
            <w:r w:rsidR="00C616B9">
              <w:rPr>
                <w:webHidden/>
              </w:rPr>
              <w:fldChar w:fldCharType="separate"/>
            </w:r>
            <w:r w:rsidR="00C616B9">
              <w:rPr>
                <w:webHidden/>
              </w:rPr>
              <w:t>88</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4" w:history="1">
            <w:r w:rsidR="00C616B9" w:rsidRPr="00CE52B5">
              <w:rPr>
                <w:rStyle w:val="Kpr"/>
                <w:rFonts w:ascii="Times New Roman" w:hAnsi="Times New Roman" w:cs="Times New Roman"/>
              </w:rPr>
              <w:t>5.11.Data Sharing with other Institutions and Organiazations (Data Access and Sharing System(VEPS))</w:t>
            </w:r>
            <w:r w:rsidR="00C616B9">
              <w:rPr>
                <w:webHidden/>
              </w:rPr>
              <w:tab/>
            </w:r>
            <w:r w:rsidR="00C616B9">
              <w:rPr>
                <w:webHidden/>
              </w:rPr>
              <w:fldChar w:fldCharType="begin"/>
            </w:r>
            <w:r w:rsidR="00C616B9">
              <w:rPr>
                <w:webHidden/>
              </w:rPr>
              <w:instrText xml:space="preserve"> PAGEREF _Toc48817884 \h </w:instrText>
            </w:r>
            <w:r w:rsidR="00C616B9">
              <w:rPr>
                <w:webHidden/>
              </w:rPr>
            </w:r>
            <w:r w:rsidR="00C616B9">
              <w:rPr>
                <w:webHidden/>
              </w:rPr>
              <w:fldChar w:fldCharType="separate"/>
            </w:r>
            <w:r w:rsidR="00C616B9">
              <w:rPr>
                <w:webHidden/>
              </w:rPr>
              <w:t>89</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5" w:history="1">
            <w:r w:rsidR="00C616B9" w:rsidRPr="00CE52B5">
              <w:rPr>
                <w:rStyle w:val="Kpr"/>
                <w:rFonts w:ascii="Times New Roman" w:hAnsi="Times New Roman" w:cs="Times New Roman"/>
              </w:rPr>
              <w:t>5.12.Electronic Notification System (EBİS)</w:t>
            </w:r>
            <w:r w:rsidR="00C616B9">
              <w:rPr>
                <w:webHidden/>
              </w:rPr>
              <w:tab/>
            </w:r>
            <w:r w:rsidR="00C616B9">
              <w:rPr>
                <w:webHidden/>
              </w:rPr>
              <w:fldChar w:fldCharType="begin"/>
            </w:r>
            <w:r w:rsidR="00C616B9">
              <w:rPr>
                <w:webHidden/>
              </w:rPr>
              <w:instrText xml:space="preserve"> PAGEREF _Toc48817885 \h </w:instrText>
            </w:r>
            <w:r w:rsidR="00C616B9">
              <w:rPr>
                <w:webHidden/>
              </w:rPr>
            </w:r>
            <w:r w:rsidR="00C616B9">
              <w:rPr>
                <w:webHidden/>
              </w:rPr>
              <w:fldChar w:fldCharType="separate"/>
            </w:r>
            <w:r w:rsidR="00C616B9">
              <w:rPr>
                <w:webHidden/>
              </w:rPr>
              <w:t>89</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86" w:history="1">
            <w:r w:rsidR="00C616B9" w:rsidRPr="00CE52B5">
              <w:rPr>
                <w:rStyle w:val="Kpr"/>
                <w:rFonts w:ascii="Times New Roman" w:hAnsi="Times New Roman" w:cs="Times New Roman"/>
              </w:rPr>
              <w:t>6.     AUDIT</w:t>
            </w:r>
            <w:r w:rsidR="00C616B9">
              <w:rPr>
                <w:webHidden/>
              </w:rPr>
              <w:tab/>
            </w:r>
            <w:r w:rsidR="00C616B9">
              <w:rPr>
                <w:webHidden/>
              </w:rPr>
              <w:fldChar w:fldCharType="begin"/>
            </w:r>
            <w:r w:rsidR="00C616B9">
              <w:rPr>
                <w:webHidden/>
              </w:rPr>
              <w:instrText xml:space="preserve"> PAGEREF _Toc48817886 \h </w:instrText>
            </w:r>
            <w:r w:rsidR="00C616B9">
              <w:rPr>
                <w:webHidden/>
              </w:rPr>
            </w:r>
            <w:r w:rsidR="00C616B9">
              <w:rPr>
                <w:webHidden/>
              </w:rPr>
              <w:fldChar w:fldCharType="separate"/>
            </w:r>
            <w:r w:rsidR="00C616B9">
              <w:rPr>
                <w:webHidden/>
              </w:rPr>
              <w:t>90</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7" w:history="1">
            <w:r w:rsidR="00C616B9" w:rsidRPr="00CE52B5">
              <w:rPr>
                <w:rStyle w:val="Kpr"/>
                <w:rFonts w:ascii="Times New Roman" w:hAnsi="Times New Roman" w:cs="Times New Roman"/>
              </w:rPr>
              <w:t>6.1.Electricity Market Audit Activities</w:t>
            </w:r>
            <w:r w:rsidR="00C616B9">
              <w:rPr>
                <w:webHidden/>
              </w:rPr>
              <w:tab/>
            </w:r>
            <w:r w:rsidR="00C616B9">
              <w:rPr>
                <w:webHidden/>
              </w:rPr>
              <w:fldChar w:fldCharType="begin"/>
            </w:r>
            <w:r w:rsidR="00C616B9">
              <w:rPr>
                <w:webHidden/>
              </w:rPr>
              <w:instrText xml:space="preserve"> PAGEREF _Toc48817887 \h </w:instrText>
            </w:r>
            <w:r w:rsidR="00C616B9">
              <w:rPr>
                <w:webHidden/>
              </w:rPr>
            </w:r>
            <w:r w:rsidR="00C616B9">
              <w:rPr>
                <w:webHidden/>
              </w:rPr>
              <w:fldChar w:fldCharType="separate"/>
            </w:r>
            <w:r w:rsidR="00C616B9">
              <w:rPr>
                <w:webHidden/>
              </w:rPr>
              <w:t>90</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88" w:history="1">
            <w:r w:rsidR="00C616B9" w:rsidRPr="00CE52B5">
              <w:rPr>
                <w:rStyle w:val="Kpr"/>
                <w:rFonts w:ascii="Times New Roman" w:hAnsi="Times New Roman" w:cs="Times New Roman"/>
              </w:rPr>
              <w:t>6.2.Natural Gas Market Investigation and Audit Activities</w:t>
            </w:r>
            <w:r w:rsidR="00C616B9">
              <w:rPr>
                <w:webHidden/>
              </w:rPr>
              <w:tab/>
            </w:r>
            <w:r w:rsidR="00C616B9">
              <w:rPr>
                <w:webHidden/>
              </w:rPr>
              <w:fldChar w:fldCharType="begin"/>
            </w:r>
            <w:r w:rsidR="00C616B9">
              <w:rPr>
                <w:webHidden/>
              </w:rPr>
              <w:instrText xml:space="preserve"> PAGEREF _Toc48817888 \h </w:instrText>
            </w:r>
            <w:r w:rsidR="00C616B9">
              <w:rPr>
                <w:webHidden/>
              </w:rPr>
            </w:r>
            <w:r w:rsidR="00C616B9">
              <w:rPr>
                <w:webHidden/>
              </w:rPr>
              <w:fldChar w:fldCharType="separate"/>
            </w:r>
            <w:r w:rsidR="00C616B9">
              <w:rPr>
                <w:webHidden/>
              </w:rPr>
              <w:t>90</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89" w:history="1">
            <w:r w:rsidR="00C616B9" w:rsidRPr="00CE52B5">
              <w:rPr>
                <w:rStyle w:val="Kpr"/>
                <w:rFonts w:ascii="Times New Roman" w:hAnsi="Times New Roman" w:cs="Times New Roman"/>
              </w:rPr>
              <w:t>6.2.1.5 Year Investment Obligations of Natural Gas Distribution Companies</w:t>
            </w:r>
            <w:r w:rsidR="00C616B9">
              <w:rPr>
                <w:webHidden/>
              </w:rPr>
              <w:tab/>
            </w:r>
            <w:r w:rsidR="00C616B9">
              <w:rPr>
                <w:webHidden/>
              </w:rPr>
              <w:fldChar w:fldCharType="begin"/>
            </w:r>
            <w:r w:rsidR="00C616B9">
              <w:rPr>
                <w:webHidden/>
              </w:rPr>
              <w:instrText xml:space="preserve"> PAGEREF _Toc48817889 \h </w:instrText>
            </w:r>
            <w:r w:rsidR="00C616B9">
              <w:rPr>
                <w:webHidden/>
              </w:rPr>
            </w:r>
            <w:r w:rsidR="00C616B9">
              <w:rPr>
                <w:webHidden/>
              </w:rPr>
              <w:fldChar w:fldCharType="separate"/>
            </w:r>
            <w:r w:rsidR="00C616B9">
              <w:rPr>
                <w:webHidden/>
              </w:rPr>
              <w:t>90</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890" w:history="1">
            <w:r w:rsidR="00C616B9" w:rsidRPr="00CE52B5">
              <w:rPr>
                <w:rStyle w:val="Kpr"/>
                <w:rFonts w:ascii="Times New Roman" w:hAnsi="Times New Roman" w:cs="Times New Roman"/>
              </w:rPr>
              <w:t>6.2.2. Natural Gas Market Audit Activities</w:t>
            </w:r>
            <w:r w:rsidR="00C616B9">
              <w:rPr>
                <w:webHidden/>
              </w:rPr>
              <w:tab/>
            </w:r>
            <w:r w:rsidR="00C616B9">
              <w:rPr>
                <w:webHidden/>
              </w:rPr>
              <w:fldChar w:fldCharType="begin"/>
            </w:r>
            <w:r w:rsidR="00C616B9">
              <w:rPr>
                <w:webHidden/>
              </w:rPr>
              <w:instrText xml:space="preserve"> PAGEREF _Toc48817890 \h </w:instrText>
            </w:r>
            <w:r w:rsidR="00C616B9">
              <w:rPr>
                <w:webHidden/>
              </w:rPr>
            </w:r>
            <w:r w:rsidR="00C616B9">
              <w:rPr>
                <w:webHidden/>
              </w:rPr>
              <w:fldChar w:fldCharType="separate"/>
            </w:r>
            <w:r w:rsidR="00C616B9">
              <w:rPr>
                <w:webHidden/>
              </w:rPr>
              <w:t>91</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1" w:history="1">
            <w:r w:rsidR="00C616B9" w:rsidRPr="00CE52B5">
              <w:rPr>
                <w:rStyle w:val="Kpr"/>
                <w:rFonts w:ascii="Times New Roman" w:hAnsi="Times New Roman" w:cs="Times New Roman"/>
              </w:rPr>
              <w:t>6.3.Petroleum Market Audit Activities</w:t>
            </w:r>
            <w:r w:rsidR="00C616B9">
              <w:rPr>
                <w:webHidden/>
              </w:rPr>
              <w:tab/>
            </w:r>
            <w:r w:rsidR="00C616B9">
              <w:rPr>
                <w:webHidden/>
              </w:rPr>
              <w:fldChar w:fldCharType="begin"/>
            </w:r>
            <w:r w:rsidR="00C616B9">
              <w:rPr>
                <w:webHidden/>
              </w:rPr>
              <w:instrText xml:space="preserve"> PAGEREF _Toc48817891 \h </w:instrText>
            </w:r>
            <w:r w:rsidR="00C616B9">
              <w:rPr>
                <w:webHidden/>
              </w:rPr>
            </w:r>
            <w:r w:rsidR="00C616B9">
              <w:rPr>
                <w:webHidden/>
              </w:rPr>
              <w:fldChar w:fldCharType="separate"/>
            </w:r>
            <w:r w:rsidR="00C616B9">
              <w:rPr>
                <w:webHidden/>
              </w:rPr>
              <w:t>91</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2" w:history="1">
            <w:r w:rsidR="00C616B9" w:rsidRPr="00CE52B5">
              <w:rPr>
                <w:rStyle w:val="Kpr"/>
                <w:rFonts w:ascii="Times New Roman" w:hAnsi="Times New Roman" w:cs="Times New Roman"/>
              </w:rPr>
              <w:t>6.4 Liquefied Petroleum Gases Auditing Activities</w:t>
            </w:r>
            <w:r w:rsidR="00C616B9">
              <w:rPr>
                <w:webHidden/>
              </w:rPr>
              <w:tab/>
            </w:r>
            <w:r w:rsidR="00C616B9">
              <w:rPr>
                <w:webHidden/>
              </w:rPr>
              <w:fldChar w:fldCharType="begin"/>
            </w:r>
            <w:r w:rsidR="00C616B9">
              <w:rPr>
                <w:webHidden/>
              </w:rPr>
              <w:instrText xml:space="preserve"> PAGEREF _Toc48817892 \h </w:instrText>
            </w:r>
            <w:r w:rsidR="00C616B9">
              <w:rPr>
                <w:webHidden/>
              </w:rPr>
            </w:r>
            <w:r w:rsidR="00C616B9">
              <w:rPr>
                <w:webHidden/>
              </w:rPr>
              <w:fldChar w:fldCharType="separate"/>
            </w:r>
            <w:r w:rsidR="00C616B9">
              <w:rPr>
                <w:webHidden/>
              </w:rPr>
              <w:t>94</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93" w:history="1">
            <w:r w:rsidR="00C616B9" w:rsidRPr="00CE52B5">
              <w:rPr>
                <w:rStyle w:val="Kpr"/>
                <w:rFonts w:ascii="Times New Roman" w:hAnsi="Times New Roman" w:cs="Times New Roman"/>
              </w:rPr>
              <w:t>7.   EXPROPRIATION, LEASING and ESTABLSIHMENT OF EASEMENT RIGHT</w:t>
            </w:r>
            <w:r w:rsidR="00C616B9">
              <w:rPr>
                <w:webHidden/>
              </w:rPr>
              <w:tab/>
            </w:r>
            <w:r w:rsidR="00C616B9">
              <w:rPr>
                <w:webHidden/>
              </w:rPr>
              <w:fldChar w:fldCharType="begin"/>
            </w:r>
            <w:r w:rsidR="00C616B9">
              <w:rPr>
                <w:webHidden/>
              </w:rPr>
              <w:instrText xml:space="preserve"> PAGEREF _Toc48817893 \h </w:instrText>
            </w:r>
            <w:r w:rsidR="00C616B9">
              <w:rPr>
                <w:webHidden/>
              </w:rPr>
            </w:r>
            <w:r w:rsidR="00C616B9">
              <w:rPr>
                <w:webHidden/>
              </w:rPr>
              <w:fldChar w:fldCharType="separate"/>
            </w:r>
            <w:r w:rsidR="00C616B9">
              <w:rPr>
                <w:webHidden/>
              </w:rPr>
              <w:t>96</w:t>
            </w:r>
            <w:r w:rsidR="00C616B9">
              <w:rPr>
                <w:webHidden/>
              </w:rPr>
              <w:fldChar w:fldCharType="end"/>
            </w:r>
          </w:hyperlink>
        </w:p>
        <w:p w:rsidR="00C616B9" w:rsidRDefault="00736E4B">
          <w:pPr>
            <w:pStyle w:val="T1"/>
            <w:tabs>
              <w:tab w:val="left" w:pos="440"/>
              <w:tab w:val="right" w:leader="dot" w:pos="9396"/>
            </w:tabs>
            <w:rPr>
              <w:rFonts w:eastAsiaTheme="minorEastAsia"/>
              <w:lang w:val="tr-TR" w:eastAsia="tr-TR"/>
            </w:rPr>
          </w:pPr>
          <w:hyperlink w:anchor="_Toc48817894" w:history="1">
            <w:r w:rsidR="00C616B9" w:rsidRPr="00CE52B5">
              <w:rPr>
                <w:rStyle w:val="Kpr"/>
                <w:rFonts w:ascii="Times New Roman" w:hAnsi="Times New Roman" w:cs="Times New Roman"/>
              </w:rPr>
              <w:t>8.</w:t>
            </w:r>
            <w:r w:rsidR="00C616B9">
              <w:rPr>
                <w:rFonts w:eastAsiaTheme="minorEastAsia"/>
                <w:lang w:val="tr-TR" w:eastAsia="tr-TR"/>
              </w:rPr>
              <w:tab/>
            </w:r>
            <w:r w:rsidR="00C616B9" w:rsidRPr="00CE52B5">
              <w:rPr>
                <w:rStyle w:val="Kpr"/>
                <w:rFonts w:ascii="Times New Roman" w:hAnsi="Times New Roman" w:cs="Times New Roman"/>
              </w:rPr>
              <w:t>LEGAL WORKS</w:t>
            </w:r>
            <w:r w:rsidR="00C616B9">
              <w:rPr>
                <w:webHidden/>
              </w:rPr>
              <w:tab/>
            </w:r>
            <w:r w:rsidR="00C616B9">
              <w:rPr>
                <w:webHidden/>
              </w:rPr>
              <w:fldChar w:fldCharType="begin"/>
            </w:r>
            <w:r w:rsidR="00C616B9">
              <w:rPr>
                <w:webHidden/>
              </w:rPr>
              <w:instrText xml:space="preserve"> PAGEREF _Toc48817894 \h </w:instrText>
            </w:r>
            <w:r w:rsidR="00C616B9">
              <w:rPr>
                <w:webHidden/>
              </w:rPr>
            </w:r>
            <w:r w:rsidR="00C616B9">
              <w:rPr>
                <w:webHidden/>
              </w:rPr>
              <w:fldChar w:fldCharType="separate"/>
            </w:r>
            <w:r w:rsidR="00C616B9">
              <w:rPr>
                <w:webHidden/>
              </w:rPr>
              <w:t>99</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5" w:history="1">
            <w:r w:rsidR="00C616B9" w:rsidRPr="00CE52B5">
              <w:rPr>
                <w:rStyle w:val="Kpr"/>
                <w:rFonts w:ascii="Times New Roman" w:hAnsi="Times New Roman" w:cs="Times New Roman"/>
              </w:rPr>
              <w:t>8.1.Litigation Procedures</w:t>
            </w:r>
            <w:r w:rsidR="00C616B9">
              <w:rPr>
                <w:webHidden/>
              </w:rPr>
              <w:tab/>
            </w:r>
            <w:r w:rsidR="00C616B9">
              <w:rPr>
                <w:webHidden/>
              </w:rPr>
              <w:fldChar w:fldCharType="begin"/>
            </w:r>
            <w:r w:rsidR="00C616B9">
              <w:rPr>
                <w:webHidden/>
              </w:rPr>
              <w:instrText xml:space="preserve"> PAGEREF _Toc48817895 \h </w:instrText>
            </w:r>
            <w:r w:rsidR="00C616B9">
              <w:rPr>
                <w:webHidden/>
              </w:rPr>
            </w:r>
            <w:r w:rsidR="00C616B9">
              <w:rPr>
                <w:webHidden/>
              </w:rPr>
              <w:fldChar w:fldCharType="separate"/>
            </w:r>
            <w:r w:rsidR="00C616B9">
              <w:rPr>
                <w:webHidden/>
              </w:rPr>
              <w:t>99</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6" w:history="1">
            <w:r w:rsidR="00C616B9" w:rsidRPr="00CE52B5">
              <w:rPr>
                <w:rStyle w:val="Kpr"/>
                <w:rFonts w:ascii="Times New Roman" w:hAnsi="Times New Roman" w:cs="Times New Roman"/>
              </w:rPr>
              <w:t>8.2. Providing Opinion</w:t>
            </w:r>
            <w:r w:rsidR="00C616B9">
              <w:rPr>
                <w:webHidden/>
              </w:rPr>
              <w:tab/>
            </w:r>
            <w:r w:rsidR="00C616B9">
              <w:rPr>
                <w:webHidden/>
              </w:rPr>
              <w:fldChar w:fldCharType="begin"/>
            </w:r>
            <w:r w:rsidR="00C616B9">
              <w:rPr>
                <w:webHidden/>
              </w:rPr>
              <w:instrText xml:space="preserve"> PAGEREF _Toc48817896 \h </w:instrText>
            </w:r>
            <w:r w:rsidR="00C616B9">
              <w:rPr>
                <w:webHidden/>
              </w:rPr>
            </w:r>
            <w:r w:rsidR="00C616B9">
              <w:rPr>
                <w:webHidden/>
              </w:rPr>
              <w:fldChar w:fldCharType="separate"/>
            </w:r>
            <w:r w:rsidR="00C616B9">
              <w:rPr>
                <w:webHidden/>
              </w:rPr>
              <w:t>101</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897" w:history="1">
            <w:r w:rsidR="00C616B9" w:rsidRPr="00CE52B5">
              <w:rPr>
                <w:rStyle w:val="Kpr"/>
                <w:rFonts w:ascii="Times New Roman" w:hAnsi="Times New Roman" w:cs="Times New Roman"/>
              </w:rPr>
              <w:t>9. PROTECTING CONSUMERS’ RIGHTS</w:t>
            </w:r>
            <w:r w:rsidR="00C616B9">
              <w:rPr>
                <w:webHidden/>
              </w:rPr>
              <w:tab/>
            </w:r>
            <w:r w:rsidR="00C616B9">
              <w:rPr>
                <w:webHidden/>
              </w:rPr>
              <w:fldChar w:fldCharType="begin"/>
            </w:r>
            <w:r w:rsidR="00C616B9">
              <w:rPr>
                <w:webHidden/>
              </w:rPr>
              <w:instrText xml:space="preserve"> PAGEREF _Toc48817897 \h </w:instrText>
            </w:r>
            <w:r w:rsidR="00C616B9">
              <w:rPr>
                <w:webHidden/>
              </w:rPr>
            </w:r>
            <w:r w:rsidR="00C616B9">
              <w:rPr>
                <w:webHidden/>
              </w:rPr>
              <w:fldChar w:fldCharType="separate"/>
            </w:r>
            <w:r w:rsidR="00C616B9">
              <w:rPr>
                <w:webHidden/>
              </w:rPr>
              <w:t>104</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8" w:history="1">
            <w:r w:rsidR="00C616B9" w:rsidRPr="00CE52B5">
              <w:rPr>
                <w:rStyle w:val="Kpr"/>
                <w:rFonts w:ascii="Times New Roman" w:hAnsi="Times New Roman" w:cs="Times New Roman"/>
              </w:rPr>
              <w:t>9.1.Creating and Developing Customer Awareness</w:t>
            </w:r>
            <w:r w:rsidR="00C616B9">
              <w:rPr>
                <w:webHidden/>
              </w:rPr>
              <w:tab/>
            </w:r>
            <w:r w:rsidR="00C616B9">
              <w:rPr>
                <w:webHidden/>
              </w:rPr>
              <w:fldChar w:fldCharType="begin"/>
            </w:r>
            <w:r w:rsidR="00C616B9">
              <w:rPr>
                <w:webHidden/>
              </w:rPr>
              <w:instrText xml:space="preserve"> PAGEREF _Toc48817898 \h </w:instrText>
            </w:r>
            <w:r w:rsidR="00C616B9">
              <w:rPr>
                <w:webHidden/>
              </w:rPr>
            </w:r>
            <w:r w:rsidR="00C616B9">
              <w:rPr>
                <w:webHidden/>
              </w:rPr>
              <w:fldChar w:fldCharType="separate"/>
            </w:r>
            <w:r w:rsidR="00C616B9">
              <w:rPr>
                <w:webHidden/>
              </w:rPr>
              <w:t>104</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899" w:history="1">
            <w:r w:rsidR="00C616B9" w:rsidRPr="00CE52B5">
              <w:rPr>
                <w:rStyle w:val="Kpr"/>
                <w:rFonts w:ascii="Times New Roman" w:hAnsi="Times New Roman" w:cs="Times New Roman"/>
              </w:rPr>
              <w:t>9.2.Evaluation of Consumer Complaints</w:t>
            </w:r>
            <w:r w:rsidR="00C616B9">
              <w:rPr>
                <w:webHidden/>
              </w:rPr>
              <w:tab/>
            </w:r>
            <w:r w:rsidR="00C616B9">
              <w:rPr>
                <w:webHidden/>
              </w:rPr>
              <w:fldChar w:fldCharType="begin"/>
            </w:r>
            <w:r w:rsidR="00C616B9">
              <w:rPr>
                <w:webHidden/>
              </w:rPr>
              <w:instrText xml:space="preserve"> PAGEREF _Toc48817899 \h </w:instrText>
            </w:r>
            <w:r w:rsidR="00C616B9">
              <w:rPr>
                <w:webHidden/>
              </w:rPr>
            </w:r>
            <w:r w:rsidR="00C616B9">
              <w:rPr>
                <w:webHidden/>
              </w:rPr>
              <w:fldChar w:fldCharType="separate"/>
            </w:r>
            <w:r w:rsidR="00C616B9">
              <w:rPr>
                <w:webHidden/>
              </w:rPr>
              <w:t>105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0" w:history="1">
            <w:r w:rsidR="00C616B9" w:rsidRPr="00CE52B5">
              <w:rPr>
                <w:rStyle w:val="Kpr"/>
                <w:rFonts w:ascii="Times New Roman" w:hAnsi="Times New Roman" w:cs="Times New Roman"/>
              </w:rPr>
              <w:t>9.2.1. Information Acquisition/Complaint Numbers and Channels</w:t>
            </w:r>
            <w:r w:rsidR="00C616B9">
              <w:rPr>
                <w:webHidden/>
              </w:rPr>
              <w:tab/>
            </w:r>
            <w:r w:rsidR="00C616B9">
              <w:rPr>
                <w:webHidden/>
              </w:rPr>
              <w:fldChar w:fldCharType="begin"/>
            </w:r>
            <w:r w:rsidR="00C616B9">
              <w:rPr>
                <w:webHidden/>
              </w:rPr>
              <w:instrText xml:space="preserve"> PAGEREF _Toc48817900 \h </w:instrText>
            </w:r>
            <w:r w:rsidR="00C616B9">
              <w:rPr>
                <w:webHidden/>
              </w:rPr>
            </w:r>
            <w:r w:rsidR="00C616B9">
              <w:rPr>
                <w:webHidden/>
              </w:rPr>
              <w:fldChar w:fldCharType="separate"/>
            </w:r>
            <w:r w:rsidR="00C616B9">
              <w:rPr>
                <w:webHidden/>
              </w:rPr>
              <w:t>105</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1" w:history="1">
            <w:r w:rsidR="00C616B9" w:rsidRPr="00CE52B5">
              <w:rPr>
                <w:rStyle w:val="Kpr"/>
                <w:rFonts w:ascii="Times New Roman" w:hAnsi="Times New Roman" w:cs="Times New Roman"/>
              </w:rPr>
              <w:t>9.2.2. Sectoral Dispersion of the Complaint Notifications</w:t>
            </w:r>
            <w:r w:rsidR="00C616B9">
              <w:rPr>
                <w:webHidden/>
              </w:rPr>
              <w:tab/>
            </w:r>
            <w:r w:rsidR="00C616B9">
              <w:rPr>
                <w:webHidden/>
              </w:rPr>
              <w:fldChar w:fldCharType="begin"/>
            </w:r>
            <w:r w:rsidR="00C616B9">
              <w:rPr>
                <w:webHidden/>
              </w:rPr>
              <w:instrText xml:space="preserve"> PAGEREF _Toc48817901 \h </w:instrText>
            </w:r>
            <w:r w:rsidR="00C616B9">
              <w:rPr>
                <w:webHidden/>
              </w:rPr>
            </w:r>
            <w:r w:rsidR="00C616B9">
              <w:rPr>
                <w:webHidden/>
              </w:rPr>
              <w:fldChar w:fldCharType="separate"/>
            </w:r>
            <w:r w:rsidR="00C616B9">
              <w:rPr>
                <w:webHidden/>
              </w:rPr>
              <w:t>107</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2" w:history="1">
            <w:r w:rsidR="00C616B9" w:rsidRPr="00CE52B5">
              <w:rPr>
                <w:rStyle w:val="Kpr"/>
                <w:rFonts w:ascii="Times New Roman" w:hAnsi="Times New Roman" w:cs="Times New Roman"/>
              </w:rPr>
              <w:t>9.2.3. Classification of Complaints and Realizations in the Electricity Sector</w:t>
            </w:r>
            <w:r w:rsidR="00C616B9">
              <w:rPr>
                <w:webHidden/>
              </w:rPr>
              <w:tab/>
            </w:r>
            <w:r w:rsidR="00C616B9">
              <w:rPr>
                <w:webHidden/>
              </w:rPr>
              <w:fldChar w:fldCharType="begin"/>
            </w:r>
            <w:r w:rsidR="00C616B9">
              <w:rPr>
                <w:webHidden/>
              </w:rPr>
              <w:instrText xml:space="preserve"> PAGEREF _Toc48817902 \h </w:instrText>
            </w:r>
            <w:r w:rsidR="00C616B9">
              <w:rPr>
                <w:webHidden/>
              </w:rPr>
            </w:r>
            <w:r w:rsidR="00C616B9">
              <w:rPr>
                <w:webHidden/>
              </w:rPr>
              <w:fldChar w:fldCharType="separate"/>
            </w:r>
            <w:r w:rsidR="00C616B9">
              <w:rPr>
                <w:webHidden/>
              </w:rPr>
              <w:t>109</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3" w:history="1">
            <w:r w:rsidR="00C616B9" w:rsidRPr="00CE52B5">
              <w:rPr>
                <w:rStyle w:val="Kpr"/>
                <w:rFonts w:ascii="Times New Roman" w:hAnsi="Times New Roman" w:cs="Times New Roman"/>
              </w:rPr>
              <w:t>9.2.4. Classification of Complaints and Realizations in Natural Gas Sector</w:t>
            </w:r>
            <w:r w:rsidR="00C616B9">
              <w:rPr>
                <w:webHidden/>
              </w:rPr>
              <w:tab/>
            </w:r>
            <w:r w:rsidR="00C616B9">
              <w:rPr>
                <w:webHidden/>
              </w:rPr>
              <w:fldChar w:fldCharType="begin"/>
            </w:r>
            <w:r w:rsidR="00C616B9">
              <w:rPr>
                <w:webHidden/>
              </w:rPr>
              <w:instrText xml:space="preserve"> PAGEREF _Toc48817903 \h </w:instrText>
            </w:r>
            <w:r w:rsidR="00C616B9">
              <w:rPr>
                <w:webHidden/>
              </w:rPr>
            </w:r>
            <w:r w:rsidR="00C616B9">
              <w:rPr>
                <w:webHidden/>
              </w:rPr>
              <w:fldChar w:fldCharType="separate"/>
            </w:r>
            <w:r w:rsidR="00C616B9">
              <w:rPr>
                <w:webHidden/>
              </w:rPr>
              <w:t>111</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4" w:history="1">
            <w:r w:rsidR="00C616B9" w:rsidRPr="00CE52B5">
              <w:rPr>
                <w:rStyle w:val="Kpr"/>
                <w:rFonts w:ascii="Times New Roman" w:hAnsi="Times New Roman" w:cs="Times New Roman"/>
              </w:rPr>
              <w:t>9.2.5. Classification of Complaints and Realizations in the Petroleum Sector</w:t>
            </w:r>
            <w:r w:rsidR="00C616B9">
              <w:rPr>
                <w:webHidden/>
              </w:rPr>
              <w:tab/>
            </w:r>
            <w:r w:rsidR="00C616B9">
              <w:rPr>
                <w:webHidden/>
              </w:rPr>
              <w:fldChar w:fldCharType="begin"/>
            </w:r>
            <w:r w:rsidR="00C616B9">
              <w:rPr>
                <w:webHidden/>
              </w:rPr>
              <w:instrText xml:space="preserve"> PAGEREF _Toc48817904 \h </w:instrText>
            </w:r>
            <w:r w:rsidR="00C616B9">
              <w:rPr>
                <w:webHidden/>
              </w:rPr>
            </w:r>
            <w:r w:rsidR="00C616B9">
              <w:rPr>
                <w:webHidden/>
              </w:rPr>
              <w:fldChar w:fldCharType="separate"/>
            </w:r>
            <w:r w:rsidR="00C616B9">
              <w:rPr>
                <w:webHidden/>
              </w:rPr>
              <w:t>112</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05" w:history="1">
            <w:r w:rsidR="00C616B9" w:rsidRPr="00CE52B5">
              <w:rPr>
                <w:rStyle w:val="Kpr"/>
                <w:rFonts w:ascii="Times New Roman" w:hAnsi="Times New Roman" w:cs="Times New Roman"/>
              </w:rPr>
              <w:t>9.2.6. Classification and Realizations of Liquefied Petroleum Gases (LPG) Complaints</w:t>
            </w:r>
            <w:r w:rsidR="00C616B9">
              <w:rPr>
                <w:webHidden/>
              </w:rPr>
              <w:tab/>
            </w:r>
            <w:r w:rsidR="00C616B9">
              <w:rPr>
                <w:webHidden/>
              </w:rPr>
              <w:fldChar w:fldCharType="begin"/>
            </w:r>
            <w:r w:rsidR="00C616B9">
              <w:rPr>
                <w:webHidden/>
              </w:rPr>
              <w:instrText xml:space="preserve"> PAGEREF _Toc48817905 \h </w:instrText>
            </w:r>
            <w:r w:rsidR="00C616B9">
              <w:rPr>
                <w:webHidden/>
              </w:rPr>
            </w:r>
            <w:r w:rsidR="00C616B9">
              <w:rPr>
                <w:webHidden/>
              </w:rPr>
              <w:fldChar w:fldCharType="separate"/>
            </w:r>
            <w:r w:rsidR="00C616B9">
              <w:rPr>
                <w:webHidden/>
              </w:rPr>
              <w:t>113</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906" w:history="1">
            <w:r w:rsidR="00C616B9" w:rsidRPr="00CE52B5">
              <w:rPr>
                <w:rStyle w:val="Kpr"/>
                <w:rFonts w:ascii="Times New Roman" w:hAnsi="Times New Roman" w:cs="Times New Roman"/>
              </w:rPr>
              <w:t>10. PRESS AND PUBLIC RELATIONS</w:t>
            </w:r>
            <w:r w:rsidR="00C616B9">
              <w:rPr>
                <w:webHidden/>
              </w:rPr>
              <w:tab/>
            </w:r>
            <w:r w:rsidR="00C616B9">
              <w:rPr>
                <w:webHidden/>
              </w:rPr>
              <w:fldChar w:fldCharType="begin"/>
            </w:r>
            <w:r w:rsidR="00C616B9">
              <w:rPr>
                <w:webHidden/>
              </w:rPr>
              <w:instrText xml:space="preserve"> PAGEREF _Toc48817906 \h </w:instrText>
            </w:r>
            <w:r w:rsidR="00C616B9">
              <w:rPr>
                <w:webHidden/>
              </w:rPr>
            </w:r>
            <w:r w:rsidR="00C616B9">
              <w:rPr>
                <w:webHidden/>
              </w:rPr>
              <w:fldChar w:fldCharType="separate"/>
            </w:r>
            <w:r w:rsidR="00C616B9">
              <w:rPr>
                <w:webHidden/>
              </w:rPr>
              <w:t>114</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907" w:history="1">
            <w:r w:rsidR="00C616B9" w:rsidRPr="00CE52B5">
              <w:rPr>
                <w:rStyle w:val="Kpr"/>
                <w:rFonts w:ascii="Times New Roman" w:hAnsi="Times New Roman" w:cs="Times New Roman"/>
              </w:rPr>
              <w:t>11. RELATIONS WITH OTHER INSTITUTIONS</w:t>
            </w:r>
            <w:r w:rsidR="00C616B9">
              <w:rPr>
                <w:webHidden/>
              </w:rPr>
              <w:tab/>
            </w:r>
            <w:r w:rsidR="00C616B9">
              <w:rPr>
                <w:webHidden/>
              </w:rPr>
              <w:fldChar w:fldCharType="begin"/>
            </w:r>
            <w:r w:rsidR="00C616B9">
              <w:rPr>
                <w:webHidden/>
              </w:rPr>
              <w:instrText xml:space="preserve"> PAGEREF _Toc48817907 \h </w:instrText>
            </w:r>
            <w:r w:rsidR="00C616B9">
              <w:rPr>
                <w:webHidden/>
              </w:rPr>
            </w:r>
            <w:r w:rsidR="00C616B9">
              <w:rPr>
                <w:webHidden/>
              </w:rPr>
              <w:fldChar w:fldCharType="separate"/>
            </w:r>
            <w:r w:rsidR="00C616B9">
              <w:rPr>
                <w:webHidden/>
              </w:rPr>
              <w:t>115</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908" w:history="1">
            <w:r w:rsidR="00C616B9" w:rsidRPr="00CE52B5">
              <w:rPr>
                <w:rStyle w:val="Kpr"/>
                <w:rFonts w:ascii="Times New Roman" w:hAnsi="Times New Roman" w:cs="Times New Roman"/>
              </w:rPr>
              <w:t>12.  EXTERNAL RELATIONS</w:t>
            </w:r>
            <w:r w:rsidR="00C616B9">
              <w:rPr>
                <w:webHidden/>
              </w:rPr>
              <w:tab/>
            </w:r>
            <w:r w:rsidR="00C616B9">
              <w:rPr>
                <w:webHidden/>
              </w:rPr>
              <w:fldChar w:fldCharType="begin"/>
            </w:r>
            <w:r w:rsidR="00C616B9">
              <w:rPr>
                <w:webHidden/>
              </w:rPr>
              <w:instrText xml:space="preserve"> PAGEREF _Toc48817908 \h </w:instrText>
            </w:r>
            <w:r w:rsidR="00C616B9">
              <w:rPr>
                <w:webHidden/>
              </w:rPr>
            </w:r>
            <w:r w:rsidR="00C616B9">
              <w:rPr>
                <w:webHidden/>
              </w:rPr>
              <w:fldChar w:fldCharType="separate"/>
            </w:r>
            <w:r w:rsidR="00C616B9">
              <w:rPr>
                <w:webHidden/>
              </w:rPr>
              <w:t>116</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909" w:history="1">
            <w:r w:rsidR="00C616B9" w:rsidRPr="00CE52B5">
              <w:rPr>
                <w:rStyle w:val="Kpr"/>
                <w:rFonts w:ascii="Times New Roman" w:hAnsi="Times New Roman" w:cs="Times New Roman"/>
              </w:rPr>
              <w:t>12.1. Relations with the Regional Associations of which EMRA is a Member</w:t>
            </w:r>
            <w:r w:rsidR="00C616B9">
              <w:rPr>
                <w:webHidden/>
              </w:rPr>
              <w:tab/>
            </w:r>
            <w:r w:rsidR="00C616B9">
              <w:rPr>
                <w:webHidden/>
              </w:rPr>
              <w:fldChar w:fldCharType="begin"/>
            </w:r>
            <w:r w:rsidR="00C616B9">
              <w:rPr>
                <w:webHidden/>
              </w:rPr>
              <w:instrText xml:space="preserve"> PAGEREF _Toc48817909 \h </w:instrText>
            </w:r>
            <w:r w:rsidR="00C616B9">
              <w:rPr>
                <w:webHidden/>
              </w:rPr>
            </w:r>
            <w:r w:rsidR="00C616B9">
              <w:rPr>
                <w:webHidden/>
              </w:rPr>
              <w:fldChar w:fldCharType="separate"/>
            </w:r>
            <w:r w:rsidR="00C616B9">
              <w:rPr>
                <w:webHidden/>
              </w:rPr>
              <w:t>116</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910" w:history="1">
            <w:r w:rsidR="00C616B9" w:rsidRPr="00CE52B5">
              <w:rPr>
                <w:rStyle w:val="Kpr"/>
                <w:rFonts w:ascii="Times New Roman" w:hAnsi="Times New Roman" w:cs="Times New Roman"/>
              </w:rPr>
              <w:t>12.2 Bilateral Relations</w:t>
            </w:r>
            <w:r w:rsidR="00C616B9">
              <w:rPr>
                <w:webHidden/>
              </w:rPr>
              <w:tab/>
            </w:r>
            <w:r w:rsidR="00C616B9">
              <w:rPr>
                <w:webHidden/>
              </w:rPr>
              <w:fldChar w:fldCharType="begin"/>
            </w:r>
            <w:r w:rsidR="00C616B9">
              <w:rPr>
                <w:webHidden/>
              </w:rPr>
              <w:instrText xml:space="preserve"> PAGEREF _Toc48817910 \h </w:instrText>
            </w:r>
            <w:r w:rsidR="00C616B9">
              <w:rPr>
                <w:webHidden/>
              </w:rPr>
            </w:r>
            <w:r w:rsidR="00C616B9">
              <w:rPr>
                <w:webHidden/>
              </w:rPr>
              <w:fldChar w:fldCharType="separate"/>
            </w:r>
            <w:r w:rsidR="00C616B9">
              <w:rPr>
                <w:webHidden/>
              </w:rPr>
              <w:t>117</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911" w:history="1">
            <w:r w:rsidR="00C616B9" w:rsidRPr="00CE52B5">
              <w:rPr>
                <w:rStyle w:val="Kpr"/>
                <w:rFonts w:ascii="Times New Roman" w:hAnsi="Times New Roman" w:cs="Times New Roman"/>
              </w:rPr>
              <w:t>12.3. Activities within the Scope of Alignment with the EU Acquis</w:t>
            </w:r>
            <w:r w:rsidR="00C616B9">
              <w:rPr>
                <w:webHidden/>
              </w:rPr>
              <w:tab/>
            </w:r>
            <w:r w:rsidR="00C616B9">
              <w:rPr>
                <w:webHidden/>
              </w:rPr>
              <w:fldChar w:fldCharType="begin"/>
            </w:r>
            <w:r w:rsidR="00C616B9">
              <w:rPr>
                <w:webHidden/>
              </w:rPr>
              <w:instrText xml:space="preserve"> PAGEREF _Toc48817911 \h </w:instrText>
            </w:r>
            <w:r w:rsidR="00C616B9">
              <w:rPr>
                <w:webHidden/>
              </w:rPr>
            </w:r>
            <w:r w:rsidR="00C616B9">
              <w:rPr>
                <w:webHidden/>
              </w:rPr>
              <w:fldChar w:fldCharType="separate"/>
            </w:r>
            <w:r w:rsidR="00C616B9">
              <w:rPr>
                <w:webHidden/>
              </w:rPr>
              <w:t>118</w:t>
            </w:r>
            <w:r w:rsidR="00C616B9">
              <w:rPr>
                <w:webHidden/>
              </w:rPr>
              <w:fldChar w:fldCharType="end"/>
            </w:r>
          </w:hyperlink>
        </w:p>
        <w:p w:rsidR="00C616B9" w:rsidRDefault="00736E4B">
          <w:pPr>
            <w:pStyle w:val="T2"/>
            <w:tabs>
              <w:tab w:val="left" w:pos="1100"/>
              <w:tab w:val="right" w:leader="dot" w:pos="9396"/>
            </w:tabs>
            <w:rPr>
              <w:rFonts w:eastAsiaTheme="minorEastAsia"/>
              <w:lang w:val="tr-TR" w:eastAsia="tr-TR"/>
            </w:rPr>
          </w:pPr>
          <w:hyperlink w:anchor="_Toc48817912" w:history="1">
            <w:r w:rsidR="00C616B9" w:rsidRPr="00CE52B5">
              <w:rPr>
                <w:rStyle w:val="Kpr"/>
                <w:rFonts w:ascii="Times New Roman" w:hAnsi="Times New Roman" w:cs="Times New Roman"/>
              </w:rPr>
              <w:t xml:space="preserve">12.4. </w:t>
            </w:r>
            <w:r w:rsidR="00C616B9">
              <w:rPr>
                <w:rFonts w:eastAsiaTheme="minorEastAsia"/>
                <w:lang w:val="tr-TR" w:eastAsia="tr-TR"/>
              </w:rPr>
              <w:tab/>
            </w:r>
            <w:r w:rsidR="00C616B9" w:rsidRPr="00CE52B5">
              <w:rPr>
                <w:rStyle w:val="Kpr"/>
                <w:rFonts w:ascii="Times New Roman" w:hAnsi="Times New Roman" w:cs="Times New Roman"/>
              </w:rPr>
              <w:t>The Studies in the Areas Falling within the Organization’s Mandate in Which Our Country is a Part of it or Have Relations with</w:t>
            </w:r>
            <w:r w:rsidR="00C616B9">
              <w:rPr>
                <w:webHidden/>
              </w:rPr>
              <w:tab/>
            </w:r>
            <w:r w:rsidR="00C616B9">
              <w:rPr>
                <w:webHidden/>
              </w:rPr>
              <w:fldChar w:fldCharType="begin"/>
            </w:r>
            <w:r w:rsidR="00C616B9">
              <w:rPr>
                <w:webHidden/>
              </w:rPr>
              <w:instrText xml:space="preserve"> PAGEREF _Toc48817912 \h </w:instrText>
            </w:r>
            <w:r w:rsidR="00C616B9">
              <w:rPr>
                <w:webHidden/>
              </w:rPr>
            </w:r>
            <w:r w:rsidR="00C616B9">
              <w:rPr>
                <w:webHidden/>
              </w:rPr>
              <w:fldChar w:fldCharType="separate"/>
            </w:r>
            <w:r w:rsidR="00C616B9">
              <w:rPr>
                <w:webHidden/>
              </w:rPr>
              <w:t>119</w:t>
            </w:r>
            <w:r w:rsidR="00C616B9">
              <w:rPr>
                <w:webHidden/>
              </w:rPr>
              <w:fldChar w:fldCharType="end"/>
            </w:r>
          </w:hyperlink>
        </w:p>
        <w:p w:rsidR="00C616B9" w:rsidRDefault="00736E4B">
          <w:pPr>
            <w:pStyle w:val="T2"/>
            <w:tabs>
              <w:tab w:val="left" w:pos="880"/>
              <w:tab w:val="right" w:leader="dot" w:pos="9396"/>
            </w:tabs>
            <w:rPr>
              <w:rFonts w:eastAsiaTheme="minorEastAsia"/>
              <w:lang w:val="tr-TR" w:eastAsia="tr-TR"/>
            </w:rPr>
          </w:pPr>
          <w:hyperlink w:anchor="_Toc48817913" w:history="1">
            <w:r w:rsidR="00C616B9" w:rsidRPr="00CE52B5">
              <w:rPr>
                <w:rStyle w:val="Kpr"/>
                <w:rFonts w:ascii="Times New Roman" w:hAnsi="Times New Roman" w:cs="Times New Roman"/>
              </w:rPr>
              <w:t>12.5</w:t>
            </w:r>
            <w:r w:rsidR="00C616B9">
              <w:rPr>
                <w:rFonts w:eastAsiaTheme="minorEastAsia"/>
                <w:lang w:val="tr-TR" w:eastAsia="tr-TR"/>
              </w:rPr>
              <w:tab/>
            </w:r>
            <w:r w:rsidR="00C616B9" w:rsidRPr="00CE52B5">
              <w:rPr>
                <w:rStyle w:val="Kpr"/>
                <w:rFonts w:ascii="Times New Roman" w:hAnsi="Times New Roman" w:cs="Times New Roman"/>
              </w:rPr>
              <w:t>Monitoring and Reporting of Developments in International Energy Markets</w:t>
            </w:r>
            <w:r w:rsidR="00C616B9">
              <w:rPr>
                <w:webHidden/>
              </w:rPr>
              <w:tab/>
            </w:r>
            <w:r w:rsidR="00C616B9">
              <w:rPr>
                <w:webHidden/>
              </w:rPr>
              <w:fldChar w:fldCharType="begin"/>
            </w:r>
            <w:r w:rsidR="00C616B9">
              <w:rPr>
                <w:webHidden/>
              </w:rPr>
              <w:instrText xml:space="preserve"> PAGEREF _Toc48817913 \h </w:instrText>
            </w:r>
            <w:r w:rsidR="00C616B9">
              <w:rPr>
                <w:webHidden/>
              </w:rPr>
            </w:r>
            <w:r w:rsidR="00C616B9">
              <w:rPr>
                <w:webHidden/>
              </w:rPr>
              <w:fldChar w:fldCharType="separate"/>
            </w:r>
            <w:r w:rsidR="00C616B9">
              <w:rPr>
                <w:webHidden/>
              </w:rPr>
              <w:t>120</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914" w:history="1">
            <w:r w:rsidR="00C616B9" w:rsidRPr="00CE52B5">
              <w:rPr>
                <w:rStyle w:val="Kpr"/>
                <w:rFonts w:ascii="Times New Roman" w:hAnsi="Times New Roman" w:cs="Times New Roman"/>
              </w:rPr>
              <w:t>13. HUMAN RESOURCES AND TRAINING ACTIVITIES</w:t>
            </w:r>
            <w:r w:rsidR="00C616B9">
              <w:rPr>
                <w:webHidden/>
              </w:rPr>
              <w:tab/>
            </w:r>
            <w:r w:rsidR="00C616B9">
              <w:rPr>
                <w:webHidden/>
              </w:rPr>
              <w:fldChar w:fldCharType="begin"/>
            </w:r>
            <w:r w:rsidR="00C616B9">
              <w:rPr>
                <w:webHidden/>
              </w:rPr>
              <w:instrText xml:space="preserve"> PAGEREF _Toc48817914 \h </w:instrText>
            </w:r>
            <w:r w:rsidR="00C616B9">
              <w:rPr>
                <w:webHidden/>
              </w:rPr>
            </w:r>
            <w:r w:rsidR="00C616B9">
              <w:rPr>
                <w:webHidden/>
              </w:rPr>
              <w:fldChar w:fldCharType="separate"/>
            </w:r>
            <w:r w:rsidR="00C616B9">
              <w:rPr>
                <w:webHidden/>
              </w:rPr>
              <w:t>121</w:t>
            </w:r>
            <w:r w:rsidR="00C616B9">
              <w:rPr>
                <w:webHidden/>
              </w:rPr>
              <w:fldChar w:fldCharType="end"/>
            </w:r>
          </w:hyperlink>
        </w:p>
        <w:p w:rsidR="00C616B9" w:rsidRDefault="00736E4B">
          <w:pPr>
            <w:pStyle w:val="T2"/>
            <w:tabs>
              <w:tab w:val="left" w:pos="1100"/>
              <w:tab w:val="right" w:leader="dot" w:pos="9396"/>
            </w:tabs>
            <w:rPr>
              <w:rFonts w:eastAsiaTheme="minorEastAsia"/>
              <w:lang w:val="tr-TR" w:eastAsia="tr-TR"/>
            </w:rPr>
          </w:pPr>
          <w:hyperlink w:anchor="_Toc48817915" w:history="1">
            <w:r w:rsidR="00C616B9" w:rsidRPr="00CE52B5">
              <w:rPr>
                <w:rStyle w:val="Kpr"/>
                <w:rFonts w:ascii="Times New Roman" w:hAnsi="Times New Roman" w:cs="Times New Roman"/>
              </w:rPr>
              <w:t xml:space="preserve">13.1. </w:t>
            </w:r>
            <w:r w:rsidR="00C616B9">
              <w:rPr>
                <w:rFonts w:eastAsiaTheme="minorEastAsia"/>
                <w:lang w:val="tr-TR" w:eastAsia="tr-TR"/>
              </w:rPr>
              <w:tab/>
            </w:r>
            <w:r w:rsidR="00C616B9" w:rsidRPr="00CE52B5">
              <w:rPr>
                <w:rStyle w:val="Kpr"/>
                <w:rFonts w:ascii="Times New Roman" w:hAnsi="Times New Roman" w:cs="Times New Roman"/>
              </w:rPr>
              <w:t>Staff of the Authority</w:t>
            </w:r>
            <w:r w:rsidR="00C616B9">
              <w:rPr>
                <w:webHidden/>
              </w:rPr>
              <w:tab/>
            </w:r>
            <w:r w:rsidR="00C616B9">
              <w:rPr>
                <w:webHidden/>
              </w:rPr>
              <w:fldChar w:fldCharType="begin"/>
            </w:r>
            <w:r w:rsidR="00C616B9">
              <w:rPr>
                <w:webHidden/>
              </w:rPr>
              <w:instrText xml:space="preserve"> PAGEREF _Toc48817915 \h </w:instrText>
            </w:r>
            <w:r w:rsidR="00C616B9">
              <w:rPr>
                <w:webHidden/>
              </w:rPr>
            </w:r>
            <w:r w:rsidR="00C616B9">
              <w:rPr>
                <w:webHidden/>
              </w:rPr>
              <w:fldChar w:fldCharType="separate"/>
            </w:r>
            <w:r w:rsidR="00C616B9">
              <w:rPr>
                <w:webHidden/>
              </w:rPr>
              <w:t>121</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916" w:history="1">
            <w:r w:rsidR="00C616B9" w:rsidRPr="00CE52B5">
              <w:rPr>
                <w:rStyle w:val="Kpr"/>
                <w:rFonts w:ascii="Times New Roman" w:hAnsi="Times New Roman" w:cs="Times New Roman"/>
              </w:rPr>
              <w:t>13.2. Training Activities</w:t>
            </w:r>
            <w:r w:rsidR="00C616B9">
              <w:rPr>
                <w:webHidden/>
              </w:rPr>
              <w:tab/>
            </w:r>
            <w:r w:rsidR="00C616B9">
              <w:rPr>
                <w:webHidden/>
              </w:rPr>
              <w:fldChar w:fldCharType="begin"/>
            </w:r>
            <w:r w:rsidR="00C616B9">
              <w:rPr>
                <w:webHidden/>
              </w:rPr>
              <w:instrText xml:space="preserve"> PAGEREF _Toc48817916 \h </w:instrText>
            </w:r>
            <w:r w:rsidR="00C616B9">
              <w:rPr>
                <w:webHidden/>
              </w:rPr>
            </w:r>
            <w:r w:rsidR="00C616B9">
              <w:rPr>
                <w:webHidden/>
              </w:rPr>
              <w:fldChar w:fldCharType="separate"/>
            </w:r>
            <w:r w:rsidR="00C616B9">
              <w:rPr>
                <w:webHidden/>
              </w:rPr>
              <w:t>123</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17" w:history="1">
            <w:r w:rsidR="00C616B9" w:rsidRPr="00CE52B5">
              <w:rPr>
                <w:rStyle w:val="Kpr"/>
                <w:rFonts w:ascii="Times New Roman" w:hAnsi="Times New Roman" w:cs="Times New Roman"/>
              </w:rPr>
              <w:t>13.2.1. In-service Training Activities</w:t>
            </w:r>
            <w:r w:rsidR="00C616B9">
              <w:rPr>
                <w:webHidden/>
              </w:rPr>
              <w:tab/>
            </w:r>
            <w:r w:rsidR="00C616B9">
              <w:rPr>
                <w:webHidden/>
              </w:rPr>
              <w:fldChar w:fldCharType="begin"/>
            </w:r>
            <w:r w:rsidR="00C616B9">
              <w:rPr>
                <w:webHidden/>
              </w:rPr>
              <w:instrText xml:space="preserve"> PAGEREF _Toc48817917 \h </w:instrText>
            </w:r>
            <w:r w:rsidR="00C616B9">
              <w:rPr>
                <w:webHidden/>
              </w:rPr>
            </w:r>
            <w:r w:rsidR="00C616B9">
              <w:rPr>
                <w:webHidden/>
              </w:rPr>
              <w:fldChar w:fldCharType="separate"/>
            </w:r>
            <w:r w:rsidR="00C616B9">
              <w:rPr>
                <w:webHidden/>
              </w:rPr>
              <w:t>124</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18" w:history="1">
            <w:r w:rsidR="00C616B9" w:rsidRPr="00CE52B5">
              <w:rPr>
                <w:rStyle w:val="Kpr"/>
                <w:rFonts w:ascii="Times New Roman" w:hAnsi="Times New Roman" w:cs="Times New Roman"/>
              </w:rPr>
              <w:t>13.2.2. Other Training Activities</w:t>
            </w:r>
            <w:r w:rsidR="00C616B9">
              <w:rPr>
                <w:webHidden/>
              </w:rPr>
              <w:tab/>
            </w:r>
            <w:r w:rsidR="00C616B9">
              <w:rPr>
                <w:webHidden/>
              </w:rPr>
              <w:fldChar w:fldCharType="begin"/>
            </w:r>
            <w:r w:rsidR="00C616B9">
              <w:rPr>
                <w:webHidden/>
              </w:rPr>
              <w:instrText xml:space="preserve"> PAGEREF _Toc48817918 \h </w:instrText>
            </w:r>
            <w:r w:rsidR="00C616B9">
              <w:rPr>
                <w:webHidden/>
              </w:rPr>
            </w:r>
            <w:r w:rsidR="00C616B9">
              <w:rPr>
                <w:webHidden/>
              </w:rPr>
              <w:fldChar w:fldCharType="separate"/>
            </w:r>
            <w:r w:rsidR="00C616B9">
              <w:rPr>
                <w:webHidden/>
              </w:rPr>
              <w:t>125</w:t>
            </w:r>
            <w:r w:rsidR="00C616B9">
              <w:rPr>
                <w:webHidden/>
              </w:rPr>
              <w:fldChar w:fldCharType="end"/>
            </w:r>
          </w:hyperlink>
        </w:p>
        <w:p w:rsidR="00C616B9" w:rsidRDefault="00736E4B">
          <w:pPr>
            <w:pStyle w:val="T1"/>
            <w:tabs>
              <w:tab w:val="right" w:leader="dot" w:pos="9396"/>
            </w:tabs>
            <w:rPr>
              <w:rFonts w:eastAsiaTheme="minorEastAsia"/>
              <w:lang w:val="tr-TR" w:eastAsia="tr-TR"/>
            </w:rPr>
          </w:pPr>
          <w:hyperlink w:anchor="_Toc48817919" w:history="1">
            <w:r w:rsidR="00C616B9" w:rsidRPr="00CE52B5">
              <w:rPr>
                <w:rStyle w:val="Kpr"/>
                <w:rFonts w:ascii="Times New Roman" w:hAnsi="Times New Roman" w:cs="Times New Roman"/>
              </w:rPr>
              <w:t>14. FINANCIAL INFORMATION</w:t>
            </w:r>
            <w:r w:rsidR="00C616B9">
              <w:rPr>
                <w:webHidden/>
              </w:rPr>
              <w:tab/>
            </w:r>
            <w:r w:rsidR="00C616B9">
              <w:rPr>
                <w:webHidden/>
              </w:rPr>
              <w:fldChar w:fldCharType="begin"/>
            </w:r>
            <w:r w:rsidR="00C616B9">
              <w:rPr>
                <w:webHidden/>
              </w:rPr>
              <w:instrText xml:space="preserve"> PAGEREF _Toc48817919 \h </w:instrText>
            </w:r>
            <w:r w:rsidR="00C616B9">
              <w:rPr>
                <w:webHidden/>
              </w:rPr>
            </w:r>
            <w:r w:rsidR="00C616B9">
              <w:rPr>
                <w:webHidden/>
              </w:rPr>
              <w:fldChar w:fldCharType="separate"/>
            </w:r>
            <w:r w:rsidR="00C616B9">
              <w:rPr>
                <w:webHidden/>
              </w:rPr>
              <w:t>128</w:t>
            </w:r>
            <w:r w:rsidR="00C616B9">
              <w:rPr>
                <w:webHidden/>
              </w:rPr>
              <w:fldChar w:fldCharType="end"/>
            </w:r>
          </w:hyperlink>
        </w:p>
        <w:p w:rsidR="00C616B9" w:rsidRDefault="00736E4B">
          <w:pPr>
            <w:pStyle w:val="T2"/>
            <w:tabs>
              <w:tab w:val="right" w:leader="dot" w:pos="9396"/>
            </w:tabs>
            <w:rPr>
              <w:rFonts w:eastAsiaTheme="minorEastAsia"/>
              <w:lang w:val="tr-TR" w:eastAsia="tr-TR"/>
            </w:rPr>
          </w:pPr>
          <w:hyperlink w:anchor="_Toc48817920" w:history="1">
            <w:r w:rsidR="00C616B9" w:rsidRPr="00CE52B5">
              <w:rPr>
                <w:rStyle w:val="Kpr"/>
                <w:rFonts w:ascii="Times New Roman" w:hAnsi="Times New Roman" w:cs="Times New Roman"/>
              </w:rPr>
              <w:t>14.1. 2019 Budget Implementation Results</w:t>
            </w:r>
            <w:r w:rsidR="00C616B9">
              <w:rPr>
                <w:webHidden/>
              </w:rPr>
              <w:tab/>
            </w:r>
            <w:r w:rsidR="00C616B9">
              <w:rPr>
                <w:webHidden/>
              </w:rPr>
              <w:fldChar w:fldCharType="begin"/>
            </w:r>
            <w:r w:rsidR="00C616B9">
              <w:rPr>
                <w:webHidden/>
              </w:rPr>
              <w:instrText xml:space="preserve"> PAGEREF _Toc48817920 \h </w:instrText>
            </w:r>
            <w:r w:rsidR="00C616B9">
              <w:rPr>
                <w:webHidden/>
              </w:rPr>
            </w:r>
            <w:r w:rsidR="00C616B9">
              <w:rPr>
                <w:webHidden/>
              </w:rPr>
              <w:fldChar w:fldCharType="separate"/>
            </w:r>
            <w:r w:rsidR="00C616B9">
              <w:rPr>
                <w:webHidden/>
              </w:rPr>
              <w:t>128</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21" w:history="1">
            <w:r w:rsidR="00C616B9" w:rsidRPr="00CE52B5">
              <w:rPr>
                <w:rStyle w:val="Kpr"/>
                <w:rFonts w:ascii="Times New Roman" w:hAnsi="Times New Roman" w:cs="Times New Roman"/>
              </w:rPr>
              <w:t>14.1.1. Income Budget</w:t>
            </w:r>
            <w:r w:rsidR="00C616B9">
              <w:rPr>
                <w:webHidden/>
              </w:rPr>
              <w:tab/>
            </w:r>
            <w:r w:rsidR="00C616B9">
              <w:rPr>
                <w:webHidden/>
              </w:rPr>
              <w:fldChar w:fldCharType="begin"/>
            </w:r>
            <w:r w:rsidR="00C616B9">
              <w:rPr>
                <w:webHidden/>
              </w:rPr>
              <w:instrText xml:space="preserve"> PAGEREF _Toc48817921 \h </w:instrText>
            </w:r>
            <w:r w:rsidR="00C616B9">
              <w:rPr>
                <w:webHidden/>
              </w:rPr>
            </w:r>
            <w:r w:rsidR="00C616B9">
              <w:rPr>
                <w:webHidden/>
              </w:rPr>
              <w:fldChar w:fldCharType="separate"/>
            </w:r>
            <w:r w:rsidR="00C616B9">
              <w:rPr>
                <w:webHidden/>
              </w:rPr>
              <w:t>128</w:t>
            </w:r>
            <w:r w:rsidR="00C616B9">
              <w:rPr>
                <w:webHidden/>
              </w:rPr>
              <w:fldChar w:fldCharType="end"/>
            </w:r>
          </w:hyperlink>
        </w:p>
        <w:p w:rsidR="00C616B9" w:rsidRDefault="00736E4B">
          <w:pPr>
            <w:pStyle w:val="T3"/>
            <w:tabs>
              <w:tab w:val="right" w:leader="dot" w:pos="9396"/>
            </w:tabs>
            <w:rPr>
              <w:rFonts w:eastAsiaTheme="minorEastAsia"/>
              <w:lang w:val="tr-TR" w:eastAsia="tr-TR"/>
            </w:rPr>
          </w:pPr>
          <w:hyperlink w:anchor="_Toc48817922" w:history="1">
            <w:r w:rsidR="00C616B9" w:rsidRPr="00CE52B5">
              <w:rPr>
                <w:rStyle w:val="Kpr"/>
                <w:rFonts w:ascii="Times New Roman" w:hAnsi="Times New Roman" w:cs="Times New Roman"/>
              </w:rPr>
              <w:t>14.1.2. Expenditure Budget</w:t>
            </w:r>
            <w:r w:rsidR="00C616B9">
              <w:rPr>
                <w:webHidden/>
              </w:rPr>
              <w:tab/>
            </w:r>
            <w:r w:rsidR="00C616B9">
              <w:rPr>
                <w:webHidden/>
              </w:rPr>
              <w:fldChar w:fldCharType="begin"/>
            </w:r>
            <w:r w:rsidR="00C616B9">
              <w:rPr>
                <w:webHidden/>
              </w:rPr>
              <w:instrText xml:space="preserve"> PAGEREF _Toc48817922 \h </w:instrText>
            </w:r>
            <w:r w:rsidR="00C616B9">
              <w:rPr>
                <w:webHidden/>
              </w:rPr>
            </w:r>
            <w:r w:rsidR="00C616B9">
              <w:rPr>
                <w:webHidden/>
              </w:rPr>
              <w:fldChar w:fldCharType="separate"/>
            </w:r>
            <w:r w:rsidR="00C616B9">
              <w:rPr>
                <w:webHidden/>
              </w:rPr>
              <w:t>129</w:t>
            </w:r>
            <w:r w:rsidR="00C616B9">
              <w:rPr>
                <w:webHidden/>
              </w:rPr>
              <w:fldChar w:fldCharType="end"/>
            </w:r>
          </w:hyperlink>
        </w:p>
        <w:p w:rsidR="00D816E6" w:rsidRPr="004E7F7B" w:rsidRDefault="00D816E6" w:rsidP="004E7F7B">
          <w:pPr>
            <w:rPr>
              <w:rFonts w:ascii="Times New Roman" w:hAnsi="Times New Roman" w:cs="Times New Roman"/>
            </w:rPr>
          </w:pPr>
          <w:r w:rsidRPr="004E7F7B">
            <w:rPr>
              <w:rFonts w:ascii="Times New Roman" w:hAnsi="Times New Roman" w:cs="Times New Roman"/>
              <w:b/>
              <w:bCs/>
            </w:rPr>
            <w:fldChar w:fldCharType="end"/>
          </w:r>
        </w:p>
      </w:sdtContent>
    </w:sdt>
    <w:p w:rsidR="00C74AB7" w:rsidRPr="004E7F7B" w:rsidRDefault="00C74AB7" w:rsidP="004E7F7B">
      <w:pPr>
        <w:spacing w:line="240" w:lineRule="auto"/>
        <w:rPr>
          <w:rFonts w:ascii="Times New Roman" w:hAnsi="Times New Roman" w:cs="Times New Roman"/>
        </w:rPr>
      </w:pPr>
    </w:p>
    <w:p w:rsidR="00C74AB7" w:rsidRPr="004E7F7B" w:rsidRDefault="00C74AB7" w:rsidP="004E7F7B">
      <w:pPr>
        <w:spacing w:line="240" w:lineRule="auto"/>
        <w:rPr>
          <w:rFonts w:ascii="Times New Roman" w:hAnsi="Times New Roman" w:cs="Times New Roman"/>
        </w:rPr>
      </w:pPr>
    </w:p>
    <w:p w:rsidR="00C74AB7" w:rsidRPr="004E7F7B" w:rsidRDefault="00C74AB7" w:rsidP="004E7F7B">
      <w:pPr>
        <w:spacing w:line="240" w:lineRule="auto"/>
        <w:rPr>
          <w:rFonts w:ascii="Times New Roman" w:hAnsi="Times New Roman" w:cs="Times New Roman"/>
        </w:rPr>
      </w:pPr>
    </w:p>
    <w:p w:rsidR="00C74AB7" w:rsidRPr="004E7F7B" w:rsidRDefault="00C74AB7" w:rsidP="004E7F7B">
      <w:pPr>
        <w:spacing w:line="240" w:lineRule="auto"/>
        <w:rPr>
          <w:rFonts w:ascii="Times New Roman" w:hAnsi="Times New Roman" w:cs="Times New Roman"/>
        </w:rPr>
      </w:pPr>
    </w:p>
    <w:p w:rsidR="00F4599F" w:rsidRPr="004E7F7B" w:rsidRDefault="00F4599F" w:rsidP="004E7F7B">
      <w:pPr>
        <w:spacing w:line="240" w:lineRule="auto"/>
        <w:rPr>
          <w:rFonts w:ascii="Times New Roman" w:hAnsi="Times New Roman" w:cs="Times New Roman"/>
        </w:rPr>
      </w:pPr>
    </w:p>
    <w:p w:rsidR="00F4599F" w:rsidRPr="004E7F7B" w:rsidRDefault="00F4599F" w:rsidP="004E7F7B">
      <w:pPr>
        <w:spacing w:line="240" w:lineRule="auto"/>
        <w:rPr>
          <w:rFonts w:ascii="Times New Roman" w:hAnsi="Times New Roman" w:cs="Times New Roman"/>
        </w:rPr>
      </w:pPr>
    </w:p>
    <w:p w:rsidR="00F4599F" w:rsidRPr="004E7F7B" w:rsidRDefault="00F4599F" w:rsidP="004E7F7B">
      <w:pPr>
        <w:spacing w:line="240" w:lineRule="auto"/>
        <w:rPr>
          <w:rFonts w:ascii="Times New Roman" w:hAnsi="Times New Roman" w:cs="Times New Roman"/>
        </w:rPr>
      </w:pPr>
    </w:p>
    <w:p w:rsidR="00F4599F" w:rsidRPr="004E7F7B" w:rsidRDefault="00F4599F" w:rsidP="004E7F7B">
      <w:pPr>
        <w:spacing w:line="240" w:lineRule="auto"/>
        <w:rPr>
          <w:rFonts w:ascii="Times New Roman" w:hAnsi="Times New Roman" w:cs="Times New Roman"/>
        </w:rPr>
      </w:pPr>
    </w:p>
    <w:bookmarkEnd w:id="4"/>
    <w:bookmarkEnd w:id="3"/>
    <w:bookmarkEnd w:id="2"/>
    <w:bookmarkEnd w:id="1"/>
    <w:p w:rsidR="00F4599F" w:rsidRPr="004E7F7B" w:rsidRDefault="00F4599F" w:rsidP="004E7F7B">
      <w:pPr>
        <w:tabs>
          <w:tab w:val="left" w:pos="8661"/>
        </w:tabs>
        <w:spacing w:line="240" w:lineRule="auto"/>
        <w:rPr>
          <w:rFonts w:ascii="Times New Roman" w:hAnsi="Times New Roman" w:cs="Times New Roman"/>
        </w:rPr>
      </w:pPr>
    </w:p>
    <w:p w:rsidR="00F4599F" w:rsidRPr="004E7F7B" w:rsidRDefault="00F4599F" w:rsidP="004E7F7B">
      <w:pPr>
        <w:tabs>
          <w:tab w:val="left" w:pos="8661"/>
        </w:tabs>
        <w:spacing w:line="240" w:lineRule="auto"/>
        <w:rPr>
          <w:rFonts w:ascii="Times New Roman" w:hAnsi="Times New Roman" w:cs="Times New Roman"/>
        </w:rPr>
      </w:pPr>
    </w:p>
    <w:p w:rsidR="00F4599F" w:rsidRPr="004E7F7B" w:rsidRDefault="00F4599F" w:rsidP="004E7F7B">
      <w:pPr>
        <w:tabs>
          <w:tab w:val="left" w:pos="8661"/>
        </w:tabs>
        <w:spacing w:line="240" w:lineRule="auto"/>
        <w:rPr>
          <w:rFonts w:ascii="Times New Roman" w:hAnsi="Times New Roman" w:cs="Times New Roman"/>
        </w:rPr>
      </w:pPr>
    </w:p>
    <w:p w:rsidR="00F4599F" w:rsidRPr="004E7F7B" w:rsidRDefault="00F4599F" w:rsidP="004E7F7B">
      <w:pPr>
        <w:tabs>
          <w:tab w:val="left" w:pos="8661"/>
        </w:tabs>
        <w:spacing w:line="240" w:lineRule="auto"/>
        <w:rPr>
          <w:rFonts w:ascii="Times New Roman" w:hAnsi="Times New Roman" w:cs="Times New Roman"/>
        </w:rPr>
      </w:pPr>
    </w:p>
    <w:p w:rsidR="00F4599F" w:rsidRPr="004E7F7B" w:rsidRDefault="00F4599F" w:rsidP="004E7F7B">
      <w:pPr>
        <w:tabs>
          <w:tab w:val="left" w:pos="8661"/>
        </w:tabs>
        <w:spacing w:line="240" w:lineRule="auto"/>
        <w:rPr>
          <w:rFonts w:ascii="Times New Roman" w:hAnsi="Times New Roman" w:cs="Times New Roman"/>
        </w:rPr>
      </w:pPr>
    </w:p>
    <w:p w:rsidR="0055522A" w:rsidRPr="004E7F7B" w:rsidRDefault="00F4599F" w:rsidP="004E7F7B">
      <w:pPr>
        <w:spacing w:line="240" w:lineRule="auto"/>
        <w:rPr>
          <w:rFonts w:ascii="Times New Roman" w:hAnsi="Times New Roman" w:cs="Times New Roman"/>
          <w:b/>
          <w:bCs/>
        </w:rPr>
      </w:pPr>
      <w:r w:rsidRPr="004E7F7B">
        <w:rPr>
          <w:rFonts w:ascii="Times New Roman" w:hAnsi="Times New Roman" w:cs="Times New Roman"/>
        </w:rPr>
        <w:br w:type="page"/>
      </w:r>
      <w:r w:rsidR="0055522A" w:rsidRPr="004E7F7B">
        <w:rPr>
          <w:rFonts w:ascii="Times New Roman" w:hAnsi="Times New Roman" w:cs="Times New Roman"/>
          <w:b/>
          <w:bCs/>
        </w:rPr>
        <w:lastRenderedPageBreak/>
        <w:t>LIST OF FIGURES AND TABLES</w:t>
      </w:r>
    </w:p>
    <w:p w:rsidR="0055522A" w:rsidRPr="004E7F7B" w:rsidRDefault="0055522A" w:rsidP="004E7F7B">
      <w:pPr>
        <w:pStyle w:val="ekillerTablosu"/>
        <w:tabs>
          <w:tab w:val="right" w:leader="dot" w:pos="9396"/>
        </w:tabs>
        <w:rPr>
          <w:rFonts w:ascii="Times New Roman" w:hAnsi="Times New Roman" w:cs="Times New Roman"/>
        </w:rPr>
      </w:pPr>
    </w:p>
    <w:p w:rsidR="00C616B9" w:rsidRDefault="0055522A">
      <w:pPr>
        <w:pStyle w:val="ekillerTablosu"/>
        <w:tabs>
          <w:tab w:val="right" w:leader="dot" w:pos="9396"/>
        </w:tabs>
        <w:rPr>
          <w:rFonts w:eastAsiaTheme="minorEastAsia"/>
          <w:lang w:val="tr-TR" w:eastAsia="tr-TR"/>
        </w:rPr>
      </w:pPr>
      <w:r w:rsidRPr="004E7F7B">
        <w:rPr>
          <w:rFonts w:ascii="Times New Roman" w:hAnsi="Times New Roman" w:cs="Times New Roman"/>
        </w:rPr>
        <w:fldChar w:fldCharType="begin"/>
      </w:r>
      <w:r w:rsidRPr="004E7F7B">
        <w:rPr>
          <w:rFonts w:ascii="Times New Roman" w:hAnsi="Times New Roman" w:cs="Times New Roman"/>
        </w:rPr>
        <w:instrText xml:space="preserve"> TOC \h \z \t "Başlık 5" \c </w:instrText>
      </w:r>
      <w:r w:rsidRPr="004E7F7B">
        <w:rPr>
          <w:rFonts w:ascii="Times New Roman" w:hAnsi="Times New Roman" w:cs="Times New Roman"/>
        </w:rPr>
        <w:fldChar w:fldCharType="separate"/>
      </w:r>
      <w:hyperlink w:anchor="_Toc48818008" w:history="1">
        <w:r w:rsidR="00C616B9" w:rsidRPr="009D2294">
          <w:rPr>
            <w:rStyle w:val="Kpr"/>
            <w:rFonts w:ascii="Times New Roman" w:hAnsi="Times New Roman" w:cs="Times New Roman"/>
          </w:rPr>
          <w:t>Table 1.1: Breakdown of Board Decisions Taken in 2019 by Service Units</w:t>
        </w:r>
        <w:r w:rsidR="00C616B9">
          <w:rPr>
            <w:webHidden/>
          </w:rPr>
          <w:tab/>
        </w:r>
        <w:r w:rsidR="00C616B9">
          <w:rPr>
            <w:webHidden/>
          </w:rPr>
          <w:fldChar w:fldCharType="begin"/>
        </w:r>
        <w:r w:rsidR="00C616B9">
          <w:rPr>
            <w:webHidden/>
          </w:rPr>
          <w:instrText xml:space="preserve"> PAGEREF _Toc48818008 \h </w:instrText>
        </w:r>
        <w:r w:rsidR="00C616B9">
          <w:rPr>
            <w:webHidden/>
          </w:rPr>
        </w:r>
        <w:r w:rsidR="00C616B9">
          <w:rPr>
            <w:webHidden/>
          </w:rPr>
          <w:fldChar w:fldCharType="separate"/>
        </w:r>
        <w:r w:rsidR="00C616B9">
          <w:rPr>
            <w:webHidden/>
          </w:rPr>
          <w:t>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09" w:history="1">
        <w:r w:rsidR="00C616B9" w:rsidRPr="009D2294">
          <w:rPr>
            <w:rStyle w:val="Kpr"/>
            <w:rFonts w:ascii="Times New Roman" w:hAnsi="Times New Roman" w:cs="Times New Roman"/>
          </w:rPr>
          <w:t>Figure 1.1: Board Decisions by the Service Units in 2019</w:t>
        </w:r>
        <w:r w:rsidR="00C616B9">
          <w:rPr>
            <w:webHidden/>
          </w:rPr>
          <w:tab/>
        </w:r>
        <w:r w:rsidR="00C616B9">
          <w:rPr>
            <w:webHidden/>
          </w:rPr>
          <w:fldChar w:fldCharType="begin"/>
        </w:r>
        <w:r w:rsidR="00C616B9">
          <w:rPr>
            <w:webHidden/>
          </w:rPr>
          <w:instrText xml:space="preserve"> PAGEREF _Toc48818009 \h </w:instrText>
        </w:r>
        <w:r w:rsidR="00C616B9">
          <w:rPr>
            <w:webHidden/>
          </w:rPr>
        </w:r>
        <w:r w:rsidR="00C616B9">
          <w:rPr>
            <w:webHidden/>
          </w:rPr>
          <w:fldChar w:fldCharType="separate"/>
        </w:r>
        <w:r w:rsidR="00C616B9">
          <w:rPr>
            <w:webHidden/>
          </w:rPr>
          <w:t>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0" w:history="1">
        <w:r w:rsidR="00C616B9" w:rsidRPr="009D2294">
          <w:rPr>
            <w:rStyle w:val="Kpr"/>
            <w:rFonts w:ascii="Times New Roman" w:hAnsi="Times New Roman" w:cs="Times New Roman"/>
          </w:rPr>
          <w:t>Table 1.2: Breakdown of Board Decisions Taken in 2015-2019 by the Service Units</w:t>
        </w:r>
        <w:r w:rsidR="00C616B9">
          <w:rPr>
            <w:webHidden/>
          </w:rPr>
          <w:tab/>
        </w:r>
        <w:r w:rsidR="00C616B9">
          <w:rPr>
            <w:webHidden/>
          </w:rPr>
          <w:fldChar w:fldCharType="begin"/>
        </w:r>
        <w:r w:rsidR="00C616B9">
          <w:rPr>
            <w:webHidden/>
          </w:rPr>
          <w:instrText xml:space="preserve"> PAGEREF _Toc48818010 \h </w:instrText>
        </w:r>
        <w:r w:rsidR="00C616B9">
          <w:rPr>
            <w:webHidden/>
          </w:rPr>
        </w:r>
        <w:r w:rsidR="00C616B9">
          <w:rPr>
            <w:webHidden/>
          </w:rPr>
          <w:fldChar w:fldCharType="separate"/>
        </w:r>
        <w:r w:rsidR="00C616B9">
          <w:rPr>
            <w:webHidden/>
          </w:rPr>
          <w:t>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1" w:history="1">
        <w:r w:rsidR="00C616B9" w:rsidRPr="009D2294">
          <w:rPr>
            <w:rStyle w:val="Kpr"/>
            <w:rFonts w:ascii="Times New Roman" w:hAnsi="Times New Roman" w:cs="Times New Roman"/>
          </w:rPr>
          <w:t>Table 1.3: General Breakdown of the Board Decisions Taken in 2015-2019</w:t>
        </w:r>
        <w:r w:rsidR="00C616B9">
          <w:rPr>
            <w:webHidden/>
          </w:rPr>
          <w:tab/>
        </w:r>
        <w:r w:rsidR="00C616B9">
          <w:rPr>
            <w:webHidden/>
          </w:rPr>
          <w:fldChar w:fldCharType="begin"/>
        </w:r>
        <w:r w:rsidR="00C616B9">
          <w:rPr>
            <w:webHidden/>
          </w:rPr>
          <w:instrText xml:space="preserve"> PAGEREF _Toc48818011 \h </w:instrText>
        </w:r>
        <w:r w:rsidR="00C616B9">
          <w:rPr>
            <w:webHidden/>
          </w:rPr>
        </w:r>
        <w:r w:rsidR="00C616B9">
          <w:rPr>
            <w:webHidden/>
          </w:rPr>
          <w:fldChar w:fldCharType="separate"/>
        </w:r>
        <w:r w:rsidR="00C616B9">
          <w:rPr>
            <w:webHidden/>
          </w:rPr>
          <w:t>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2" w:history="1">
        <w:r w:rsidR="00C616B9" w:rsidRPr="009D2294">
          <w:rPr>
            <w:rStyle w:val="Kpr"/>
            <w:rFonts w:ascii="Times New Roman" w:hAnsi="Times New Roman" w:cs="Times New Roman"/>
          </w:rPr>
          <w:t>Figure 1.2: Breakdown of The Board Decision Taken in the Period 2015-2019</w:t>
        </w:r>
        <w:r w:rsidR="00C616B9">
          <w:rPr>
            <w:webHidden/>
          </w:rPr>
          <w:tab/>
        </w:r>
        <w:r w:rsidR="00C616B9">
          <w:rPr>
            <w:webHidden/>
          </w:rPr>
          <w:fldChar w:fldCharType="begin"/>
        </w:r>
        <w:r w:rsidR="00C616B9">
          <w:rPr>
            <w:webHidden/>
          </w:rPr>
          <w:instrText xml:space="preserve"> PAGEREF _Toc48818012 \h </w:instrText>
        </w:r>
        <w:r w:rsidR="00C616B9">
          <w:rPr>
            <w:webHidden/>
          </w:rPr>
        </w:r>
        <w:r w:rsidR="00C616B9">
          <w:rPr>
            <w:webHidden/>
          </w:rPr>
          <w:fldChar w:fldCharType="separate"/>
        </w:r>
        <w:r w:rsidR="00C616B9">
          <w:rPr>
            <w:webHidden/>
          </w:rPr>
          <w:t>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3" w:history="1">
        <w:r w:rsidR="00C616B9" w:rsidRPr="009D2294">
          <w:rPr>
            <w:rStyle w:val="Kpr"/>
            <w:rFonts w:ascii="Times New Roman" w:hAnsi="Times New Roman" w:cs="Times New Roman"/>
          </w:rPr>
          <w:t>Table 2.3: Natural Gas Consumption Estimates and Realizations by years (2005-2019)</w:t>
        </w:r>
        <w:r w:rsidR="00C616B9">
          <w:rPr>
            <w:webHidden/>
          </w:rPr>
          <w:tab/>
        </w:r>
        <w:r w:rsidR="00C616B9">
          <w:rPr>
            <w:webHidden/>
          </w:rPr>
          <w:fldChar w:fldCharType="begin"/>
        </w:r>
        <w:r w:rsidR="00C616B9">
          <w:rPr>
            <w:webHidden/>
          </w:rPr>
          <w:instrText xml:space="preserve"> PAGEREF _Toc48818013 \h </w:instrText>
        </w:r>
        <w:r w:rsidR="00C616B9">
          <w:rPr>
            <w:webHidden/>
          </w:rPr>
        </w:r>
        <w:r w:rsidR="00C616B9">
          <w:rPr>
            <w:webHidden/>
          </w:rPr>
          <w:fldChar w:fldCharType="separate"/>
        </w:r>
        <w:r w:rsidR="00C616B9">
          <w:rPr>
            <w:webHidden/>
          </w:rPr>
          <w:t>26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4" w:history="1">
        <w:r w:rsidR="00C616B9" w:rsidRPr="009D2294">
          <w:rPr>
            <w:rStyle w:val="Kpr"/>
            <w:rFonts w:ascii="Times New Roman" w:hAnsi="Times New Roman" w:cs="Times New Roman"/>
          </w:rPr>
          <w:t>Table 2.3: The evolution of eligible consumer limit in natural gas market by years (2005-2019)</w:t>
        </w:r>
        <w:r w:rsidR="00C616B9">
          <w:rPr>
            <w:webHidden/>
          </w:rPr>
          <w:tab/>
        </w:r>
        <w:r w:rsidR="00C616B9">
          <w:rPr>
            <w:webHidden/>
          </w:rPr>
          <w:fldChar w:fldCharType="begin"/>
        </w:r>
        <w:r w:rsidR="00C616B9">
          <w:rPr>
            <w:webHidden/>
          </w:rPr>
          <w:instrText xml:space="preserve"> PAGEREF _Toc48818014 \h </w:instrText>
        </w:r>
        <w:r w:rsidR="00C616B9">
          <w:rPr>
            <w:webHidden/>
          </w:rPr>
        </w:r>
        <w:r w:rsidR="00C616B9">
          <w:rPr>
            <w:webHidden/>
          </w:rPr>
          <w:fldChar w:fldCharType="separate"/>
        </w:r>
        <w:r w:rsidR="00C616B9">
          <w:rPr>
            <w:webHidden/>
          </w:rPr>
          <w:t>29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5" w:history="1">
        <w:r w:rsidR="00C616B9" w:rsidRPr="009D2294">
          <w:rPr>
            <w:rStyle w:val="Kpr"/>
            <w:rFonts w:ascii="Times New Roman" w:hAnsi="Times New Roman" w:cs="Times New Roman"/>
          </w:rPr>
          <w:t>Table 3.1: License Activities (numbers) in 2019 in the Electricity Market</w:t>
        </w:r>
        <w:r w:rsidR="00C616B9">
          <w:rPr>
            <w:webHidden/>
          </w:rPr>
          <w:tab/>
        </w:r>
        <w:r w:rsidR="00C616B9">
          <w:rPr>
            <w:webHidden/>
          </w:rPr>
          <w:fldChar w:fldCharType="begin"/>
        </w:r>
        <w:r w:rsidR="00C616B9">
          <w:rPr>
            <w:webHidden/>
          </w:rPr>
          <w:instrText xml:space="preserve"> PAGEREF _Toc48818015 \h </w:instrText>
        </w:r>
        <w:r w:rsidR="00C616B9">
          <w:rPr>
            <w:webHidden/>
          </w:rPr>
        </w:r>
        <w:r w:rsidR="00C616B9">
          <w:rPr>
            <w:webHidden/>
          </w:rPr>
          <w:fldChar w:fldCharType="separate"/>
        </w:r>
        <w:r w:rsidR="00C616B9">
          <w:rPr>
            <w:webHidden/>
          </w:rPr>
          <w:t>55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6" w:history="1">
        <w:r w:rsidR="00C616B9" w:rsidRPr="009D2294">
          <w:rPr>
            <w:rStyle w:val="Kpr"/>
            <w:rFonts w:ascii="Times New Roman" w:hAnsi="Times New Roman" w:cs="Times New Roman"/>
          </w:rPr>
          <w:t>Table 3.2: License Activities of the Authority in 2019 within the Scope of Generation Activity in the Electricity Market (MWe)</w:t>
        </w:r>
        <w:r w:rsidR="00C616B9">
          <w:rPr>
            <w:webHidden/>
          </w:rPr>
          <w:tab/>
        </w:r>
        <w:r w:rsidR="00C616B9">
          <w:rPr>
            <w:webHidden/>
          </w:rPr>
          <w:fldChar w:fldCharType="begin"/>
        </w:r>
        <w:r w:rsidR="00C616B9">
          <w:rPr>
            <w:webHidden/>
          </w:rPr>
          <w:instrText xml:space="preserve"> PAGEREF _Toc48818016 \h </w:instrText>
        </w:r>
        <w:r w:rsidR="00C616B9">
          <w:rPr>
            <w:webHidden/>
          </w:rPr>
        </w:r>
        <w:r w:rsidR="00C616B9">
          <w:rPr>
            <w:webHidden/>
          </w:rPr>
          <w:fldChar w:fldCharType="separate"/>
        </w:r>
        <w:r w:rsidR="00C616B9">
          <w:rPr>
            <w:webHidden/>
          </w:rPr>
          <w:t>56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7" w:history="1">
        <w:r w:rsidR="00C616B9" w:rsidRPr="009D2294">
          <w:rPr>
            <w:rStyle w:val="Kpr"/>
            <w:rFonts w:ascii="Times New Roman" w:hAnsi="Times New Roman" w:cs="Times New Roman"/>
          </w:rPr>
          <w:t>Table 3.3: Licensing Activities in 2019 in the Natural Gas Market (Numbers)</w:t>
        </w:r>
        <w:r w:rsidR="00C616B9">
          <w:rPr>
            <w:webHidden/>
          </w:rPr>
          <w:tab/>
        </w:r>
        <w:r w:rsidR="00C616B9">
          <w:rPr>
            <w:webHidden/>
          </w:rPr>
          <w:fldChar w:fldCharType="begin"/>
        </w:r>
        <w:r w:rsidR="00C616B9">
          <w:rPr>
            <w:webHidden/>
          </w:rPr>
          <w:instrText xml:space="preserve"> PAGEREF _Toc48818017 \h </w:instrText>
        </w:r>
        <w:r w:rsidR="00C616B9">
          <w:rPr>
            <w:webHidden/>
          </w:rPr>
        </w:r>
        <w:r w:rsidR="00C616B9">
          <w:rPr>
            <w:webHidden/>
          </w:rPr>
          <w:fldChar w:fldCharType="separate"/>
        </w:r>
        <w:r w:rsidR="00C616B9">
          <w:rPr>
            <w:webHidden/>
          </w:rPr>
          <w:t>58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8" w:history="1">
        <w:r w:rsidR="00C616B9" w:rsidRPr="009D2294">
          <w:rPr>
            <w:rStyle w:val="Kpr"/>
            <w:rFonts w:ascii="Times New Roman" w:hAnsi="Times New Roman" w:cs="Times New Roman"/>
          </w:rPr>
          <w:t>Table 3.4: Information on Licensed Natural Gas Storage Facilities</w:t>
        </w:r>
        <w:r w:rsidR="00C616B9">
          <w:rPr>
            <w:webHidden/>
          </w:rPr>
          <w:tab/>
        </w:r>
        <w:r w:rsidR="00C616B9">
          <w:rPr>
            <w:webHidden/>
          </w:rPr>
          <w:fldChar w:fldCharType="begin"/>
        </w:r>
        <w:r w:rsidR="00C616B9">
          <w:rPr>
            <w:webHidden/>
          </w:rPr>
          <w:instrText xml:space="preserve"> PAGEREF _Toc48818018 \h </w:instrText>
        </w:r>
        <w:r w:rsidR="00C616B9">
          <w:rPr>
            <w:webHidden/>
          </w:rPr>
        </w:r>
        <w:r w:rsidR="00C616B9">
          <w:rPr>
            <w:webHidden/>
          </w:rPr>
          <w:fldChar w:fldCharType="separate"/>
        </w:r>
        <w:r w:rsidR="00C616B9">
          <w:rPr>
            <w:webHidden/>
          </w:rPr>
          <w:t>58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19" w:history="1">
        <w:r w:rsidR="00C616B9" w:rsidRPr="009D2294">
          <w:rPr>
            <w:rStyle w:val="Kpr"/>
            <w:rFonts w:ascii="Times New Roman" w:hAnsi="Times New Roman" w:cs="Times New Roman"/>
          </w:rPr>
          <w:t>Table 3.5: Certfications in the Natural Gas Market in 2019</w:t>
        </w:r>
        <w:r w:rsidR="00C616B9">
          <w:rPr>
            <w:webHidden/>
          </w:rPr>
          <w:tab/>
        </w:r>
        <w:r w:rsidR="00C616B9">
          <w:rPr>
            <w:webHidden/>
          </w:rPr>
          <w:fldChar w:fldCharType="begin"/>
        </w:r>
        <w:r w:rsidR="00C616B9">
          <w:rPr>
            <w:webHidden/>
          </w:rPr>
          <w:instrText xml:space="preserve"> PAGEREF _Toc48818019 \h </w:instrText>
        </w:r>
        <w:r w:rsidR="00C616B9">
          <w:rPr>
            <w:webHidden/>
          </w:rPr>
        </w:r>
        <w:r w:rsidR="00C616B9">
          <w:rPr>
            <w:webHidden/>
          </w:rPr>
          <w:fldChar w:fldCharType="separate"/>
        </w:r>
        <w:r w:rsidR="00C616B9">
          <w:rPr>
            <w:webHidden/>
          </w:rPr>
          <w:t>59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0" w:history="1">
        <w:r w:rsidR="00C616B9" w:rsidRPr="009D2294">
          <w:rPr>
            <w:rStyle w:val="Kpr"/>
            <w:rFonts w:ascii="Times New Roman" w:hAnsi="Times New Roman" w:cs="Times New Roman"/>
          </w:rPr>
          <w:t>Table 3.6: License Procedures in the Petroleum Market in 2019</w:t>
        </w:r>
        <w:r w:rsidR="00C616B9">
          <w:rPr>
            <w:webHidden/>
          </w:rPr>
          <w:tab/>
        </w:r>
        <w:r w:rsidR="00C616B9">
          <w:rPr>
            <w:webHidden/>
          </w:rPr>
          <w:fldChar w:fldCharType="begin"/>
        </w:r>
        <w:r w:rsidR="00C616B9">
          <w:rPr>
            <w:webHidden/>
          </w:rPr>
          <w:instrText xml:space="preserve"> PAGEREF _Toc48818020 \h </w:instrText>
        </w:r>
        <w:r w:rsidR="00C616B9">
          <w:rPr>
            <w:webHidden/>
          </w:rPr>
        </w:r>
        <w:r w:rsidR="00C616B9">
          <w:rPr>
            <w:webHidden/>
          </w:rPr>
          <w:fldChar w:fldCharType="separate"/>
        </w:r>
        <w:r w:rsidR="00C616B9">
          <w:rPr>
            <w:webHidden/>
          </w:rPr>
          <w:t>60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1" w:history="1">
        <w:r w:rsidR="00C616B9" w:rsidRPr="009D2294">
          <w:rPr>
            <w:rStyle w:val="Kpr"/>
            <w:rFonts w:ascii="Times New Roman" w:hAnsi="Times New Roman" w:cs="Times New Roman"/>
          </w:rPr>
          <w:t>Table 3.7: Information on Refining Undertakings as of the end of 2019</w:t>
        </w:r>
        <w:r w:rsidR="00C616B9">
          <w:rPr>
            <w:webHidden/>
          </w:rPr>
          <w:tab/>
        </w:r>
        <w:r w:rsidR="00C616B9">
          <w:rPr>
            <w:webHidden/>
          </w:rPr>
          <w:fldChar w:fldCharType="begin"/>
        </w:r>
        <w:r w:rsidR="00C616B9">
          <w:rPr>
            <w:webHidden/>
          </w:rPr>
          <w:instrText xml:space="preserve"> PAGEREF _Toc48818021 \h </w:instrText>
        </w:r>
        <w:r w:rsidR="00C616B9">
          <w:rPr>
            <w:webHidden/>
          </w:rPr>
        </w:r>
        <w:r w:rsidR="00C616B9">
          <w:rPr>
            <w:webHidden/>
          </w:rPr>
          <w:fldChar w:fldCharType="separate"/>
        </w:r>
        <w:r w:rsidR="00C616B9">
          <w:rPr>
            <w:webHidden/>
          </w:rPr>
          <w:t>60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2" w:history="1">
        <w:r w:rsidR="00C616B9" w:rsidRPr="009D2294">
          <w:rPr>
            <w:rStyle w:val="Kpr"/>
            <w:rFonts w:ascii="Times New Roman" w:hAnsi="Times New Roman" w:cs="Times New Roman"/>
          </w:rPr>
          <w:t>Table 3.8: Information on Petroleum Market Storage Licenses as of the end of 2019</w:t>
        </w:r>
        <w:r w:rsidR="00C616B9">
          <w:rPr>
            <w:webHidden/>
          </w:rPr>
          <w:tab/>
        </w:r>
        <w:r w:rsidR="00C616B9">
          <w:rPr>
            <w:webHidden/>
          </w:rPr>
          <w:fldChar w:fldCharType="begin"/>
        </w:r>
        <w:r w:rsidR="00C616B9">
          <w:rPr>
            <w:webHidden/>
          </w:rPr>
          <w:instrText xml:space="preserve"> PAGEREF _Toc48818022 \h </w:instrText>
        </w:r>
        <w:r w:rsidR="00C616B9">
          <w:rPr>
            <w:webHidden/>
          </w:rPr>
        </w:r>
        <w:r w:rsidR="00C616B9">
          <w:rPr>
            <w:webHidden/>
          </w:rPr>
          <w:fldChar w:fldCharType="separate"/>
        </w:r>
        <w:r w:rsidR="00C616B9">
          <w:rPr>
            <w:webHidden/>
          </w:rPr>
          <w:t>61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3" w:history="1">
        <w:r w:rsidR="00C616B9" w:rsidRPr="009D2294">
          <w:rPr>
            <w:rStyle w:val="Kpr"/>
            <w:rFonts w:ascii="Times New Roman" w:hAnsi="Times New Roman" w:cs="Times New Roman"/>
          </w:rPr>
          <w:t>Table 3.9: Used National Marker and Marked Liquid Fuel Amounts by Years</w:t>
        </w:r>
        <w:r w:rsidR="00C616B9">
          <w:rPr>
            <w:webHidden/>
          </w:rPr>
          <w:tab/>
        </w:r>
        <w:r w:rsidR="00C616B9">
          <w:rPr>
            <w:webHidden/>
          </w:rPr>
          <w:fldChar w:fldCharType="begin"/>
        </w:r>
        <w:r w:rsidR="00C616B9">
          <w:rPr>
            <w:webHidden/>
          </w:rPr>
          <w:instrText xml:space="preserve"> PAGEREF _Toc48818023 \h </w:instrText>
        </w:r>
        <w:r w:rsidR="00C616B9">
          <w:rPr>
            <w:webHidden/>
          </w:rPr>
        </w:r>
        <w:r w:rsidR="00C616B9">
          <w:rPr>
            <w:webHidden/>
          </w:rPr>
          <w:fldChar w:fldCharType="separate"/>
        </w:r>
        <w:r w:rsidR="00C616B9">
          <w:rPr>
            <w:webHidden/>
          </w:rPr>
          <w:t>62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4" w:history="1">
        <w:r w:rsidR="00C616B9" w:rsidRPr="009D2294">
          <w:rPr>
            <w:rStyle w:val="Kpr"/>
            <w:rFonts w:ascii="Times New Roman" w:hAnsi="Times New Roman" w:cs="Times New Roman"/>
          </w:rPr>
          <w:t>Table 3.10: License Procedures in LPG Market in 2019</w:t>
        </w:r>
        <w:r w:rsidR="00C616B9">
          <w:rPr>
            <w:webHidden/>
          </w:rPr>
          <w:tab/>
        </w:r>
        <w:r w:rsidR="00C616B9">
          <w:rPr>
            <w:webHidden/>
          </w:rPr>
          <w:fldChar w:fldCharType="begin"/>
        </w:r>
        <w:r w:rsidR="00C616B9">
          <w:rPr>
            <w:webHidden/>
          </w:rPr>
          <w:instrText xml:space="preserve"> PAGEREF _Toc48818024 \h </w:instrText>
        </w:r>
        <w:r w:rsidR="00C616B9">
          <w:rPr>
            <w:webHidden/>
          </w:rPr>
        </w:r>
        <w:r w:rsidR="00C616B9">
          <w:rPr>
            <w:webHidden/>
          </w:rPr>
          <w:fldChar w:fldCharType="separate"/>
        </w:r>
        <w:r w:rsidR="00C616B9">
          <w:rPr>
            <w:webHidden/>
          </w:rPr>
          <w:t>64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5" w:history="1">
        <w:r w:rsidR="00C616B9" w:rsidRPr="009D2294">
          <w:rPr>
            <w:rStyle w:val="Kpr"/>
            <w:rFonts w:ascii="Times New Roman" w:hAnsi="Times New Roman" w:cs="Times New Roman"/>
          </w:rPr>
          <w:t>Table 3.11: Information on LPG Market Storage Licenses as of the end of 2019</w:t>
        </w:r>
        <w:r w:rsidR="00C616B9">
          <w:rPr>
            <w:webHidden/>
          </w:rPr>
          <w:tab/>
        </w:r>
        <w:r w:rsidR="00C616B9">
          <w:rPr>
            <w:webHidden/>
          </w:rPr>
          <w:fldChar w:fldCharType="begin"/>
        </w:r>
        <w:r w:rsidR="00C616B9">
          <w:rPr>
            <w:webHidden/>
          </w:rPr>
          <w:instrText xml:space="preserve"> PAGEREF _Toc48818025 \h </w:instrText>
        </w:r>
        <w:r w:rsidR="00C616B9">
          <w:rPr>
            <w:webHidden/>
          </w:rPr>
        </w:r>
        <w:r w:rsidR="00C616B9">
          <w:rPr>
            <w:webHidden/>
          </w:rPr>
          <w:fldChar w:fldCharType="separate"/>
        </w:r>
        <w:r w:rsidR="00C616B9">
          <w:rPr>
            <w:webHidden/>
          </w:rPr>
          <w:t>65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6" w:history="1">
        <w:r w:rsidR="00C616B9" w:rsidRPr="009D2294">
          <w:rPr>
            <w:rStyle w:val="Kpr"/>
            <w:rFonts w:ascii="Times New Roman" w:hAnsi="Times New Roman" w:cs="Times New Roman"/>
          </w:rPr>
          <w:t>Table 4.1: System Use and System Operation Price Caps of TEİAŞ in 2020</w:t>
        </w:r>
        <w:r w:rsidR="00C616B9">
          <w:rPr>
            <w:webHidden/>
          </w:rPr>
          <w:tab/>
        </w:r>
        <w:r w:rsidR="00C616B9">
          <w:rPr>
            <w:webHidden/>
          </w:rPr>
          <w:fldChar w:fldCharType="begin"/>
        </w:r>
        <w:r w:rsidR="00C616B9">
          <w:rPr>
            <w:webHidden/>
          </w:rPr>
          <w:instrText xml:space="preserve"> PAGEREF _Toc48818026 \h </w:instrText>
        </w:r>
        <w:r w:rsidR="00C616B9">
          <w:rPr>
            <w:webHidden/>
          </w:rPr>
        </w:r>
        <w:r w:rsidR="00C616B9">
          <w:rPr>
            <w:webHidden/>
          </w:rPr>
          <w:fldChar w:fldCharType="separate"/>
        </w:r>
        <w:r w:rsidR="00C616B9">
          <w:rPr>
            <w:webHidden/>
          </w:rPr>
          <w:t>67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7" w:history="1">
        <w:r w:rsidR="00C616B9" w:rsidRPr="009D2294">
          <w:rPr>
            <w:rStyle w:val="Kpr"/>
            <w:rFonts w:ascii="Times New Roman" w:hAnsi="Times New Roman" w:cs="Times New Roman"/>
          </w:rPr>
          <w:t>Table 4.2: Transmission System Use and System Operation Tariffs</w:t>
        </w:r>
        <w:r w:rsidR="00C616B9">
          <w:rPr>
            <w:webHidden/>
          </w:rPr>
          <w:tab/>
        </w:r>
        <w:r w:rsidR="00C616B9">
          <w:rPr>
            <w:webHidden/>
          </w:rPr>
          <w:fldChar w:fldCharType="begin"/>
        </w:r>
        <w:r w:rsidR="00C616B9">
          <w:rPr>
            <w:webHidden/>
          </w:rPr>
          <w:instrText xml:space="preserve"> PAGEREF _Toc48818027 \h </w:instrText>
        </w:r>
        <w:r w:rsidR="00C616B9">
          <w:rPr>
            <w:webHidden/>
          </w:rPr>
        </w:r>
        <w:r w:rsidR="00C616B9">
          <w:rPr>
            <w:webHidden/>
          </w:rPr>
          <w:fldChar w:fldCharType="separate"/>
        </w:r>
        <w:r w:rsidR="00C616B9">
          <w:rPr>
            <w:webHidden/>
          </w:rPr>
          <w:t>67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8" w:history="1">
        <w:r w:rsidR="00C616B9" w:rsidRPr="009D2294">
          <w:rPr>
            <w:rStyle w:val="Kpr"/>
            <w:rFonts w:ascii="Times New Roman" w:hAnsi="Times New Roman" w:cs="Times New Roman"/>
          </w:rPr>
          <w:t>Table 4.3: Board Decisions on Distribution Assigned Supplier Companies’ Tariff Tables</w:t>
        </w:r>
        <w:r w:rsidR="00C616B9">
          <w:rPr>
            <w:webHidden/>
          </w:rPr>
          <w:tab/>
        </w:r>
        <w:r w:rsidR="00C616B9">
          <w:rPr>
            <w:webHidden/>
          </w:rPr>
          <w:fldChar w:fldCharType="begin"/>
        </w:r>
        <w:r w:rsidR="00C616B9">
          <w:rPr>
            <w:webHidden/>
          </w:rPr>
          <w:instrText xml:space="preserve"> PAGEREF _Toc48818028 \h </w:instrText>
        </w:r>
        <w:r w:rsidR="00C616B9">
          <w:rPr>
            <w:webHidden/>
          </w:rPr>
        </w:r>
        <w:r w:rsidR="00C616B9">
          <w:rPr>
            <w:webHidden/>
          </w:rPr>
          <w:fldChar w:fldCharType="separate"/>
        </w:r>
        <w:r w:rsidR="00C616B9">
          <w:rPr>
            <w:webHidden/>
          </w:rPr>
          <w:t>68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29" w:history="1">
        <w:r w:rsidR="00C616B9" w:rsidRPr="009D2294">
          <w:rPr>
            <w:rStyle w:val="Kpr"/>
            <w:rFonts w:ascii="Times New Roman" w:hAnsi="Times New Roman" w:cs="Times New Roman"/>
          </w:rPr>
          <w:t>Table 4.4: Board Decisions on System Operation Revenue Requirements of Distribution Companies for 2016-2020 Third Implementation Period and Revision of Related Parameters</w:t>
        </w:r>
        <w:r w:rsidR="00C616B9">
          <w:rPr>
            <w:webHidden/>
          </w:rPr>
          <w:tab/>
        </w:r>
        <w:r w:rsidR="00C616B9">
          <w:rPr>
            <w:webHidden/>
          </w:rPr>
          <w:fldChar w:fldCharType="begin"/>
        </w:r>
        <w:r w:rsidR="00C616B9">
          <w:rPr>
            <w:webHidden/>
          </w:rPr>
          <w:instrText xml:space="preserve"> PAGEREF _Toc48818029 \h </w:instrText>
        </w:r>
        <w:r w:rsidR="00C616B9">
          <w:rPr>
            <w:webHidden/>
          </w:rPr>
        </w:r>
        <w:r w:rsidR="00C616B9">
          <w:rPr>
            <w:webHidden/>
          </w:rPr>
          <w:fldChar w:fldCharType="separate"/>
        </w:r>
        <w:r w:rsidR="00C616B9">
          <w:rPr>
            <w:webHidden/>
          </w:rPr>
          <w:t>68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0" w:history="1">
        <w:r w:rsidR="00C616B9" w:rsidRPr="009D2294">
          <w:rPr>
            <w:rStyle w:val="Kpr"/>
            <w:rFonts w:ascii="Times New Roman" w:hAnsi="Times New Roman" w:cs="Times New Roman"/>
          </w:rPr>
          <w:t>Table 4.5: Board Decisions on Approval of the System Operation Revenue Caps of Distribution Companies in  2020</w:t>
        </w:r>
        <w:r w:rsidR="00C616B9">
          <w:rPr>
            <w:webHidden/>
          </w:rPr>
          <w:tab/>
        </w:r>
        <w:r w:rsidR="00C616B9">
          <w:rPr>
            <w:webHidden/>
          </w:rPr>
          <w:fldChar w:fldCharType="begin"/>
        </w:r>
        <w:r w:rsidR="00C616B9">
          <w:rPr>
            <w:webHidden/>
          </w:rPr>
          <w:instrText xml:space="preserve"> PAGEREF _Toc48818030 \h </w:instrText>
        </w:r>
        <w:r w:rsidR="00C616B9">
          <w:rPr>
            <w:webHidden/>
          </w:rPr>
        </w:r>
        <w:r w:rsidR="00C616B9">
          <w:rPr>
            <w:webHidden/>
          </w:rPr>
          <w:fldChar w:fldCharType="separate"/>
        </w:r>
        <w:r w:rsidR="00C616B9">
          <w:rPr>
            <w:webHidden/>
          </w:rPr>
          <w:t>69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1" w:history="1">
        <w:r w:rsidR="00C616B9" w:rsidRPr="009D2294">
          <w:rPr>
            <w:rStyle w:val="Kpr"/>
            <w:rFonts w:ascii="Times New Roman" w:hAnsi="Times New Roman" w:cs="Times New Roman"/>
          </w:rPr>
          <w:t>Table 4.6: Board Decisions on Approval of Retail Sale revenue Caps of Assigned Supplier Companies in 2020</w:t>
        </w:r>
        <w:r w:rsidR="00C616B9">
          <w:rPr>
            <w:webHidden/>
          </w:rPr>
          <w:tab/>
        </w:r>
        <w:r w:rsidR="00C616B9">
          <w:rPr>
            <w:webHidden/>
          </w:rPr>
          <w:fldChar w:fldCharType="begin"/>
        </w:r>
        <w:r w:rsidR="00C616B9">
          <w:rPr>
            <w:webHidden/>
          </w:rPr>
          <w:instrText xml:space="preserve"> PAGEREF _Toc48818031 \h </w:instrText>
        </w:r>
        <w:r w:rsidR="00C616B9">
          <w:rPr>
            <w:webHidden/>
          </w:rPr>
        </w:r>
        <w:r w:rsidR="00C616B9">
          <w:rPr>
            <w:webHidden/>
          </w:rPr>
          <w:fldChar w:fldCharType="separate"/>
        </w:r>
        <w:r w:rsidR="00C616B9">
          <w:rPr>
            <w:webHidden/>
          </w:rPr>
          <w:t>69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2" w:history="1">
        <w:r w:rsidR="00C616B9" w:rsidRPr="009D2294">
          <w:rPr>
            <w:rStyle w:val="Kpr"/>
            <w:rFonts w:ascii="Times New Roman" w:hAnsi="Times New Roman" w:cs="Times New Roman"/>
          </w:rPr>
          <w:t>Table 4.7: Board Decisions on Approval and Revision of Investment Plans for the Years 2016-2020</w:t>
        </w:r>
        <w:r w:rsidR="00C616B9">
          <w:rPr>
            <w:webHidden/>
          </w:rPr>
          <w:tab/>
        </w:r>
        <w:r w:rsidR="00C616B9">
          <w:rPr>
            <w:webHidden/>
          </w:rPr>
          <w:fldChar w:fldCharType="begin"/>
        </w:r>
        <w:r w:rsidR="00C616B9">
          <w:rPr>
            <w:webHidden/>
          </w:rPr>
          <w:instrText xml:space="preserve"> PAGEREF _Toc48818032 \h </w:instrText>
        </w:r>
        <w:r w:rsidR="00C616B9">
          <w:rPr>
            <w:webHidden/>
          </w:rPr>
        </w:r>
        <w:r w:rsidR="00C616B9">
          <w:rPr>
            <w:webHidden/>
          </w:rPr>
          <w:fldChar w:fldCharType="separate"/>
        </w:r>
        <w:r w:rsidR="00C616B9">
          <w:rPr>
            <w:webHidden/>
          </w:rPr>
          <w:t>70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3" w:history="1">
        <w:r w:rsidR="00C616B9" w:rsidRPr="009D2294">
          <w:rPr>
            <w:rStyle w:val="Kpr"/>
            <w:rFonts w:ascii="Times New Roman" w:hAnsi="Times New Roman" w:cs="Times New Roman"/>
          </w:rPr>
          <w:t>Table 4.8: Investment Amounts by Regions in 2019 (With Current prices-TL)</w:t>
        </w:r>
        <w:r w:rsidR="00C616B9">
          <w:rPr>
            <w:webHidden/>
          </w:rPr>
          <w:tab/>
        </w:r>
        <w:r w:rsidR="00C616B9">
          <w:rPr>
            <w:webHidden/>
          </w:rPr>
          <w:fldChar w:fldCharType="begin"/>
        </w:r>
        <w:r w:rsidR="00C616B9">
          <w:rPr>
            <w:webHidden/>
          </w:rPr>
          <w:instrText xml:space="preserve"> PAGEREF _Toc48818033 \h </w:instrText>
        </w:r>
        <w:r w:rsidR="00C616B9">
          <w:rPr>
            <w:webHidden/>
          </w:rPr>
        </w:r>
        <w:r w:rsidR="00C616B9">
          <w:rPr>
            <w:webHidden/>
          </w:rPr>
          <w:fldChar w:fldCharType="separate"/>
        </w:r>
        <w:r w:rsidR="00C616B9">
          <w:rPr>
            <w:webHidden/>
          </w:rPr>
          <w:t>71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4" w:history="1">
        <w:r w:rsidR="00C616B9" w:rsidRPr="009D2294">
          <w:rPr>
            <w:rStyle w:val="Kpr"/>
            <w:rFonts w:ascii="Times New Roman" w:hAnsi="Times New Roman" w:cs="Times New Roman"/>
          </w:rPr>
          <w:t>Table 4.9: Distribution System Connection Fees</w:t>
        </w:r>
        <w:r w:rsidR="00C616B9">
          <w:rPr>
            <w:webHidden/>
          </w:rPr>
          <w:tab/>
        </w:r>
        <w:r w:rsidR="00C616B9">
          <w:rPr>
            <w:webHidden/>
          </w:rPr>
          <w:fldChar w:fldCharType="begin"/>
        </w:r>
        <w:r w:rsidR="00C616B9">
          <w:rPr>
            <w:webHidden/>
          </w:rPr>
          <w:instrText xml:space="preserve"> PAGEREF _Toc48818034 \h </w:instrText>
        </w:r>
        <w:r w:rsidR="00C616B9">
          <w:rPr>
            <w:webHidden/>
          </w:rPr>
        </w:r>
        <w:r w:rsidR="00C616B9">
          <w:rPr>
            <w:webHidden/>
          </w:rPr>
          <w:fldChar w:fldCharType="separate"/>
        </w:r>
        <w:r w:rsidR="00C616B9">
          <w:rPr>
            <w:webHidden/>
          </w:rPr>
          <w:t>72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5" w:history="1">
        <w:r w:rsidR="00C616B9" w:rsidRPr="009D2294">
          <w:rPr>
            <w:rStyle w:val="Kpr"/>
            <w:rFonts w:ascii="Times New Roman" w:hAnsi="Times New Roman" w:cs="Times New Roman"/>
          </w:rPr>
          <w:t>Table 4.10: Connecting-Disconnecting Fees</w:t>
        </w:r>
        <w:r w:rsidR="00C616B9">
          <w:rPr>
            <w:webHidden/>
          </w:rPr>
          <w:tab/>
        </w:r>
        <w:r w:rsidR="00C616B9">
          <w:rPr>
            <w:webHidden/>
          </w:rPr>
          <w:fldChar w:fldCharType="begin"/>
        </w:r>
        <w:r w:rsidR="00C616B9">
          <w:rPr>
            <w:webHidden/>
          </w:rPr>
          <w:instrText xml:space="preserve"> PAGEREF _Toc48818035 \h </w:instrText>
        </w:r>
        <w:r w:rsidR="00C616B9">
          <w:rPr>
            <w:webHidden/>
          </w:rPr>
        </w:r>
        <w:r w:rsidR="00C616B9">
          <w:rPr>
            <w:webHidden/>
          </w:rPr>
          <w:fldChar w:fldCharType="separate"/>
        </w:r>
        <w:r w:rsidR="00C616B9">
          <w:rPr>
            <w:webHidden/>
          </w:rPr>
          <w:t>72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6" w:history="1">
        <w:r w:rsidR="00C616B9" w:rsidRPr="009D2294">
          <w:rPr>
            <w:rStyle w:val="Kpr"/>
            <w:rFonts w:ascii="Times New Roman" w:hAnsi="Times New Roman" w:cs="Times New Roman"/>
          </w:rPr>
          <w:t>Table 4.11: Security Deposits</w:t>
        </w:r>
        <w:r w:rsidR="00C616B9">
          <w:rPr>
            <w:webHidden/>
          </w:rPr>
          <w:tab/>
        </w:r>
        <w:r w:rsidR="00C616B9">
          <w:rPr>
            <w:webHidden/>
          </w:rPr>
          <w:fldChar w:fldCharType="begin"/>
        </w:r>
        <w:r w:rsidR="00C616B9">
          <w:rPr>
            <w:webHidden/>
          </w:rPr>
          <w:instrText xml:space="preserve"> PAGEREF _Toc48818036 \h </w:instrText>
        </w:r>
        <w:r w:rsidR="00C616B9">
          <w:rPr>
            <w:webHidden/>
          </w:rPr>
        </w:r>
        <w:r w:rsidR="00C616B9">
          <w:rPr>
            <w:webHidden/>
          </w:rPr>
          <w:fldChar w:fldCharType="separate"/>
        </w:r>
        <w:r w:rsidR="00C616B9">
          <w:rPr>
            <w:webHidden/>
          </w:rPr>
          <w:t>73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7" w:history="1">
        <w:r w:rsidR="00C616B9" w:rsidRPr="009D2294">
          <w:rPr>
            <w:rStyle w:val="Kpr"/>
            <w:rFonts w:ascii="Times New Roman" w:hAnsi="Times New Roman" w:cs="Times New Roman"/>
          </w:rPr>
          <w:t>Table 4.12: Meter Control Fees</w:t>
        </w:r>
        <w:r w:rsidR="00C616B9">
          <w:rPr>
            <w:webHidden/>
          </w:rPr>
          <w:tab/>
        </w:r>
        <w:r w:rsidR="00C616B9">
          <w:rPr>
            <w:webHidden/>
          </w:rPr>
          <w:fldChar w:fldCharType="begin"/>
        </w:r>
        <w:r w:rsidR="00C616B9">
          <w:rPr>
            <w:webHidden/>
          </w:rPr>
          <w:instrText xml:space="preserve"> PAGEREF _Toc48818037 \h </w:instrText>
        </w:r>
        <w:r w:rsidR="00C616B9">
          <w:rPr>
            <w:webHidden/>
          </w:rPr>
        </w:r>
        <w:r w:rsidR="00C616B9">
          <w:rPr>
            <w:webHidden/>
          </w:rPr>
          <w:fldChar w:fldCharType="separate"/>
        </w:r>
        <w:r w:rsidR="00C616B9">
          <w:rPr>
            <w:webHidden/>
          </w:rPr>
          <w:t>73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8" w:history="1">
        <w:r w:rsidR="00C616B9" w:rsidRPr="009D2294">
          <w:rPr>
            <w:rStyle w:val="Kpr"/>
            <w:rFonts w:ascii="Times New Roman" w:hAnsi="Times New Roman" w:cs="Times New Roman"/>
          </w:rPr>
          <w:t>Table 4.12: Exempted Generation Application Fee</w:t>
        </w:r>
        <w:r w:rsidR="00C616B9">
          <w:rPr>
            <w:webHidden/>
          </w:rPr>
          <w:tab/>
        </w:r>
        <w:r w:rsidR="00C616B9">
          <w:rPr>
            <w:webHidden/>
          </w:rPr>
          <w:fldChar w:fldCharType="begin"/>
        </w:r>
        <w:r w:rsidR="00C616B9">
          <w:rPr>
            <w:webHidden/>
          </w:rPr>
          <w:instrText xml:space="preserve"> PAGEREF _Toc48818038 \h </w:instrText>
        </w:r>
        <w:r w:rsidR="00C616B9">
          <w:rPr>
            <w:webHidden/>
          </w:rPr>
        </w:r>
        <w:r w:rsidR="00C616B9">
          <w:rPr>
            <w:webHidden/>
          </w:rPr>
          <w:fldChar w:fldCharType="separate"/>
        </w:r>
        <w:r w:rsidR="00C616B9">
          <w:rPr>
            <w:webHidden/>
          </w:rPr>
          <w:t>73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39" w:history="1">
        <w:r w:rsidR="00C616B9" w:rsidRPr="009D2294">
          <w:rPr>
            <w:rStyle w:val="Kpr"/>
            <w:rFonts w:ascii="Times New Roman" w:hAnsi="Times New Roman" w:cs="Times New Roman"/>
          </w:rPr>
          <w:t>Table 4.13: Exempted Generation Operational Cost (Assigned Supplier Companies)</w:t>
        </w:r>
        <w:r w:rsidR="00C616B9">
          <w:rPr>
            <w:webHidden/>
          </w:rPr>
          <w:tab/>
        </w:r>
        <w:r w:rsidR="00C616B9">
          <w:rPr>
            <w:webHidden/>
          </w:rPr>
          <w:fldChar w:fldCharType="begin"/>
        </w:r>
        <w:r w:rsidR="00C616B9">
          <w:rPr>
            <w:webHidden/>
          </w:rPr>
          <w:instrText xml:space="preserve"> PAGEREF _Toc48818039 \h </w:instrText>
        </w:r>
        <w:r w:rsidR="00C616B9">
          <w:rPr>
            <w:webHidden/>
          </w:rPr>
        </w:r>
        <w:r w:rsidR="00C616B9">
          <w:rPr>
            <w:webHidden/>
          </w:rPr>
          <w:fldChar w:fldCharType="separate"/>
        </w:r>
        <w:r w:rsidR="00C616B9">
          <w:rPr>
            <w:webHidden/>
          </w:rPr>
          <w:t>73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0" w:history="1">
        <w:r w:rsidR="00C616B9" w:rsidRPr="009D2294">
          <w:rPr>
            <w:rStyle w:val="Kpr"/>
            <w:rFonts w:ascii="Times New Roman" w:hAnsi="Times New Roman" w:cs="Times New Roman"/>
          </w:rPr>
          <w:t>Table 4.18: Exempted Generation Operational Cost  (Electricity Distribution Companies)</w:t>
        </w:r>
        <w:r w:rsidR="00C616B9">
          <w:rPr>
            <w:webHidden/>
          </w:rPr>
          <w:tab/>
        </w:r>
        <w:r w:rsidR="00C616B9">
          <w:rPr>
            <w:webHidden/>
          </w:rPr>
          <w:fldChar w:fldCharType="begin"/>
        </w:r>
        <w:r w:rsidR="00C616B9">
          <w:rPr>
            <w:webHidden/>
          </w:rPr>
          <w:instrText xml:space="preserve"> PAGEREF _Toc48818040 \h </w:instrText>
        </w:r>
        <w:r w:rsidR="00C616B9">
          <w:rPr>
            <w:webHidden/>
          </w:rPr>
        </w:r>
        <w:r w:rsidR="00C616B9">
          <w:rPr>
            <w:webHidden/>
          </w:rPr>
          <w:fldChar w:fldCharType="separate"/>
        </w:r>
        <w:r w:rsidR="00C616B9">
          <w:rPr>
            <w:webHidden/>
          </w:rPr>
          <w:t>74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1" w:history="1">
        <w:r w:rsidR="00C616B9" w:rsidRPr="009D2294">
          <w:rPr>
            <w:rStyle w:val="Kpr"/>
            <w:rFonts w:ascii="Times New Roman" w:hAnsi="Times New Roman" w:cs="Times New Roman"/>
          </w:rPr>
          <w:t>Table 4.16: EPİAŞ Market Operation Price Cap in 2020</w:t>
        </w:r>
        <w:r w:rsidR="00C616B9">
          <w:rPr>
            <w:webHidden/>
          </w:rPr>
          <w:tab/>
        </w:r>
        <w:r w:rsidR="00C616B9">
          <w:rPr>
            <w:webHidden/>
          </w:rPr>
          <w:fldChar w:fldCharType="begin"/>
        </w:r>
        <w:r w:rsidR="00C616B9">
          <w:rPr>
            <w:webHidden/>
          </w:rPr>
          <w:instrText xml:space="preserve"> PAGEREF _Toc48818041 \h </w:instrText>
        </w:r>
        <w:r w:rsidR="00C616B9">
          <w:rPr>
            <w:webHidden/>
          </w:rPr>
        </w:r>
        <w:r w:rsidR="00C616B9">
          <w:rPr>
            <w:webHidden/>
          </w:rPr>
          <w:fldChar w:fldCharType="separate"/>
        </w:r>
        <w:r w:rsidR="00C616B9">
          <w:rPr>
            <w:webHidden/>
          </w:rPr>
          <w:t>74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2" w:history="1">
        <w:r w:rsidR="00C616B9" w:rsidRPr="009D2294">
          <w:rPr>
            <w:rStyle w:val="Kpr"/>
            <w:rFonts w:ascii="Times New Roman" w:hAnsi="Times New Roman" w:cs="Times New Roman"/>
          </w:rPr>
          <w:t>Table 4.17: EÜAŞ Wholesale Tariffs (For the Sale of Technical and Non-Technical Loses to Assigned Supplier Companies and Distribution Companies)</w:t>
        </w:r>
        <w:r w:rsidR="00C616B9">
          <w:rPr>
            <w:webHidden/>
          </w:rPr>
          <w:tab/>
        </w:r>
        <w:r w:rsidR="00C616B9">
          <w:rPr>
            <w:webHidden/>
          </w:rPr>
          <w:fldChar w:fldCharType="begin"/>
        </w:r>
        <w:r w:rsidR="00C616B9">
          <w:rPr>
            <w:webHidden/>
          </w:rPr>
          <w:instrText xml:space="preserve"> PAGEREF _Toc48818042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3" w:history="1">
        <w:r w:rsidR="00C616B9" w:rsidRPr="009D2294">
          <w:rPr>
            <w:rStyle w:val="Kpr"/>
            <w:rFonts w:ascii="Times New Roman" w:hAnsi="Times New Roman" w:cs="Times New Roman"/>
          </w:rPr>
          <w:t>Table 4.18: TETAŞ/EÜAŞ Wholesale Tariffs  (For the Sales to the Distribution Companies with Regard to Generatl Lighting)</w:t>
        </w:r>
        <w:r w:rsidR="00C616B9">
          <w:rPr>
            <w:webHidden/>
          </w:rPr>
          <w:tab/>
        </w:r>
        <w:r w:rsidR="00C616B9">
          <w:rPr>
            <w:webHidden/>
          </w:rPr>
          <w:fldChar w:fldCharType="begin"/>
        </w:r>
        <w:r w:rsidR="00C616B9">
          <w:rPr>
            <w:webHidden/>
          </w:rPr>
          <w:instrText xml:space="preserve"> PAGEREF _Toc48818043 \h </w:instrText>
        </w:r>
        <w:r w:rsidR="00C616B9">
          <w:rPr>
            <w:webHidden/>
          </w:rPr>
        </w:r>
        <w:r w:rsidR="00C616B9">
          <w:rPr>
            <w:webHidden/>
          </w:rPr>
          <w:fldChar w:fldCharType="separate"/>
        </w:r>
        <w:r w:rsidR="00C616B9">
          <w:rPr>
            <w:webHidden/>
          </w:rPr>
          <w:t>75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4" w:history="1">
        <w:r w:rsidR="00C616B9" w:rsidRPr="009D2294">
          <w:rPr>
            <w:rStyle w:val="Kpr"/>
            <w:rFonts w:ascii="Times New Roman" w:hAnsi="Times New Roman" w:cs="Times New Roman"/>
          </w:rPr>
          <w:t>Table 4.19: Transmission Capacity Fee Upper Limits</w:t>
        </w:r>
        <w:r w:rsidR="00C616B9">
          <w:rPr>
            <w:webHidden/>
          </w:rPr>
          <w:tab/>
        </w:r>
        <w:r w:rsidR="00C616B9">
          <w:rPr>
            <w:webHidden/>
          </w:rPr>
          <w:fldChar w:fldCharType="begin"/>
        </w:r>
        <w:r w:rsidR="00C616B9">
          <w:rPr>
            <w:webHidden/>
          </w:rPr>
          <w:instrText xml:space="preserve"> PAGEREF _Toc48818044 \h </w:instrText>
        </w:r>
        <w:r w:rsidR="00C616B9">
          <w:rPr>
            <w:webHidden/>
          </w:rPr>
        </w:r>
        <w:r w:rsidR="00C616B9">
          <w:rPr>
            <w:webHidden/>
          </w:rPr>
          <w:fldChar w:fldCharType="separate"/>
        </w:r>
        <w:r w:rsidR="00C616B9">
          <w:rPr>
            <w:webHidden/>
          </w:rPr>
          <w:t>76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5" w:history="1">
        <w:r w:rsidR="00C616B9" w:rsidRPr="009D2294">
          <w:rPr>
            <w:rStyle w:val="Kpr"/>
            <w:rFonts w:ascii="Times New Roman" w:hAnsi="Times New Roman" w:cs="Times New Roman"/>
          </w:rPr>
          <w:t>Table 4.20: Transmission Service Fee Upper Limit of BOTAŞ</w:t>
        </w:r>
        <w:r w:rsidR="00C616B9">
          <w:rPr>
            <w:webHidden/>
          </w:rPr>
          <w:tab/>
        </w:r>
        <w:r w:rsidR="00C616B9">
          <w:rPr>
            <w:webHidden/>
          </w:rPr>
          <w:fldChar w:fldCharType="begin"/>
        </w:r>
        <w:r w:rsidR="00C616B9">
          <w:rPr>
            <w:webHidden/>
          </w:rPr>
          <w:instrText xml:space="preserve"> PAGEREF _Toc48818045 \h </w:instrText>
        </w:r>
        <w:r w:rsidR="00C616B9">
          <w:rPr>
            <w:webHidden/>
          </w:rPr>
        </w:r>
        <w:r w:rsidR="00C616B9">
          <w:rPr>
            <w:webHidden/>
          </w:rPr>
          <w:fldChar w:fldCharType="separate"/>
        </w:r>
        <w:r w:rsidR="00C616B9">
          <w:rPr>
            <w:webHidden/>
          </w:rPr>
          <w:t>76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6" w:history="1">
        <w:r w:rsidR="00C616B9" w:rsidRPr="009D2294">
          <w:rPr>
            <w:rStyle w:val="Kpr"/>
            <w:rFonts w:ascii="Times New Roman" w:hAnsi="Times New Roman" w:cs="Times New Roman"/>
          </w:rPr>
          <w:t>Table 4.21: Investment Cap of BOTAŞ for Second Implementation Period</w:t>
        </w:r>
        <w:r w:rsidR="00C616B9">
          <w:rPr>
            <w:webHidden/>
          </w:rPr>
          <w:tab/>
        </w:r>
        <w:r w:rsidR="00C616B9">
          <w:rPr>
            <w:webHidden/>
          </w:rPr>
          <w:fldChar w:fldCharType="begin"/>
        </w:r>
        <w:r w:rsidR="00C616B9">
          <w:rPr>
            <w:webHidden/>
          </w:rPr>
          <w:instrText xml:space="preserve"> PAGEREF _Toc48818046 \h </w:instrText>
        </w:r>
        <w:r w:rsidR="00C616B9">
          <w:rPr>
            <w:webHidden/>
          </w:rPr>
        </w:r>
        <w:r w:rsidR="00C616B9">
          <w:rPr>
            <w:webHidden/>
          </w:rPr>
          <w:fldChar w:fldCharType="separate"/>
        </w:r>
        <w:r w:rsidR="00C616B9">
          <w:rPr>
            <w:webHidden/>
          </w:rPr>
          <w:t>76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7" w:history="1">
        <w:r w:rsidR="00C616B9" w:rsidRPr="009D2294">
          <w:rPr>
            <w:rStyle w:val="Kpr"/>
            <w:rFonts w:ascii="Times New Roman" w:hAnsi="Times New Roman" w:cs="Times New Roman"/>
          </w:rPr>
          <w:t>Table 4.22: Revenue Requirement of BOTAŞ for Second Implementation Period</w:t>
        </w:r>
        <w:r w:rsidR="00C616B9">
          <w:rPr>
            <w:webHidden/>
          </w:rPr>
          <w:tab/>
        </w:r>
        <w:r w:rsidR="00C616B9">
          <w:rPr>
            <w:webHidden/>
          </w:rPr>
          <w:fldChar w:fldCharType="begin"/>
        </w:r>
        <w:r w:rsidR="00C616B9">
          <w:rPr>
            <w:webHidden/>
          </w:rPr>
          <w:instrText xml:space="preserve"> PAGEREF _Toc48818047 \h </w:instrText>
        </w:r>
        <w:r w:rsidR="00C616B9">
          <w:rPr>
            <w:webHidden/>
          </w:rPr>
        </w:r>
        <w:r w:rsidR="00C616B9">
          <w:rPr>
            <w:webHidden/>
          </w:rPr>
          <w:fldChar w:fldCharType="separate"/>
        </w:r>
        <w:r w:rsidR="00C616B9">
          <w:rPr>
            <w:webHidden/>
          </w:rPr>
          <w:t>76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8" w:history="1">
        <w:r w:rsidR="00C616B9" w:rsidRPr="009D2294">
          <w:rPr>
            <w:rStyle w:val="Kpr"/>
            <w:rFonts w:ascii="Times New Roman" w:hAnsi="Times New Roman" w:cs="Times New Roman"/>
          </w:rPr>
          <w:t>Table 4.23: Connection Tariffs Determined for Distribution Companies</w:t>
        </w:r>
        <w:r w:rsidR="00C616B9">
          <w:rPr>
            <w:webHidden/>
          </w:rPr>
          <w:tab/>
        </w:r>
        <w:r w:rsidR="00C616B9">
          <w:rPr>
            <w:webHidden/>
          </w:rPr>
          <w:fldChar w:fldCharType="begin"/>
        </w:r>
        <w:r w:rsidR="00C616B9">
          <w:rPr>
            <w:webHidden/>
          </w:rPr>
          <w:instrText xml:space="preserve"> PAGEREF _Toc48818048 \h </w:instrText>
        </w:r>
        <w:r w:rsidR="00C616B9">
          <w:rPr>
            <w:webHidden/>
          </w:rPr>
        </w:r>
        <w:r w:rsidR="00C616B9">
          <w:rPr>
            <w:webHidden/>
          </w:rPr>
          <w:fldChar w:fldCharType="separate"/>
        </w:r>
        <w:r w:rsidR="00C616B9">
          <w:rPr>
            <w:webHidden/>
          </w:rPr>
          <w:t>77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49" w:history="1">
        <w:r w:rsidR="00C616B9" w:rsidRPr="009D2294">
          <w:rPr>
            <w:rStyle w:val="Kpr"/>
            <w:rFonts w:ascii="Times New Roman" w:hAnsi="Times New Roman" w:cs="Times New Roman"/>
          </w:rPr>
          <w:t>Table 4.24: Internal Installation Project Approval, Supervision, Testing and Commissioning Transactions Max. Fees Set Forth by the Authority</w:t>
        </w:r>
        <w:r w:rsidR="00C616B9">
          <w:rPr>
            <w:webHidden/>
          </w:rPr>
          <w:tab/>
        </w:r>
        <w:r w:rsidR="00C616B9">
          <w:rPr>
            <w:webHidden/>
          </w:rPr>
          <w:fldChar w:fldCharType="begin"/>
        </w:r>
        <w:r w:rsidR="00C616B9">
          <w:rPr>
            <w:webHidden/>
          </w:rPr>
          <w:instrText xml:space="preserve"> PAGEREF _Toc48818049 \h </w:instrText>
        </w:r>
        <w:r w:rsidR="00C616B9">
          <w:rPr>
            <w:webHidden/>
          </w:rPr>
        </w:r>
        <w:r w:rsidR="00C616B9">
          <w:rPr>
            <w:webHidden/>
          </w:rPr>
          <w:fldChar w:fldCharType="separate"/>
        </w:r>
        <w:r w:rsidR="00C616B9">
          <w:rPr>
            <w:webHidden/>
          </w:rPr>
          <w:t>77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0" w:history="1">
        <w:r w:rsidR="00C616B9" w:rsidRPr="009D2294">
          <w:rPr>
            <w:rStyle w:val="Kpr"/>
            <w:rFonts w:ascii="Times New Roman" w:hAnsi="Times New Roman" w:cs="Times New Roman"/>
          </w:rPr>
          <w:t>Table 4.25: Natural Gas Distribution Companies With Board Decision Regarding Retail Tariffs In 2019</w:t>
        </w:r>
        <w:r w:rsidR="00C616B9">
          <w:rPr>
            <w:webHidden/>
          </w:rPr>
          <w:tab/>
        </w:r>
        <w:r w:rsidR="00C616B9">
          <w:rPr>
            <w:webHidden/>
          </w:rPr>
          <w:fldChar w:fldCharType="begin"/>
        </w:r>
        <w:r w:rsidR="00C616B9">
          <w:rPr>
            <w:webHidden/>
          </w:rPr>
          <w:instrText xml:space="preserve"> PAGEREF _Toc48818050 \h </w:instrText>
        </w:r>
        <w:r w:rsidR="00C616B9">
          <w:rPr>
            <w:webHidden/>
          </w:rPr>
        </w:r>
        <w:r w:rsidR="00C616B9">
          <w:rPr>
            <w:webHidden/>
          </w:rPr>
          <w:fldChar w:fldCharType="separate"/>
        </w:r>
        <w:r w:rsidR="00C616B9">
          <w:rPr>
            <w:webHidden/>
          </w:rPr>
          <w:t>78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1" w:history="1">
        <w:r w:rsidR="00C616B9" w:rsidRPr="009D2294">
          <w:rPr>
            <w:rStyle w:val="Kpr"/>
            <w:rFonts w:ascii="Times New Roman" w:hAnsi="Times New Roman" w:cs="Times New Roman"/>
          </w:rPr>
          <w:t>Table 6.1: Transfer of Funds to the Signatories of the Protocol for Audits Between 2016-2018</w:t>
        </w:r>
        <w:r w:rsidR="00C616B9">
          <w:rPr>
            <w:webHidden/>
          </w:rPr>
          <w:tab/>
        </w:r>
        <w:r w:rsidR="00C616B9">
          <w:rPr>
            <w:webHidden/>
          </w:rPr>
          <w:fldChar w:fldCharType="begin"/>
        </w:r>
        <w:r w:rsidR="00C616B9">
          <w:rPr>
            <w:webHidden/>
          </w:rPr>
          <w:instrText xml:space="preserve"> PAGEREF _Toc48818051 \h </w:instrText>
        </w:r>
        <w:r w:rsidR="00C616B9">
          <w:rPr>
            <w:webHidden/>
          </w:rPr>
        </w:r>
        <w:r w:rsidR="00C616B9">
          <w:rPr>
            <w:webHidden/>
          </w:rPr>
          <w:fldChar w:fldCharType="separate"/>
        </w:r>
        <w:r w:rsidR="00C616B9">
          <w:rPr>
            <w:webHidden/>
          </w:rPr>
          <w:t>92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2" w:history="1">
        <w:r w:rsidR="00C616B9" w:rsidRPr="009D2294">
          <w:rPr>
            <w:rStyle w:val="Kpr"/>
            <w:rFonts w:ascii="Times New Roman" w:hAnsi="Times New Roman" w:cs="Times New Roman"/>
          </w:rPr>
          <w:t>Table 6.2: Benchmarking Result Analysis of National Marker Field Equipment (XP)for Years 2017-2019</w:t>
        </w:r>
        <w:r w:rsidR="00C616B9">
          <w:rPr>
            <w:webHidden/>
          </w:rPr>
          <w:tab/>
        </w:r>
        <w:r w:rsidR="00C616B9">
          <w:rPr>
            <w:webHidden/>
          </w:rPr>
          <w:fldChar w:fldCharType="begin"/>
        </w:r>
        <w:r w:rsidR="00C616B9">
          <w:rPr>
            <w:webHidden/>
          </w:rPr>
          <w:instrText xml:space="preserve"> PAGEREF _Toc48818052 \h </w:instrText>
        </w:r>
        <w:r w:rsidR="00C616B9">
          <w:rPr>
            <w:webHidden/>
          </w:rPr>
        </w:r>
        <w:r w:rsidR="00C616B9">
          <w:rPr>
            <w:webHidden/>
          </w:rPr>
          <w:fldChar w:fldCharType="separate"/>
        </w:r>
        <w:r w:rsidR="00C616B9">
          <w:rPr>
            <w:webHidden/>
          </w:rPr>
          <w:t>92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3" w:history="1">
        <w:r w:rsidR="00C616B9" w:rsidRPr="009D2294">
          <w:rPr>
            <w:rStyle w:val="Kpr"/>
            <w:rFonts w:ascii="Times New Roman" w:hAnsi="Times New Roman" w:cs="Times New Roman"/>
          </w:rPr>
          <w:t>Table 6.3: Dispersion of Administrative Fines Imposed in Petroleum Market in 2019 by License Types</w:t>
        </w:r>
        <w:r w:rsidR="00C616B9">
          <w:rPr>
            <w:webHidden/>
          </w:rPr>
          <w:tab/>
        </w:r>
        <w:r w:rsidR="00C616B9">
          <w:rPr>
            <w:webHidden/>
          </w:rPr>
          <w:fldChar w:fldCharType="begin"/>
        </w:r>
        <w:r w:rsidR="00C616B9">
          <w:rPr>
            <w:webHidden/>
          </w:rPr>
          <w:instrText xml:space="preserve"> PAGEREF _Toc48818053 \h </w:instrText>
        </w:r>
        <w:r w:rsidR="00C616B9">
          <w:rPr>
            <w:webHidden/>
          </w:rPr>
        </w:r>
        <w:r w:rsidR="00C616B9">
          <w:rPr>
            <w:webHidden/>
          </w:rPr>
          <w:fldChar w:fldCharType="separate"/>
        </w:r>
        <w:r w:rsidR="00C616B9">
          <w:rPr>
            <w:webHidden/>
          </w:rPr>
          <w:t>93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4" w:history="1">
        <w:r w:rsidR="00C616B9" w:rsidRPr="009D2294">
          <w:rPr>
            <w:rStyle w:val="Kpr"/>
            <w:rFonts w:ascii="Times New Roman" w:hAnsi="Times New Roman" w:cs="Times New Roman"/>
          </w:rPr>
          <w:t>Table 6.4: Dispersion of Administrative Fines Imposed in Petroleum Market in 2018-2019 by License Types</w:t>
        </w:r>
        <w:r w:rsidR="00C616B9">
          <w:rPr>
            <w:webHidden/>
          </w:rPr>
          <w:tab/>
        </w:r>
        <w:r w:rsidR="00C616B9">
          <w:rPr>
            <w:webHidden/>
          </w:rPr>
          <w:fldChar w:fldCharType="begin"/>
        </w:r>
        <w:r w:rsidR="00C616B9">
          <w:rPr>
            <w:webHidden/>
          </w:rPr>
          <w:instrText xml:space="preserve"> PAGEREF _Toc48818054 \h </w:instrText>
        </w:r>
        <w:r w:rsidR="00C616B9">
          <w:rPr>
            <w:webHidden/>
          </w:rPr>
        </w:r>
        <w:r w:rsidR="00C616B9">
          <w:rPr>
            <w:webHidden/>
          </w:rPr>
          <w:fldChar w:fldCharType="separate"/>
        </w:r>
        <w:r w:rsidR="00C616B9">
          <w:rPr>
            <w:webHidden/>
          </w:rPr>
          <w:t>93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5" w:history="1">
        <w:r w:rsidR="00C616B9" w:rsidRPr="009D2294">
          <w:rPr>
            <w:rStyle w:val="Kpr"/>
            <w:rFonts w:ascii="Times New Roman" w:hAnsi="Times New Roman" w:cs="Times New Roman"/>
          </w:rPr>
          <w:t>Table 6.5: Dispersion of Administrative Fines Imposed in Petroleum Market in 2017 by subject matters</w:t>
        </w:r>
        <w:r w:rsidR="00C616B9">
          <w:rPr>
            <w:webHidden/>
          </w:rPr>
          <w:tab/>
        </w:r>
        <w:r w:rsidR="00C616B9">
          <w:rPr>
            <w:webHidden/>
          </w:rPr>
          <w:fldChar w:fldCharType="begin"/>
        </w:r>
        <w:r w:rsidR="00C616B9">
          <w:rPr>
            <w:webHidden/>
          </w:rPr>
          <w:instrText xml:space="preserve"> PAGEREF _Toc48818055 \h </w:instrText>
        </w:r>
        <w:r w:rsidR="00C616B9">
          <w:rPr>
            <w:webHidden/>
          </w:rPr>
        </w:r>
        <w:r w:rsidR="00C616B9">
          <w:rPr>
            <w:webHidden/>
          </w:rPr>
          <w:fldChar w:fldCharType="separate"/>
        </w:r>
        <w:r w:rsidR="00C616B9">
          <w:rPr>
            <w:webHidden/>
          </w:rPr>
          <w:t>93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6" w:history="1">
        <w:r w:rsidR="00C616B9" w:rsidRPr="009D2294">
          <w:rPr>
            <w:rStyle w:val="Kpr"/>
            <w:rFonts w:ascii="Times New Roman" w:hAnsi="Times New Roman" w:cs="Times New Roman"/>
          </w:rPr>
          <w:t>Table 6.6: Dispersion of the Administrative Fines Imposed in 2019 in LPG Market by the License Types</w:t>
        </w:r>
        <w:r w:rsidR="00C616B9">
          <w:rPr>
            <w:webHidden/>
          </w:rPr>
          <w:tab/>
        </w:r>
        <w:r w:rsidR="00C616B9">
          <w:rPr>
            <w:webHidden/>
          </w:rPr>
          <w:fldChar w:fldCharType="begin"/>
        </w:r>
        <w:r w:rsidR="00C616B9">
          <w:rPr>
            <w:webHidden/>
          </w:rPr>
          <w:instrText xml:space="preserve"> PAGEREF _Toc48818056 \h </w:instrText>
        </w:r>
        <w:r w:rsidR="00C616B9">
          <w:rPr>
            <w:webHidden/>
          </w:rPr>
        </w:r>
        <w:r w:rsidR="00C616B9">
          <w:rPr>
            <w:webHidden/>
          </w:rPr>
          <w:fldChar w:fldCharType="separate"/>
        </w:r>
        <w:r w:rsidR="00C616B9">
          <w:rPr>
            <w:webHidden/>
          </w:rPr>
          <w:t>94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7" w:history="1">
        <w:r w:rsidR="00C616B9" w:rsidRPr="009D2294">
          <w:rPr>
            <w:rStyle w:val="Kpr"/>
            <w:rFonts w:ascii="Times New Roman" w:hAnsi="Times New Roman" w:cs="Times New Roman"/>
          </w:rPr>
          <w:t>Table 6.7: Dispersion of the Administartive Fines Imposed in  2018-2019 in LPG Market by License Type</w:t>
        </w:r>
        <w:r w:rsidR="00C616B9">
          <w:rPr>
            <w:webHidden/>
          </w:rPr>
          <w:tab/>
        </w:r>
        <w:r w:rsidR="00C616B9">
          <w:rPr>
            <w:webHidden/>
          </w:rPr>
          <w:fldChar w:fldCharType="begin"/>
        </w:r>
        <w:r w:rsidR="00C616B9">
          <w:rPr>
            <w:webHidden/>
          </w:rPr>
          <w:instrText xml:space="preserve"> PAGEREF _Toc48818057 \h </w:instrText>
        </w:r>
        <w:r w:rsidR="00C616B9">
          <w:rPr>
            <w:webHidden/>
          </w:rPr>
        </w:r>
        <w:r w:rsidR="00C616B9">
          <w:rPr>
            <w:webHidden/>
          </w:rPr>
          <w:fldChar w:fldCharType="separate"/>
        </w:r>
        <w:r w:rsidR="00C616B9">
          <w:rPr>
            <w:webHidden/>
          </w:rPr>
          <w:t>95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8" w:history="1">
        <w:r w:rsidR="00C616B9" w:rsidRPr="009D2294">
          <w:rPr>
            <w:rStyle w:val="Kpr"/>
            <w:rFonts w:ascii="Times New Roman" w:hAnsi="Times New Roman" w:cs="Times New Roman"/>
          </w:rPr>
          <w:t>Table 6.8: Dispersion of Administrative Fines in LPG Market in 2019 by the Subject Matter</w:t>
        </w:r>
        <w:r w:rsidR="00C616B9">
          <w:rPr>
            <w:webHidden/>
          </w:rPr>
          <w:tab/>
        </w:r>
        <w:r w:rsidR="00C616B9">
          <w:rPr>
            <w:webHidden/>
          </w:rPr>
          <w:fldChar w:fldCharType="begin"/>
        </w:r>
        <w:r w:rsidR="00C616B9">
          <w:rPr>
            <w:webHidden/>
          </w:rPr>
          <w:instrText xml:space="preserve"> PAGEREF _Toc48818058 \h </w:instrText>
        </w:r>
        <w:r w:rsidR="00C616B9">
          <w:rPr>
            <w:webHidden/>
          </w:rPr>
        </w:r>
        <w:r w:rsidR="00C616B9">
          <w:rPr>
            <w:webHidden/>
          </w:rPr>
          <w:fldChar w:fldCharType="separate"/>
        </w:r>
        <w:r w:rsidR="00C616B9">
          <w:rPr>
            <w:webHidden/>
          </w:rPr>
          <w:t>95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59" w:history="1">
        <w:r w:rsidR="00C616B9" w:rsidRPr="009D2294">
          <w:rPr>
            <w:rStyle w:val="Kpr"/>
            <w:rFonts w:ascii="Times New Roman" w:hAnsi="Times New Roman" w:cs="Times New Roman"/>
          </w:rPr>
          <w:t xml:space="preserve">Table 7.1: </w:t>
        </w:r>
        <w:r w:rsidR="00C616B9" w:rsidRPr="009D2294">
          <w:rPr>
            <w:rStyle w:val="Kpr"/>
            <w:rFonts w:ascii="Times New Roman" w:hAnsi="Times New Roman" w:cs="Times New Roman"/>
            <w:lang w:val="en"/>
          </w:rPr>
          <w:t>Distribution of Board Decisions Regarding Real Estate Procurement in 2019</w:t>
        </w:r>
        <w:r w:rsidR="00C616B9">
          <w:rPr>
            <w:webHidden/>
          </w:rPr>
          <w:tab/>
        </w:r>
        <w:r w:rsidR="00C616B9">
          <w:rPr>
            <w:webHidden/>
          </w:rPr>
          <w:fldChar w:fldCharType="begin"/>
        </w:r>
        <w:r w:rsidR="00C616B9">
          <w:rPr>
            <w:webHidden/>
          </w:rPr>
          <w:instrText xml:space="preserve"> PAGEREF _Toc48818059 \h </w:instrText>
        </w:r>
        <w:r w:rsidR="00C616B9">
          <w:rPr>
            <w:webHidden/>
          </w:rPr>
        </w:r>
        <w:r w:rsidR="00C616B9">
          <w:rPr>
            <w:webHidden/>
          </w:rPr>
          <w:fldChar w:fldCharType="separate"/>
        </w:r>
        <w:r w:rsidR="00C616B9">
          <w:rPr>
            <w:webHidden/>
          </w:rPr>
          <w:t>97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0" w:history="1">
        <w:r w:rsidR="00C616B9" w:rsidRPr="009D2294">
          <w:rPr>
            <w:rStyle w:val="Kpr"/>
            <w:bCs/>
            <w:lang w:val="en"/>
          </w:rPr>
          <w:t xml:space="preserve">Table 7.2: </w:t>
        </w:r>
        <w:r w:rsidR="00C616B9" w:rsidRPr="009D2294">
          <w:rPr>
            <w:rStyle w:val="Kpr"/>
            <w:rFonts w:ascii="Times New Roman" w:hAnsi="Times New Roman" w:cs="Times New Roman"/>
            <w:lang w:val="en"/>
          </w:rPr>
          <w:t>Distribution of the Board Decisions Regarding the Procurement of Immovable Properties by Type of Facilities in 2019</w:t>
        </w:r>
        <w:r w:rsidR="00C616B9">
          <w:rPr>
            <w:webHidden/>
          </w:rPr>
          <w:tab/>
        </w:r>
        <w:r w:rsidR="00C616B9">
          <w:rPr>
            <w:webHidden/>
          </w:rPr>
          <w:fldChar w:fldCharType="begin"/>
        </w:r>
        <w:r w:rsidR="00C616B9">
          <w:rPr>
            <w:webHidden/>
          </w:rPr>
          <w:instrText xml:space="preserve"> PAGEREF _Toc48818060 \h </w:instrText>
        </w:r>
        <w:r w:rsidR="00C616B9">
          <w:rPr>
            <w:webHidden/>
          </w:rPr>
        </w:r>
        <w:r w:rsidR="00C616B9">
          <w:rPr>
            <w:webHidden/>
          </w:rPr>
          <w:fldChar w:fldCharType="separate"/>
        </w:r>
        <w:r w:rsidR="00C616B9">
          <w:rPr>
            <w:webHidden/>
          </w:rPr>
          <w:t>97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1" w:history="1">
        <w:r w:rsidR="00C616B9" w:rsidRPr="009D2294">
          <w:rPr>
            <w:rStyle w:val="Kpr"/>
            <w:rFonts w:ascii="Times New Roman" w:hAnsi="Times New Roman" w:cs="Times New Roman"/>
          </w:rPr>
          <w:t>Table 8.1: Total Number of Cases of which EMRA is a Party as of the end of 2019 by Sectors</w:t>
        </w:r>
        <w:r w:rsidR="00C616B9">
          <w:rPr>
            <w:webHidden/>
          </w:rPr>
          <w:tab/>
        </w:r>
        <w:r w:rsidR="00C616B9">
          <w:rPr>
            <w:webHidden/>
          </w:rPr>
          <w:fldChar w:fldCharType="begin"/>
        </w:r>
        <w:r w:rsidR="00C616B9">
          <w:rPr>
            <w:webHidden/>
          </w:rPr>
          <w:instrText xml:space="preserve"> PAGEREF _Toc48818061 \h </w:instrText>
        </w:r>
        <w:r w:rsidR="00C616B9">
          <w:rPr>
            <w:webHidden/>
          </w:rPr>
        </w:r>
        <w:r w:rsidR="00C616B9">
          <w:rPr>
            <w:webHidden/>
          </w:rPr>
          <w:fldChar w:fldCharType="separate"/>
        </w:r>
        <w:r w:rsidR="00C616B9">
          <w:rPr>
            <w:webHidden/>
          </w:rPr>
          <w:t>99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2" w:history="1">
        <w:r w:rsidR="00C616B9" w:rsidRPr="009D2294">
          <w:rPr>
            <w:rStyle w:val="Kpr"/>
            <w:rFonts w:ascii="Times New Roman" w:hAnsi="Times New Roman" w:cs="Times New Roman"/>
          </w:rPr>
          <w:t>Table 8.2: Dispersion of Cases of which EMRA is a Party as of the end of 2019 by Sectors</w:t>
        </w:r>
        <w:r w:rsidR="00C616B9">
          <w:rPr>
            <w:webHidden/>
          </w:rPr>
          <w:tab/>
        </w:r>
        <w:r w:rsidR="00C616B9">
          <w:rPr>
            <w:webHidden/>
          </w:rPr>
          <w:fldChar w:fldCharType="begin"/>
        </w:r>
        <w:r w:rsidR="00C616B9">
          <w:rPr>
            <w:webHidden/>
          </w:rPr>
          <w:instrText xml:space="preserve"> PAGEREF _Toc48818062 \h </w:instrText>
        </w:r>
        <w:r w:rsidR="00C616B9">
          <w:rPr>
            <w:webHidden/>
          </w:rPr>
        </w:r>
        <w:r w:rsidR="00C616B9">
          <w:rPr>
            <w:webHidden/>
          </w:rPr>
          <w:fldChar w:fldCharType="separate"/>
        </w:r>
        <w:r w:rsidR="00C616B9">
          <w:rPr>
            <w:webHidden/>
          </w:rPr>
          <w:t>99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3" w:history="1">
        <w:r w:rsidR="00C616B9" w:rsidRPr="009D2294">
          <w:rPr>
            <w:rStyle w:val="Kpr"/>
            <w:rFonts w:ascii="Times New Roman" w:hAnsi="Times New Roman" w:cs="Times New Roman"/>
          </w:rPr>
          <w:t>Table 8.3: Dispersion of the Cases of which EMRA is a Party in 2019</w:t>
        </w:r>
        <w:r w:rsidR="00C616B9">
          <w:rPr>
            <w:webHidden/>
          </w:rPr>
          <w:tab/>
        </w:r>
        <w:r w:rsidR="00C616B9">
          <w:rPr>
            <w:webHidden/>
          </w:rPr>
          <w:fldChar w:fldCharType="begin"/>
        </w:r>
        <w:r w:rsidR="00C616B9">
          <w:rPr>
            <w:webHidden/>
          </w:rPr>
          <w:instrText xml:space="preserve"> PAGEREF _Toc48818063 \h </w:instrText>
        </w:r>
        <w:r w:rsidR="00C616B9">
          <w:rPr>
            <w:webHidden/>
          </w:rPr>
        </w:r>
        <w:r w:rsidR="00C616B9">
          <w:rPr>
            <w:webHidden/>
          </w:rPr>
          <w:fldChar w:fldCharType="separate"/>
        </w:r>
        <w:r w:rsidR="00C616B9">
          <w:rPr>
            <w:webHidden/>
          </w:rPr>
          <w:t>99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4" w:history="1">
        <w:r w:rsidR="00C616B9" w:rsidRPr="009D2294">
          <w:rPr>
            <w:rStyle w:val="Kpr"/>
            <w:rFonts w:ascii="Times New Roman" w:hAnsi="Times New Roman" w:cs="Times New Roman"/>
          </w:rPr>
          <w:t>Figure 8.1: Dispersion of Cases of which EMRA is a Party by years</w:t>
        </w:r>
        <w:r w:rsidR="00C616B9">
          <w:rPr>
            <w:webHidden/>
          </w:rPr>
          <w:tab/>
        </w:r>
        <w:r w:rsidR="00C616B9">
          <w:rPr>
            <w:webHidden/>
          </w:rPr>
          <w:fldChar w:fldCharType="begin"/>
        </w:r>
        <w:r w:rsidR="00C616B9">
          <w:rPr>
            <w:webHidden/>
          </w:rPr>
          <w:instrText xml:space="preserve"> PAGEREF _Toc48818064 \h </w:instrText>
        </w:r>
        <w:r w:rsidR="00C616B9">
          <w:rPr>
            <w:webHidden/>
          </w:rPr>
        </w:r>
        <w:r w:rsidR="00C616B9">
          <w:rPr>
            <w:webHidden/>
          </w:rPr>
          <w:fldChar w:fldCharType="separate"/>
        </w:r>
        <w:r w:rsidR="00C616B9">
          <w:rPr>
            <w:webHidden/>
          </w:rPr>
          <w:t>100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5" w:history="1">
        <w:r w:rsidR="00C616B9" w:rsidRPr="009D2294">
          <w:rPr>
            <w:rStyle w:val="Kpr"/>
            <w:rFonts w:ascii="Times New Roman" w:hAnsi="Times New Roman" w:cs="Times New Roman"/>
          </w:rPr>
          <w:t>Table 8.4: Status of the Cases Litigated by EMRA as of the end of 2019</w:t>
        </w:r>
        <w:r w:rsidR="00C616B9">
          <w:rPr>
            <w:webHidden/>
          </w:rPr>
          <w:tab/>
        </w:r>
        <w:r w:rsidR="00C616B9">
          <w:rPr>
            <w:webHidden/>
          </w:rPr>
          <w:fldChar w:fldCharType="begin"/>
        </w:r>
        <w:r w:rsidR="00C616B9">
          <w:rPr>
            <w:webHidden/>
          </w:rPr>
          <w:instrText xml:space="preserve"> PAGEREF _Toc48818065 \h </w:instrText>
        </w:r>
        <w:r w:rsidR="00C616B9">
          <w:rPr>
            <w:webHidden/>
          </w:rPr>
        </w:r>
        <w:r w:rsidR="00C616B9">
          <w:rPr>
            <w:webHidden/>
          </w:rPr>
          <w:fldChar w:fldCharType="separate"/>
        </w:r>
        <w:r w:rsidR="00C616B9">
          <w:rPr>
            <w:webHidden/>
          </w:rPr>
          <w:t>100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6" w:history="1">
        <w:r w:rsidR="00C616B9" w:rsidRPr="009D2294">
          <w:rPr>
            <w:rStyle w:val="Kpr"/>
            <w:rFonts w:ascii="Times New Roman" w:hAnsi="Times New Roman" w:cs="Times New Roman"/>
          </w:rPr>
          <w:t>Table 8.5: The Resolutions</w:t>
        </w:r>
        <w:r w:rsidR="00C616B9">
          <w:rPr>
            <w:webHidden/>
          </w:rPr>
          <w:tab/>
        </w:r>
        <w:r w:rsidR="00C616B9">
          <w:rPr>
            <w:webHidden/>
          </w:rPr>
          <w:fldChar w:fldCharType="begin"/>
        </w:r>
        <w:r w:rsidR="00C616B9">
          <w:rPr>
            <w:webHidden/>
          </w:rPr>
          <w:instrText xml:space="preserve"> PAGEREF _Toc48818066 \h </w:instrText>
        </w:r>
        <w:r w:rsidR="00C616B9">
          <w:rPr>
            <w:webHidden/>
          </w:rPr>
        </w:r>
        <w:r w:rsidR="00C616B9">
          <w:rPr>
            <w:webHidden/>
          </w:rPr>
          <w:fldChar w:fldCharType="separate"/>
        </w:r>
        <w:r w:rsidR="00C616B9">
          <w:rPr>
            <w:webHidden/>
          </w:rPr>
          <w:t>101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7" w:history="1">
        <w:r w:rsidR="00C616B9" w:rsidRPr="009D2294">
          <w:rPr>
            <w:rStyle w:val="Kpr"/>
            <w:rFonts w:ascii="Times New Roman" w:hAnsi="Times New Roman" w:cs="Times New Roman"/>
          </w:rPr>
          <w:t>Table 8.6: The Resolutions</w:t>
        </w:r>
        <w:r w:rsidR="00C616B9">
          <w:rPr>
            <w:webHidden/>
          </w:rPr>
          <w:tab/>
        </w:r>
        <w:r w:rsidR="00C616B9">
          <w:rPr>
            <w:webHidden/>
          </w:rPr>
          <w:fldChar w:fldCharType="begin"/>
        </w:r>
        <w:r w:rsidR="00C616B9">
          <w:rPr>
            <w:webHidden/>
          </w:rPr>
          <w:instrText xml:space="preserve"> PAGEREF _Toc48818067 \h </w:instrText>
        </w:r>
        <w:r w:rsidR="00C616B9">
          <w:rPr>
            <w:webHidden/>
          </w:rPr>
        </w:r>
        <w:r w:rsidR="00C616B9">
          <w:rPr>
            <w:webHidden/>
          </w:rPr>
          <w:fldChar w:fldCharType="separate"/>
        </w:r>
        <w:r w:rsidR="00C616B9">
          <w:rPr>
            <w:webHidden/>
          </w:rPr>
          <w:t>101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8" w:history="1">
        <w:r w:rsidR="00C616B9" w:rsidRPr="009D2294">
          <w:rPr>
            <w:rStyle w:val="Kpr"/>
            <w:rFonts w:ascii="Times New Roman" w:hAnsi="Times New Roman" w:cs="Times New Roman"/>
          </w:rPr>
          <w:t>Figure 8.2: Distribution of the Cases in which EMRA is a Party by the End of the Year in Terms of Results</w:t>
        </w:r>
        <w:r w:rsidR="00C616B9">
          <w:rPr>
            <w:webHidden/>
          </w:rPr>
          <w:tab/>
        </w:r>
        <w:r w:rsidR="00C616B9">
          <w:rPr>
            <w:webHidden/>
          </w:rPr>
          <w:fldChar w:fldCharType="begin"/>
        </w:r>
        <w:r w:rsidR="00C616B9">
          <w:rPr>
            <w:webHidden/>
          </w:rPr>
          <w:instrText xml:space="preserve"> PAGEREF _Toc48818068 \h </w:instrText>
        </w:r>
        <w:r w:rsidR="00C616B9">
          <w:rPr>
            <w:webHidden/>
          </w:rPr>
        </w:r>
        <w:r w:rsidR="00C616B9">
          <w:rPr>
            <w:webHidden/>
          </w:rPr>
          <w:fldChar w:fldCharType="separate"/>
        </w:r>
        <w:r w:rsidR="00C616B9">
          <w:rPr>
            <w:webHidden/>
          </w:rPr>
          <w:t>101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69" w:history="1">
        <w:r w:rsidR="00C616B9" w:rsidRPr="009D2294">
          <w:rPr>
            <w:rStyle w:val="Kpr"/>
            <w:rFonts w:ascii="Times New Roman" w:hAnsi="Times New Roman" w:cs="Times New Roman"/>
          </w:rPr>
          <w:t>Table 8.7: Dispersion of Opinions Given in 2019</w:t>
        </w:r>
        <w:r w:rsidR="00C616B9">
          <w:rPr>
            <w:webHidden/>
          </w:rPr>
          <w:tab/>
        </w:r>
        <w:r w:rsidR="00C616B9">
          <w:rPr>
            <w:webHidden/>
          </w:rPr>
          <w:fldChar w:fldCharType="begin"/>
        </w:r>
        <w:r w:rsidR="00C616B9">
          <w:rPr>
            <w:webHidden/>
          </w:rPr>
          <w:instrText xml:space="preserve"> PAGEREF _Toc48818069 \h </w:instrText>
        </w:r>
        <w:r w:rsidR="00C616B9">
          <w:rPr>
            <w:webHidden/>
          </w:rPr>
        </w:r>
        <w:r w:rsidR="00C616B9">
          <w:rPr>
            <w:webHidden/>
          </w:rPr>
          <w:fldChar w:fldCharType="separate"/>
        </w:r>
        <w:r w:rsidR="00C616B9">
          <w:rPr>
            <w:webHidden/>
          </w:rPr>
          <w:t>102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0" w:history="1">
        <w:r w:rsidR="00C616B9" w:rsidRPr="009D2294">
          <w:rPr>
            <w:rStyle w:val="Kpr"/>
            <w:rFonts w:ascii="Times New Roman" w:hAnsi="Times New Roman" w:cs="Times New Roman"/>
          </w:rPr>
          <w:t>Table 8.8: Dispersion of Opinions Given by Years</w:t>
        </w:r>
        <w:r w:rsidR="00C616B9">
          <w:rPr>
            <w:webHidden/>
          </w:rPr>
          <w:tab/>
        </w:r>
        <w:r w:rsidR="00C616B9">
          <w:rPr>
            <w:webHidden/>
          </w:rPr>
          <w:fldChar w:fldCharType="begin"/>
        </w:r>
        <w:r w:rsidR="00C616B9">
          <w:rPr>
            <w:webHidden/>
          </w:rPr>
          <w:instrText xml:space="preserve"> PAGEREF _Toc48818070 \h </w:instrText>
        </w:r>
        <w:r w:rsidR="00C616B9">
          <w:rPr>
            <w:webHidden/>
          </w:rPr>
        </w:r>
        <w:r w:rsidR="00C616B9">
          <w:rPr>
            <w:webHidden/>
          </w:rPr>
          <w:fldChar w:fldCharType="separate"/>
        </w:r>
        <w:r w:rsidR="00C616B9">
          <w:rPr>
            <w:webHidden/>
          </w:rPr>
          <w:t>102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1" w:history="1">
        <w:r w:rsidR="00C616B9" w:rsidRPr="009D2294">
          <w:rPr>
            <w:rStyle w:val="Kpr"/>
            <w:rFonts w:ascii="Times New Roman" w:hAnsi="Times New Roman" w:cs="Times New Roman"/>
          </w:rPr>
          <w:t>Figure 8.3: Distribution of Views by the Legal Department by Years</w:t>
        </w:r>
        <w:r w:rsidR="00C616B9">
          <w:rPr>
            <w:webHidden/>
          </w:rPr>
          <w:tab/>
        </w:r>
        <w:r w:rsidR="00C616B9">
          <w:rPr>
            <w:webHidden/>
          </w:rPr>
          <w:fldChar w:fldCharType="begin"/>
        </w:r>
        <w:r w:rsidR="00C616B9">
          <w:rPr>
            <w:webHidden/>
          </w:rPr>
          <w:instrText xml:space="preserve"> PAGEREF _Toc48818071 \h </w:instrText>
        </w:r>
        <w:r w:rsidR="00C616B9">
          <w:rPr>
            <w:webHidden/>
          </w:rPr>
        </w:r>
        <w:r w:rsidR="00C616B9">
          <w:rPr>
            <w:webHidden/>
          </w:rPr>
          <w:fldChar w:fldCharType="separate"/>
        </w:r>
        <w:r w:rsidR="00C616B9">
          <w:rPr>
            <w:webHidden/>
          </w:rPr>
          <w:t>103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2" w:history="1">
        <w:r w:rsidR="00C616B9" w:rsidRPr="009D2294">
          <w:rPr>
            <w:rStyle w:val="Kpr"/>
            <w:rFonts w:ascii="Times New Roman" w:hAnsi="Times New Roman" w:cs="Times New Roman"/>
          </w:rPr>
          <w:t>Figure 9.1: Percentage Distribution of Notifications Processed Under the Complaint Heading by Months</w:t>
        </w:r>
        <w:r w:rsidR="00C616B9">
          <w:rPr>
            <w:webHidden/>
          </w:rPr>
          <w:tab/>
        </w:r>
        <w:r w:rsidR="00C616B9">
          <w:rPr>
            <w:webHidden/>
          </w:rPr>
          <w:fldChar w:fldCharType="begin"/>
        </w:r>
        <w:r w:rsidR="00C616B9">
          <w:rPr>
            <w:webHidden/>
          </w:rPr>
          <w:instrText xml:space="preserve"> PAGEREF _Toc48818072 \h </w:instrText>
        </w:r>
        <w:r w:rsidR="00C616B9">
          <w:rPr>
            <w:webHidden/>
          </w:rPr>
        </w:r>
        <w:r w:rsidR="00C616B9">
          <w:rPr>
            <w:webHidden/>
          </w:rPr>
          <w:fldChar w:fldCharType="separate"/>
        </w:r>
        <w:r w:rsidR="00C616B9">
          <w:rPr>
            <w:webHidden/>
          </w:rPr>
          <w:t>106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3" w:history="1">
        <w:r w:rsidR="00C616B9" w:rsidRPr="009D2294">
          <w:rPr>
            <w:rStyle w:val="Kpr"/>
            <w:rFonts w:ascii="Times New Roman" w:hAnsi="Times New Roman" w:cs="Times New Roman"/>
          </w:rPr>
          <w:t>Figure 9.2: Percentage Distribution of Complaint Notifications by Complaint Channels</w:t>
        </w:r>
        <w:r w:rsidR="00C616B9">
          <w:rPr>
            <w:webHidden/>
          </w:rPr>
          <w:tab/>
        </w:r>
        <w:r w:rsidR="00C616B9">
          <w:rPr>
            <w:webHidden/>
          </w:rPr>
          <w:fldChar w:fldCharType="begin"/>
        </w:r>
        <w:r w:rsidR="00C616B9">
          <w:rPr>
            <w:webHidden/>
          </w:rPr>
          <w:instrText xml:space="preserve"> PAGEREF _Toc48818073 \h </w:instrText>
        </w:r>
        <w:r w:rsidR="00C616B9">
          <w:rPr>
            <w:webHidden/>
          </w:rPr>
        </w:r>
        <w:r w:rsidR="00C616B9">
          <w:rPr>
            <w:webHidden/>
          </w:rPr>
          <w:fldChar w:fldCharType="separate"/>
        </w:r>
        <w:r w:rsidR="00C616B9">
          <w:rPr>
            <w:webHidden/>
          </w:rPr>
          <w:t>107</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4" w:history="1">
        <w:r w:rsidR="00C616B9" w:rsidRPr="009D2294">
          <w:rPr>
            <w:rStyle w:val="Kpr"/>
            <w:rFonts w:ascii="Times New Roman" w:hAnsi="Times New Roman" w:cs="Times New Roman"/>
          </w:rPr>
          <w:t>Figure 9.3: Sectoral Breakdown of Complaints Received</w:t>
        </w:r>
        <w:r w:rsidR="00C616B9">
          <w:rPr>
            <w:webHidden/>
          </w:rPr>
          <w:tab/>
        </w:r>
        <w:r w:rsidR="00C616B9">
          <w:rPr>
            <w:webHidden/>
          </w:rPr>
          <w:fldChar w:fldCharType="begin"/>
        </w:r>
        <w:r w:rsidR="00C616B9">
          <w:rPr>
            <w:webHidden/>
          </w:rPr>
          <w:instrText xml:space="preserve"> PAGEREF _Toc48818074 \h </w:instrText>
        </w:r>
        <w:r w:rsidR="00C616B9">
          <w:rPr>
            <w:webHidden/>
          </w:rPr>
        </w:r>
        <w:r w:rsidR="00C616B9">
          <w:rPr>
            <w:webHidden/>
          </w:rPr>
          <w:fldChar w:fldCharType="separate"/>
        </w:r>
        <w:r w:rsidR="00C616B9">
          <w:rPr>
            <w:webHidden/>
          </w:rPr>
          <w:t>108</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5" w:history="1">
        <w:r w:rsidR="00C616B9" w:rsidRPr="009D2294">
          <w:rPr>
            <w:rStyle w:val="Kpr"/>
            <w:rFonts w:ascii="Times New Roman" w:hAnsi="Times New Roman" w:cs="Times New Roman"/>
          </w:rPr>
          <w:t>Figure 9.4: Breakdown of Complainst Forwarded to Relevant Adresses</w:t>
        </w:r>
        <w:r w:rsidR="00C616B9">
          <w:rPr>
            <w:webHidden/>
          </w:rPr>
          <w:tab/>
        </w:r>
        <w:r w:rsidR="00C616B9">
          <w:rPr>
            <w:webHidden/>
          </w:rPr>
          <w:fldChar w:fldCharType="begin"/>
        </w:r>
        <w:r w:rsidR="00C616B9">
          <w:rPr>
            <w:webHidden/>
          </w:rPr>
          <w:instrText xml:space="preserve"> PAGEREF _Toc48818075 \h </w:instrText>
        </w:r>
        <w:r w:rsidR="00C616B9">
          <w:rPr>
            <w:webHidden/>
          </w:rPr>
        </w:r>
        <w:r w:rsidR="00C616B9">
          <w:rPr>
            <w:webHidden/>
          </w:rPr>
          <w:fldChar w:fldCharType="separate"/>
        </w:r>
        <w:r w:rsidR="00C616B9">
          <w:rPr>
            <w:webHidden/>
          </w:rPr>
          <w:t>109</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6" w:history="1">
        <w:r w:rsidR="00C616B9" w:rsidRPr="009D2294">
          <w:rPr>
            <w:rStyle w:val="Kpr"/>
            <w:rFonts w:ascii="Times New Roman" w:hAnsi="Times New Roman" w:cs="Times New Roman"/>
          </w:rPr>
          <w:t>Figure 9.5: Percentage Distribution of Breakdown of Electricity Complaints</w:t>
        </w:r>
        <w:r w:rsidR="00C616B9">
          <w:rPr>
            <w:webHidden/>
          </w:rPr>
          <w:tab/>
        </w:r>
        <w:r w:rsidR="00C616B9">
          <w:rPr>
            <w:webHidden/>
          </w:rPr>
          <w:fldChar w:fldCharType="begin"/>
        </w:r>
        <w:r w:rsidR="00C616B9">
          <w:rPr>
            <w:webHidden/>
          </w:rPr>
          <w:instrText xml:space="preserve"> PAGEREF _Toc48818076 \h </w:instrText>
        </w:r>
        <w:r w:rsidR="00C616B9">
          <w:rPr>
            <w:webHidden/>
          </w:rPr>
        </w:r>
        <w:r w:rsidR="00C616B9">
          <w:rPr>
            <w:webHidden/>
          </w:rPr>
          <w:fldChar w:fldCharType="separate"/>
        </w:r>
        <w:r w:rsidR="00C616B9">
          <w:rPr>
            <w:webHidden/>
          </w:rPr>
          <w:t>110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7" w:history="1">
        <w:r w:rsidR="00C616B9" w:rsidRPr="009D2294">
          <w:rPr>
            <w:rStyle w:val="Kpr"/>
            <w:rFonts w:ascii="Times New Roman" w:hAnsi="Times New Roman" w:cs="Times New Roman"/>
          </w:rPr>
          <w:t>Figure 9.6: Monthly Breakdown of Electricity Complaints</w:t>
        </w:r>
        <w:r w:rsidR="00C616B9">
          <w:rPr>
            <w:webHidden/>
          </w:rPr>
          <w:tab/>
        </w:r>
        <w:r w:rsidR="00C616B9">
          <w:rPr>
            <w:webHidden/>
          </w:rPr>
          <w:fldChar w:fldCharType="begin"/>
        </w:r>
        <w:r w:rsidR="00C616B9">
          <w:rPr>
            <w:webHidden/>
          </w:rPr>
          <w:instrText xml:space="preserve"> PAGEREF _Toc48818077 \h </w:instrText>
        </w:r>
        <w:r w:rsidR="00C616B9">
          <w:rPr>
            <w:webHidden/>
          </w:rPr>
        </w:r>
        <w:r w:rsidR="00C616B9">
          <w:rPr>
            <w:webHidden/>
          </w:rPr>
          <w:fldChar w:fldCharType="separate"/>
        </w:r>
        <w:r w:rsidR="00C616B9">
          <w:rPr>
            <w:webHidden/>
          </w:rPr>
          <w:t>110</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8" w:history="1">
        <w:r w:rsidR="00C616B9" w:rsidRPr="009D2294">
          <w:rPr>
            <w:rStyle w:val="Kpr"/>
            <w:rFonts w:ascii="Times New Roman" w:hAnsi="Times New Roman" w:cs="Times New Roman"/>
          </w:rPr>
          <w:t>Figure 9.7: Percentage Distribution of Sub-classification of Complaints and Realizations in Natural Gas Sector</w:t>
        </w:r>
        <w:r w:rsidR="00C616B9">
          <w:rPr>
            <w:webHidden/>
          </w:rPr>
          <w:tab/>
        </w:r>
        <w:r w:rsidR="00C616B9">
          <w:rPr>
            <w:webHidden/>
          </w:rPr>
          <w:fldChar w:fldCharType="begin"/>
        </w:r>
        <w:r w:rsidR="00C616B9">
          <w:rPr>
            <w:webHidden/>
          </w:rPr>
          <w:instrText xml:space="preserve"> PAGEREF _Toc48818078 \h </w:instrText>
        </w:r>
        <w:r w:rsidR="00C616B9">
          <w:rPr>
            <w:webHidden/>
          </w:rPr>
        </w:r>
        <w:r w:rsidR="00C616B9">
          <w:rPr>
            <w:webHidden/>
          </w:rPr>
          <w:fldChar w:fldCharType="separate"/>
        </w:r>
        <w:r w:rsidR="00C616B9">
          <w:rPr>
            <w:webHidden/>
          </w:rPr>
          <w:t>111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79" w:history="1">
        <w:r w:rsidR="00C616B9" w:rsidRPr="009D2294">
          <w:rPr>
            <w:rStyle w:val="Kpr"/>
            <w:rFonts w:ascii="Times New Roman" w:hAnsi="Times New Roman" w:cs="Times New Roman"/>
          </w:rPr>
          <w:t>Figure 9.8: Percentage Distribution of Noticifications in the Natural Gas Sector by Months(%)</w:t>
        </w:r>
        <w:r w:rsidR="00C616B9">
          <w:rPr>
            <w:webHidden/>
          </w:rPr>
          <w:tab/>
        </w:r>
        <w:r w:rsidR="00C616B9">
          <w:rPr>
            <w:webHidden/>
          </w:rPr>
          <w:fldChar w:fldCharType="begin"/>
        </w:r>
        <w:r w:rsidR="00C616B9">
          <w:rPr>
            <w:webHidden/>
          </w:rPr>
          <w:instrText xml:space="preserve"> PAGEREF _Toc48818079 \h </w:instrText>
        </w:r>
        <w:r w:rsidR="00C616B9">
          <w:rPr>
            <w:webHidden/>
          </w:rPr>
        </w:r>
        <w:r w:rsidR="00C616B9">
          <w:rPr>
            <w:webHidden/>
          </w:rPr>
          <w:fldChar w:fldCharType="separate"/>
        </w:r>
        <w:r w:rsidR="00C616B9">
          <w:rPr>
            <w:webHidden/>
          </w:rPr>
          <w:t>112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0" w:history="1">
        <w:r w:rsidR="00C616B9" w:rsidRPr="009D2294">
          <w:rPr>
            <w:rStyle w:val="Kpr"/>
            <w:rFonts w:ascii="Times New Roman" w:hAnsi="Times New Roman" w:cs="Times New Roman"/>
          </w:rPr>
          <w:t>Figure 9.9: Percentage Distribution of Subclassification of Complaints in the Petroleum Industry</w:t>
        </w:r>
        <w:r w:rsidR="00C616B9">
          <w:rPr>
            <w:webHidden/>
          </w:rPr>
          <w:tab/>
        </w:r>
        <w:r w:rsidR="00C616B9">
          <w:rPr>
            <w:webHidden/>
          </w:rPr>
          <w:fldChar w:fldCharType="begin"/>
        </w:r>
        <w:r w:rsidR="00C616B9">
          <w:rPr>
            <w:webHidden/>
          </w:rPr>
          <w:instrText xml:space="preserve"> PAGEREF _Toc48818080 \h </w:instrText>
        </w:r>
        <w:r w:rsidR="00C616B9">
          <w:rPr>
            <w:webHidden/>
          </w:rPr>
        </w:r>
        <w:r w:rsidR="00C616B9">
          <w:rPr>
            <w:webHidden/>
          </w:rPr>
          <w:fldChar w:fldCharType="separate"/>
        </w:r>
        <w:r w:rsidR="00C616B9">
          <w:rPr>
            <w:webHidden/>
          </w:rPr>
          <w:t>112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1" w:history="1">
        <w:r w:rsidR="00C616B9" w:rsidRPr="009D2294">
          <w:rPr>
            <w:rStyle w:val="Kpr"/>
            <w:rFonts w:ascii="Times New Roman" w:hAnsi="Times New Roman" w:cs="Times New Roman"/>
          </w:rPr>
          <w:t>Figure 9.10: Percentage Distribution of Subclassification of Complaints in the LPG Industry</w:t>
        </w:r>
        <w:r w:rsidR="00C616B9">
          <w:rPr>
            <w:webHidden/>
          </w:rPr>
          <w:tab/>
        </w:r>
        <w:r w:rsidR="00C616B9">
          <w:rPr>
            <w:webHidden/>
          </w:rPr>
          <w:fldChar w:fldCharType="begin"/>
        </w:r>
        <w:r w:rsidR="00C616B9">
          <w:rPr>
            <w:webHidden/>
          </w:rPr>
          <w:instrText xml:space="preserve"> PAGEREF _Toc48818081 \h </w:instrText>
        </w:r>
        <w:r w:rsidR="00C616B9">
          <w:rPr>
            <w:webHidden/>
          </w:rPr>
        </w:r>
        <w:r w:rsidR="00C616B9">
          <w:rPr>
            <w:webHidden/>
          </w:rPr>
          <w:fldChar w:fldCharType="separate"/>
        </w:r>
        <w:r w:rsidR="00C616B9">
          <w:rPr>
            <w:webHidden/>
          </w:rPr>
          <w:t>113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2" w:history="1">
        <w:r w:rsidR="00C616B9" w:rsidRPr="009D2294">
          <w:rPr>
            <w:rStyle w:val="Kpr"/>
            <w:rFonts w:ascii="Times New Roman" w:hAnsi="Times New Roman" w:cs="Times New Roman"/>
          </w:rPr>
          <w:t>Table 11.1: Parliamentary Questions Received in 2019 by subject</w:t>
        </w:r>
        <w:r w:rsidR="00C616B9">
          <w:rPr>
            <w:webHidden/>
          </w:rPr>
          <w:tab/>
        </w:r>
        <w:r w:rsidR="00C616B9">
          <w:rPr>
            <w:webHidden/>
          </w:rPr>
          <w:fldChar w:fldCharType="begin"/>
        </w:r>
        <w:r w:rsidR="00C616B9">
          <w:rPr>
            <w:webHidden/>
          </w:rPr>
          <w:instrText xml:space="preserve"> PAGEREF _Toc48818082 \h </w:instrText>
        </w:r>
        <w:r w:rsidR="00C616B9">
          <w:rPr>
            <w:webHidden/>
          </w:rPr>
        </w:r>
        <w:r w:rsidR="00C616B9">
          <w:rPr>
            <w:webHidden/>
          </w:rPr>
          <w:fldChar w:fldCharType="separate"/>
        </w:r>
        <w:r w:rsidR="00C616B9">
          <w:rPr>
            <w:webHidden/>
          </w:rPr>
          <w:t>115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3" w:history="1">
        <w:r w:rsidR="00C616B9" w:rsidRPr="009D2294">
          <w:rPr>
            <w:rStyle w:val="Kpr"/>
            <w:rFonts w:ascii="Times New Roman" w:hAnsi="Times New Roman" w:cs="Times New Roman"/>
          </w:rPr>
          <w:t>Figure 11.1: Percentage Distribution of Question Proposals in 2019 by Subject</w:t>
        </w:r>
        <w:r w:rsidR="00C616B9">
          <w:rPr>
            <w:webHidden/>
          </w:rPr>
          <w:tab/>
        </w:r>
        <w:r w:rsidR="00C616B9">
          <w:rPr>
            <w:webHidden/>
          </w:rPr>
          <w:fldChar w:fldCharType="begin"/>
        </w:r>
        <w:r w:rsidR="00C616B9">
          <w:rPr>
            <w:webHidden/>
          </w:rPr>
          <w:instrText xml:space="preserve"> PAGEREF _Toc48818083 \h </w:instrText>
        </w:r>
        <w:r w:rsidR="00C616B9">
          <w:rPr>
            <w:webHidden/>
          </w:rPr>
        </w:r>
        <w:r w:rsidR="00C616B9">
          <w:rPr>
            <w:webHidden/>
          </w:rPr>
          <w:fldChar w:fldCharType="separate"/>
        </w:r>
        <w:r w:rsidR="00C616B9">
          <w:rPr>
            <w:webHidden/>
          </w:rPr>
          <w:t>115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4" w:history="1">
        <w:r w:rsidR="00C616B9" w:rsidRPr="009D2294">
          <w:rPr>
            <w:rStyle w:val="Kpr"/>
            <w:rFonts w:ascii="Times New Roman" w:hAnsi="Times New Roman" w:cs="Times New Roman"/>
          </w:rPr>
          <w:t>Table 13.1: Information on Staff Assignned in 2019</w:t>
        </w:r>
        <w:r w:rsidR="00C616B9">
          <w:rPr>
            <w:webHidden/>
          </w:rPr>
          <w:tab/>
        </w:r>
        <w:r w:rsidR="00C616B9">
          <w:rPr>
            <w:webHidden/>
          </w:rPr>
          <w:fldChar w:fldCharType="begin"/>
        </w:r>
        <w:r w:rsidR="00C616B9">
          <w:rPr>
            <w:webHidden/>
          </w:rPr>
          <w:instrText xml:space="preserve"> PAGEREF _Toc48818084 \h </w:instrText>
        </w:r>
        <w:r w:rsidR="00C616B9">
          <w:rPr>
            <w:webHidden/>
          </w:rPr>
        </w:r>
        <w:r w:rsidR="00C616B9">
          <w:rPr>
            <w:webHidden/>
          </w:rPr>
          <w:fldChar w:fldCharType="separate"/>
        </w:r>
        <w:r w:rsidR="00C616B9">
          <w:rPr>
            <w:webHidden/>
          </w:rPr>
          <w:t>121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5" w:history="1">
        <w:r w:rsidR="00C616B9" w:rsidRPr="009D2294">
          <w:rPr>
            <w:rStyle w:val="Kpr"/>
            <w:rFonts w:ascii="Times New Roman" w:hAnsi="Times New Roman" w:cs="Times New Roman"/>
          </w:rPr>
          <w:t>Table 13.2: Information on the Staff who Left the Authority in 2019</w:t>
        </w:r>
        <w:r w:rsidR="00C616B9">
          <w:rPr>
            <w:webHidden/>
          </w:rPr>
          <w:tab/>
        </w:r>
        <w:r w:rsidR="00C616B9">
          <w:rPr>
            <w:webHidden/>
          </w:rPr>
          <w:fldChar w:fldCharType="begin"/>
        </w:r>
        <w:r w:rsidR="00C616B9">
          <w:rPr>
            <w:webHidden/>
          </w:rPr>
          <w:instrText xml:space="preserve"> PAGEREF _Toc48818085 \h </w:instrText>
        </w:r>
        <w:r w:rsidR="00C616B9">
          <w:rPr>
            <w:webHidden/>
          </w:rPr>
        </w:r>
        <w:r w:rsidR="00C616B9">
          <w:rPr>
            <w:webHidden/>
          </w:rPr>
          <w:fldChar w:fldCharType="separate"/>
        </w:r>
        <w:r w:rsidR="00C616B9">
          <w:rPr>
            <w:webHidden/>
          </w:rPr>
          <w:t>121</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6" w:history="1">
        <w:r w:rsidR="00C616B9" w:rsidRPr="009D2294">
          <w:rPr>
            <w:rStyle w:val="Kpr"/>
            <w:rFonts w:ascii="Times New Roman" w:hAnsi="Times New Roman" w:cs="Times New Roman"/>
          </w:rPr>
          <w:t>Table 13.3: Breakdown of Cadres</w:t>
        </w:r>
        <w:r w:rsidR="00C616B9">
          <w:rPr>
            <w:webHidden/>
          </w:rPr>
          <w:tab/>
        </w:r>
        <w:r w:rsidR="00C616B9">
          <w:rPr>
            <w:webHidden/>
          </w:rPr>
          <w:fldChar w:fldCharType="begin"/>
        </w:r>
        <w:r w:rsidR="00C616B9">
          <w:rPr>
            <w:webHidden/>
          </w:rPr>
          <w:instrText xml:space="preserve"> PAGEREF _Toc48818086 \h </w:instrText>
        </w:r>
        <w:r w:rsidR="00C616B9">
          <w:rPr>
            <w:webHidden/>
          </w:rPr>
        </w:r>
        <w:r w:rsidR="00C616B9">
          <w:rPr>
            <w:webHidden/>
          </w:rPr>
          <w:fldChar w:fldCharType="separate"/>
        </w:r>
        <w:r w:rsidR="00C616B9">
          <w:rPr>
            <w:webHidden/>
          </w:rPr>
          <w:t>122</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7" w:history="1">
        <w:r w:rsidR="00C616B9" w:rsidRPr="009D2294">
          <w:rPr>
            <w:rStyle w:val="Kpr"/>
            <w:rFonts w:ascii="Times New Roman" w:hAnsi="Times New Roman" w:cs="Times New Roman"/>
          </w:rPr>
          <w:t>Table 13.4: Number of Employees by Years</w:t>
        </w:r>
        <w:r w:rsidR="00C616B9">
          <w:rPr>
            <w:webHidden/>
          </w:rPr>
          <w:tab/>
        </w:r>
        <w:r w:rsidR="00C616B9">
          <w:rPr>
            <w:webHidden/>
          </w:rPr>
          <w:fldChar w:fldCharType="begin"/>
        </w:r>
        <w:r w:rsidR="00C616B9">
          <w:rPr>
            <w:webHidden/>
          </w:rPr>
          <w:instrText xml:space="preserve"> PAGEREF _Toc48818087 \h </w:instrText>
        </w:r>
        <w:r w:rsidR="00C616B9">
          <w:rPr>
            <w:webHidden/>
          </w:rPr>
        </w:r>
        <w:r w:rsidR="00C616B9">
          <w:rPr>
            <w:webHidden/>
          </w:rPr>
          <w:fldChar w:fldCharType="separate"/>
        </w:r>
        <w:r w:rsidR="00C616B9">
          <w:rPr>
            <w:webHidden/>
          </w:rPr>
          <w:t>123</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8" w:history="1">
        <w:r w:rsidR="00C616B9" w:rsidRPr="009D2294">
          <w:rPr>
            <w:rStyle w:val="Kpr"/>
            <w:rFonts w:ascii="Times New Roman" w:hAnsi="Times New Roman" w:cs="Times New Roman"/>
          </w:rPr>
          <w:t>Table 13.5: Time and Budget Spent for Tarianing Activities in 2019</w:t>
        </w:r>
        <w:r w:rsidR="00C616B9">
          <w:rPr>
            <w:webHidden/>
          </w:rPr>
          <w:tab/>
        </w:r>
        <w:r w:rsidR="00C616B9">
          <w:rPr>
            <w:webHidden/>
          </w:rPr>
          <w:fldChar w:fldCharType="begin"/>
        </w:r>
        <w:r w:rsidR="00C616B9">
          <w:rPr>
            <w:webHidden/>
          </w:rPr>
          <w:instrText xml:space="preserve"> PAGEREF _Toc48818088 \h </w:instrText>
        </w:r>
        <w:r w:rsidR="00C616B9">
          <w:rPr>
            <w:webHidden/>
          </w:rPr>
        </w:r>
        <w:r w:rsidR="00C616B9">
          <w:rPr>
            <w:webHidden/>
          </w:rPr>
          <w:fldChar w:fldCharType="separate"/>
        </w:r>
        <w:r w:rsidR="00C616B9">
          <w:rPr>
            <w:webHidden/>
          </w:rPr>
          <w:t>124</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89" w:history="1">
        <w:r w:rsidR="00C616B9" w:rsidRPr="009D2294">
          <w:rPr>
            <w:rStyle w:val="Kpr"/>
            <w:rFonts w:ascii="Times New Roman" w:hAnsi="Times New Roman" w:cs="Times New Roman"/>
          </w:rPr>
          <w:t>Table 13.6: Oversees Trainings in 2019</w:t>
        </w:r>
        <w:r w:rsidR="00C616B9">
          <w:rPr>
            <w:webHidden/>
          </w:rPr>
          <w:tab/>
        </w:r>
        <w:r w:rsidR="00C616B9">
          <w:rPr>
            <w:webHidden/>
          </w:rPr>
          <w:fldChar w:fldCharType="begin"/>
        </w:r>
        <w:r w:rsidR="00C616B9">
          <w:rPr>
            <w:webHidden/>
          </w:rPr>
          <w:instrText xml:space="preserve"> PAGEREF _Toc48818089 \h </w:instrText>
        </w:r>
        <w:r w:rsidR="00C616B9">
          <w:rPr>
            <w:webHidden/>
          </w:rPr>
        </w:r>
        <w:r w:rsidR="00C616B9">
          <w:rPr>
            <w:webHidden/>
          </w:rPr>
          <w:fldChar w:fldCharType="separate"/>
        </w:r>
        <w:r w:rsidR="00C616B9">
          <w:rPr>
            <w:webHidden/>
          </w:rPr>
          <w:t>125</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90" w:history="1">
        <w:r w:rsidR="00C616B9" w:rsidRPr="009D2294">
          <w:rPr>
            <w:rStyle w:val="Kpr"/>
            <w:rFonts w:ascii="Times New Roman" w:hAnsi="Times New Roman" w:cs="Times New Roman"/>
          </w:rPr>
          <w:t>Table 13.7: Foreign Language Trainings in 2017</w:t>
        </w:r>
        <w:r w:rsidR="00C616B9">
          <w:rPr>
            <w:webHidden/>
          </w:rPr>
          <w:tab/>
        </w:r>
        <w:r w:rsidR="00C616B9">
          <w:rPr>
            <w:webHidden/>
          </w:rPr>
          <w:fldChar w:fldCharType="begin"/>
        </w:r>
        <w:r w:rsidR="00C616B9">
          <w:rPr>
            <w:webHidden/>
          </w:rPr>
          <w:instrText xml:space="preserve"> PAGEREF _Toc48818090 \h </w:instrText>
        </w:r>
        <w:r w:rsidR="00C616B9">
          <w:rPr>
            <w:webHidden/>
          </w:rPr>
        </w:r>
        <w:r w:rsidR="00C616B9">
          <w:rPr>
            <w:webHidden/>
          </w:rPr>
          <w:fldChar w:fldCharType="separate"/>
        </w:r>
        <w:r w:rsidR="00C616B9">
          <w:rPr>
            <w:webHidden/>
          </w:rPr>
          <w:t>126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91" w:history="1">
        <w:r w:rsidR="00C616B9" w:rsidRPr="009D2294">
          <w:rPr>
            <w:rStyle w:val="Kpr"/>
            <w:rFonts w:ascii="Times New Roman" w:hAnsi="Times New Roman" w:cs="Times New Roman"/>
          </w:rPr>
          <w:t>Table 13.8: Information on the Interns in 2019</w:t>
        </w:r>
        <w:r w:rsidR="00C616B9">
          <w:rPr>
            <w:webHidden/>
          </w:rPr>
          <w:tab/>
        </w:r>
        <w:r w:rsidR="00C616B9">
          <w:rPr>
            <w:webHidden/>
          </w:rPr>
          <w:fldChar w:fldCharType="begin"/>
        </w:r>
        <w:r w:rsidR="00C616B9">
          <w:rPr>
            <w:webHidden/>
          </w:rPr>
          <w:instrText xml:space="preserve"> PAGEREF _Toc48818091 \h </w:instrText>
        </w:r>
        <w:r w:rsidR="00C616B9">
          <w:rPr>
            <w:webHidden/>
          </w:rPr>
        </w:r>
        <w:r w:rsidR="00C616B9">
          <w:rPr>
            <w:webHidden/>
          </w:rPr>
          <w:fldChar w:fldCharType="separate"/>
        </w:r>
        <w:r w:rsidR="00C616B9">
          <w:rPr>
            <w:webHidden/>
          </w:rPr>
          <w:t>126</w:t>
        </w:r>
        <w:r w:rsidR="00C616B9">
          <w:rPr>
            <w:webHidden/>
          </w:rPr>
          <w:fldChar w:fldCharType="end"/>
        </w:r>
      </w:hyperlink>
    </w:p>
    <w:p w:rsidR="00C616B9" w:rsidRDefault="00736E4B">
      <w:pPr>
        <w:pStyle w:val="ekillerTablosu"/>
        <w:tabs>
          <w:tab w:val="right" w:leader="dot" w:pos="9396"/>
        </w:tabs>
        <w:rPr>
          <w:rFonts w:eastAsiaTheme="minorEastAsia"/>
          <w:lang w:val="tr-TR" w:eastAsia="tr-TR"/>
        </w:rPr>
      </w:pPr>
      <w:hyperlink w:anchor="_Toc48818092" w:history="1">
        <w:r w:rsidR="00C616B9" w:rsidRPr="009D2294">
          <w:rPr>
            <w:rStyle w:val="Kpr"/>
            <w:rFonts w:ascii="Times New Roman" w:hAnsi="Times New Roman" w:cs="Times New Roman"/>
          </w:rPr>
          <w:t>Table 14.1: Income Surplus Transferred to Ministry of Finance by years (TL)</w:t>
        </w:r>
        <w:r w:rsidR="00C616B9">
          <w:rPr>
            <w:webHidden/>
          </w:rPr>
          <w:tab/>
        </w:r>
        <w:r w:rsidR="00C616B9">
          <w:rPr>
            <w:webHidden/>
          </w:rPr>
          <w:fldChar w:fldCharType="begin"/>
        </w:r>
        <w:r w:rsidR="00C616B9">
          <w:rPr>
            <w:webHidden/>
          </w:rPr>
          <w:instrText xml:space="preserve"> PAGEREF _Toc48818092 \h </w:instrText>
        </w:r>
        <w:r w:rsidR="00C616B9">
          <w:rPr>
            <w:webHidden/>
          </w:rPr>
        </w:r>
        <w:r w:rsidR="00C616B9">
          <w:rPr>
            <w:webHidden/>
          </w:rPr>
          <w:fldChar w:fldCharType="separate"/>
        </w:r>
        <w:r w:rsidR="00C616B9">
          <w:rPr>
            <w:webHidden/>
          </w:rPr>
          <w:t>128</w:t>
        </w:r>
        <w:r w:rsidR="00C616B9">
          <w:rPr>
            <w:webHidden/>
          </w:rPr>
          <w:fldChar w:fldCharType="end"/>
        </w:r>
      </w:hyperlink>
    </w:p>
    <w:p w:rsidR="00F4599F" w:rsidRPr="004E7F7B" w:rsidRDefault="0055522A" w:rsidP="004E7F7B">
      <w:pPr>
        <w:tabs>
          <w:tab w:val="left" w:pos="8661"/>
        </w:tabs>
        <w:spacing w:line="240" w:lineRule="auto"/>
        <w:rPr>
          <w:rFonts w:ascii="Times New Roman" w:hAnsi="Times New Roman" w:cs="Times New Roman"/>
        </w:rPr>
      </w:pPr>
      <w:r w:rsidRPr="004E7F7B">
        <w:rPr>
          <w:rFonts w:ascii="Times New Roman" w:hAnsi="Times New Roman" w:cs="Times New Roman"/>
        </w:rPr>
        <w:fldChar w:fldCharType="end"/>
      </w:r>
    </w:p>
    <w:p w:rsidR="00F4599F" w:rsidRPr="004E7F7B" w:rsidRDefault="00F4599F" w:rsidP="004E7F7B">
      <w:pPr>
        <w:spacing w:line="240" w:lineRule="auto"/>
        <w:rPr>
          <w:rFonts w:ascii="Times New Roman" w:hAnsi="Times New Roman" w:cs="Times New Roman"/>
        </w:rPr>
      </w:pPr>
      <w:r w:rsidRPr="004E7F7B">
        <w:rPr>
          <w:rFonts w:ascii="Times New Roman" w:hAnsi="Times New Roman" w:cs="Times New Roman"/>
        </w:rPr>
        <w:br w:type="page"/>
      </w:r>
    </w:p>
    <w:p w:rsidR="00D02E2F" w:rsidRPr="004E7F7B" w:rsidRDefault="00D02E2F" w:rsidP="00D02E2F">
      <w:pPr>
        <w:tabs>
          <w:tab w:val="left" w:pos="8661"/>
        </w:tabs>
        <w:spacing w:line="240" w:lineRule="auto"/>
        <w:rPr>
          <w:rFonts w:ascii="Times New Roman" w:hAnsi="Times New Roman" w:cs="Times New Roman"/>
          <w:b/>
        </w:rPr>
      </w:pPr>
      <w:r w:rsidRPr="004E7F7B">
        <w:rPr>
          <w:rFonts w:ascii="Times New Roman" w:hAnsi="Times New Roman" w:cs="Times New Roman"/>
          <w:b/>
        </w:rPr>
        <w:lastRenderedPageBreak/>
        <w:t>ABBREVIATIONS</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 xml:space="preserve">EU: </w:t>
      </w:r>
      <w:r w:rsidRPr="004E7F7B">
        <w:rPr>
          <w:rFonts w:ascii="Times New Roman" w:hAnsi="Times New Roman" w:cs="Times New Roman"/>
        </w:rPr>
        <w:t>European Union</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LV:</w:t>
      </w:r>
      <w:r w:rsidRPr="004E7F7B">
        <w:rPr>
          <w:rFonts w:ascii="Times New Roman" w:hAnsi="Times New Roman" w:cs="Times New Roman"/>
        </w:rPr>
        <w:t xml:space="preserve"> Low Voltage</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 xml:space="preserve">Ministry/ MENR: </w:t>
      </w:r>
      <w:r w:rsidRPr="004E7F7B">
        <w:rPr>
          <w:rFonts w:ascii="Times New Roman" w:hAnsi="Times New Roman" w:cs="Times New Roman"/>
        </w:rPr>
        <w:t>Ministry of Energy and Naturel Resources</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 xml:space="preserve">ISMS: </w:t>
      </w:r>
      <w:r w:rsidRPr="004E7F7B">
        <w:rPr>
          <w:rFonts w:ascii="Times New Roman" w:hAnsi="Times New Roman" w:cs="Times New Roman"/>
        </w:rPr>
        <w:t>Information Security Management System</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 xml:space="preserve">BİMER: </w:t>
      </w:r>
      <w:r w:rsidRPr="004E7F7B">
        <w:rPr>
          <w:rFonts w:ascii="Times New Roman" w:hAnsi="Times New Roman" w:cs="Times New Roman"/>
        </w:rPr>
        <w:t>Prime Ministry Communication Center</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BOTAŞ:</w:t>
      </w:r>
      <w:r w:rsidRPr="004E7F7B">
        <w:rPr>
          <w:rFonts w:ascii="Times New Roman" w:hAnsi="Times New Roman" w:cs="Times New Roman"/>
        </w:rPr>
        <w:t xml:space="preserve"> Turkish Petroleum Pipeline Company</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CİMER:</w:t>
      </w:r>
      <w:r w:rsidRPr="004E7F7B">
        <w:rPr>
          <w:rFonts w:ascii="Times New Roman" w:hAnsi="Times New Roman" w:cs="Times New Roman"/>
        </w:rPr>
        <w:t xml:space="preserve"> Presidency Communication Center </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CNG:</w:t>
      </w:r>
      <w:r w:rsidRPr="004E7F7B">
        <w:rPr>
          <w:rFonts w:ascii="Times New Roman" w:hAnsi="Times New Roman" w:cs="Times New Roman"/>
        </w:rPr>
        <w:t xml:space="preserve"> Compressed Natural Gas</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EBİS:</w:t>
      </w:r>
      <w:r w:rsidRPr="004E7F7B">
        <w:rPr>
          <w:rFonts w:ascii="Times New Roman" w:hAnsi="Times New Roman" w:cs="Times New Roman"/>
        </w:rPr>
        <w:t xml:space="preserve"> Electronic Notification System</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EBYS:</w:t>
      </w:r>
      <w:r w:rsidRPr="004E7F7B">
        <w:rPr>
          <w:rFonts w:ascii="Times New Roman" w:hAnsi="Times New Roman" w:cs="Times New Roman"/>
        </w:rPr>
        <w:t xml:space="preserve"> Electronic Document Management System</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EGE-PAL:</w:t>
      </w:r>
      <w:r w:rsidRPr="004E7F7B">
        <w:rPr>
          <w:rFonts w:ascii="Times New Roman" w:hAnsi="Times New Roman" w:cs="Times New Roman"/>
        </w:rPr>
        <w:t xml:space="preserve"> Ege University – Petroleum Exploration Laboratory</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ENTSO-E:</w:t>
      </w:r>
      <w:r w:rsidRPr="004E7F7B">
        <w:rPr>
          <w:rFonts w:ascii="Times New Roman" w:hAnsi="Times New Roman" w:cs="Times New Roman"/>
        </w:rPr>
        <w:t xml:space="preserve"> European Network of Transmission System Operators</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EPARS:</w:t>
      </w:r>
      <w:r w:rsidRPr="004E7F7B">
        <w:rPr>
          <w:rFonts w:ascii="Times New Roman" w:hAnsi="Times New Roman" w:cs="Times New Roman"/>
        </w:rPr>
        <w:t xml:space="preserve"> Energy Market Analysis and Reporting System</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EXIST:</w:t>
      </w:r>
      <w:r w:rsidRPr="004E7F7B">
        <w:rPr>
          <w:rFonts w:ascii="Times New Roman" w:hAnsi="Times New Roman" w:cs="Times New Roman"/>
        </w:rPr>
        <w:t xml:space="preserve"> Turkish Energy Exchange</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EPVYS:</w:t>
      </w:r>
      <w:r w:rsidRPr="004E7F7B">
        <w:rPr>
          <w:rFonts w:ascii="Times New Roman" w:hAnsi="Times New Roman" w:cs="Times New Roman"/>
        </w:rPr>
        <w:t xml:space="preserve"> Energy Market Database Management System</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ERRA:</w:t>
      </w:r>
      <w:r w:rsidRPr="004E7F7B">
        <w:rPr>
          <w:rFonts w:ascii="Times New Roman" w:hAnsi="Times New Roman" w:cs="Times New Roman"/>
        </w:rPr>
        <w:t xml:space="preserve"> Energy Regulators Regional Association</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ICER:</w:t>
      </w:r>
      <w:r w:rsidRPr="004E7F7B">
        <w:rPr>
          <w:rFonts w:ascii="Times New Roman" w:hAnsi="Times New Roman" w:cs="Times New Roman"/>
        </w:rPr>
        <w:t xml:space="preserve"> International Confederation of Energy Regulators</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İNÖNÜ-PAL:</w:t>
      </w:r>
      <w:r w:rsidRPr="004E7F7B">
        <w:rPr>
          <w:rFonts w:ascii="Times New Roman" w:hAnsi="Times New Roman" w:cs="Times New Roman"/>
        </w:rPr>
        <w:t xml:space="preserve"> İnönü University – Petroleum Exploration Laboratory</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IPA:</w:t>
      </w:r>
      <w:r w:rsidRPr="004E7F7B">
        <w:rPr>
          <w:rFonts w:ascii="Times New Roman" w:hAnsi="Times New Roman" w:cs="Times New Roman"/>
        </w:rPr>
        <w:t xml:space="preserve"> EU-Turkey Financial Cooperation Instrument for Pre-Accession</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BSEC:</w:t>
      </w:r>
      <w:r w:rsidRPr="004E7F7B">
        <w:rPr>
          <w:rFonts w:ascii="Times New Roman" w:hAnsi="Times New Roman" w:cs="Times New Roman"/>
        </w:rPr>
        <w:t xml:space="preserve"> Black Sea Economic Cooperation</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KEP:</w:t>
      </w:r>
      <w:r w:rsidRPr="004E7F7B">
        <w:rPr>
          <w:rFonts w:ascii="Times New Roman" w:hAnsi="Times New Roman" w:cs="Times New Roman"/>
        </w:rPr>
        <w:t xml:space="preserve"> Registered Electronic Mail</w:t>
      </w:r>
    </w:p>
    <w:p w:rsidR="00D02E2F" w:rsidRPr="004E7F7B" w:rsidRDefault="00D02E2F" w:rsidP="00D02E2F">
      <w:pPr>
        <w:tabs>
          <w:tab w:val="left" w:pos="8661"/>
        </w:tabs>
        <w:spacing w:line="240" w:lineRule="auto"/>
        <w:rPr>
          <w:rFonts w:ascii="Times New Roman" w:hAnsi="Times New Roman" w:cs="Times New Roman"/>
        </w:rPr>
      </w:pPr>
      <w:r w:rsidRPr="004E7F7B">
        <w:rPr>
          <w:rFonts w:ascii="Times New Roman" w:hAnsi="Times New Roman" w:cs="Times New Roman"/>
          <w:b/>
        </w:rPr>
        <w:t>KTÜ-YUAM:</w:t>
      </w:r>
      <w:r w:rsidRPr="004E7F7B">
        <w:rPr>
          <w:rFonts w:ascii="Times New Roman" w:hAnsi="Times New Roman" w:cs="Times New Roman"/>
        </w:rPr>
        <w:t xml:space="preserve"> Black Sea Technical University- Fuel Implementations and Research Center</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Board:</w:t>
      </w:r>
      <w:r w:rsidRPr="004E7F7B">
        <w:rPr>
          <w:rFonts w:ascii="Times New Roman" w:hAnsi="Times New Roman" w:cs="Times New Roman"/>
        </w:rPr>
        <w:t xml:space="preserve"> Energy Market Regulatory Board </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Authority/EMRA:</w:t>
      </w:r>
      <w:r w:rsidRPr="004E7F7B">
        <w:rPr>
          <w:rFonts w:ascii="Times New Roman" w:hAnsi="Times New Roman" w:cs="Times New Roman"/>
        </w:rPr>
        <w:t xml:space="preserve"> Energy Market Regulatory Authority</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 xml:space="preserve">LNG: </w:t>
      </w:r>
      <w:r w:rsidRPr="004E7F7B">
        <w:rPr>
          <w:rFonts w:ascii="Times New Roman" w:hAnsi="Times New Roman" w:cs="Times New Roman"/>
        </w:rPr>
        <w:t>Liquefied Natural Gas</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LPG:</w:t>
      </w:r>
      <w:r w:rsidRPr="004E7F7B">
        <w:rPr>
          <w:rFonts w:ascii="Times New Roman" w:hAnsi="Times New Roman" w:cs="Times New Roman"/>
        </w:rPr>
        <w:t xml:space="preserve"> Liquefied Petroleum Gases</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MEDREG:</w:t>
      </w:r>
      <w:r w:rsidRPr="004E7F7B">
        <w:rPr>
          <w:rFonts w:ascii="Times New Roman" w:hAnsi="Times New Roman" w:cs="Times New Roman"/>
        </w:rPr>
        <w:t xml:space="preserve"> Association for Mediterranean Energy Regulators</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OECD:</w:t>
      </w:r>
      <w:r w:rsidRPr="004E7F7B">
        <w:rPr>
          <w:rFonts w:ascii="Times New Roman" w:hAnsi="Times New Roman" w:cs="Times New Roman"/>
        </w:rPr>
        <w:t xml:space="preserve"> Organization for Economic Cooperation and Development</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MV:</w:t>
      </w:r>
      <w:r w:rsidRPr="004E7F7B">
        <w:rPr>
          <w:rFonts w:ascii="Times New Roman" w:hAnsi="Times New Roman" w:cs="Times New Roman"/>
        </w:rPr>
        <w:t xml:space="preserve"> Medium Voltage</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OIZ:</w:t>
      </w:r>
      <w:r w:rsidRPr="004E7F7B">
        <w:rPr>
          <w:rFonts w:ascii="Times New Roman" w:hAnsi="Times New Roman" w:cs="Times New Roman"/>
        </w:rPr>
        <w:t xml:space="preserve"> Organized Industrial Zone</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lastRenderedPageBreak/>
        <w:t>CA:</w:t>
      </w:r>
      <w:r w:rsidRPr="004E7F7B">
        <w:rPr>
          <w:rFonts w:ascii="Times New Roman" w:hAnsi="Times New Roman" w:cs="Times New Roman"/>
        </w:rPr>
        <w:t xml:space="preserve"> Competition Authority </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SOME:</w:t>
      </w:r>
      <w:r w:rsidRPr="004E7F7B">
        <w:rPr>
          <w:rFonts w:ascii="Times New Roman" w:hAnsi="Times New Roman" w:cs="Times New Roman"/>
        </w:rPr>
        <w:t xml:space="preserve"> Cyber Incidents Response Team</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TBMM:</w:t>
      </w:r>
      <w:r w:rsidRPr="004E7F7B">
        <w:rPr>
          <w:rFonts w:ascii="Times New Roman" w:hAnsi="Times New Roman" w:cs="Times New Roman"/>
        </w:rPr>
        <w:t xml:space="preserve"> Grand National Assembly of Turkey</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TEİAŞ:</w:t>
      </w:r>
      <w:r w:rsidRPr="004E7F7B">
        <w:rPr>
          <w:rFonts w:ascii="Times New Roman" w:hAnsi="Times New Roman" w:cs="Times New Roman"/>
        </w:rPr>
        <w:t xml:space="preserve"> Turkish Electricity Transmission Company</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TETAŞ:</w:t>
      </w:r>
      <w:r w:rsidRPr="004E7F7B">
        <w:rPr>
          <w:rFonts w:ascii="Times New Roman" w:hAnsi="Times New Roman" w:cs="Times New Roman"/>
        </w:rPr>
        <w:t xml:space="preserve"> Turkish Electricity Trade and Contracting Company</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TÜBİTAK:</w:t>
      </w:r>
      <w:r w:rsidRPr="004E7F7B">
        <w:rPr>
          <w:rFonts w:ascii="Times New Roman" w:hAnsi="Times New Roman" w:cs="Times New Roman"/>
        </w:rPr>
        <w:t xml:space="preserve"> Turkish Scientific and Technologic Research Council</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TÜPRAŞ:</w:t>
      </w:r>
      <w:r w:rsidRPr="004E7F7B">
        <w:rPr>
          <w:rFonts w:ascii="Times New Roman" w:hAnsi="Times New Roman" w:cs="Times New Roman"/>
        </w:rPr>
        <w:t xml:space="preserve"> Turkish Petroleum Refineries Corporation</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IEA:</w:t>
      </w:r>
      <w:r w:rsidRPr="004E7F7B">
        <w:rPr>
          <w:rFonts w:ascii="Times New Roman" w:hAnsi="Times New Roman" w:cs="Times New Roman"/>
        </w:rPr>
        <w:t xml:space="preserve"> International Energy Agency</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UGETAM:</w:t>
      </w:r>
      <w:r w:rsidRPr="004E7F7B">
        <w:rPr>
          <w:rFonts w:ascii="Times New Roman" w:hAnsi="Times New Roman" w:cs="Times New Roman"/>
        </w:rPr>
        <w:t xml:space="preserve"> İstanbul Applied Gas and Energy Technologies Research Engineering Industry Trade Inc.</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NM:</w:t>
      </w:r>
      <w:r w:rsidRPr="004E7F7B">
        <w:rPr>
          <w:rFonts w:ascii="Times New Roman" w:hAnsi="Times New Roman" w:cs="Times New Roman"/>
        </w:rPr>
        <w:t xml:space="preserve"> National Marker</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KHK:</w:t>
      </w:r>
      <w:r w:rsidRPr="004E7F7B">
        <w:rPr>
          <w:rFonts w:ascii="Times New Roman" w:hAnsi="Times New Roman" w:cs="Times New Roman"/>
        </w:rPr>
        <w:t xml:space="preserve"> Decree Law (DL)</w:t>
      </w:r>
    </w:p>
    <w:p w:rsidR="00D02E2F" w:rsidRPr="004E7F7B" w:rsidRDefault="00D02E2F" w:rsidP="00D02E2F">
      <w:pPr>
        <w:spacing w:line="240" w:lineRule="auto"/>
        <w:rPr>
          <w:rFonts w:ascii="Times New Roman" w:hAnsi="Times New Roman" w:cs="Times New Roman"/>
        </w:rPr>
      </w:pPr>
      <w:r w:rsidRPr="004E7F7B">
        <w:rPr>
          <w:rFonts w:ascii="Times New Roman" w:hAnsi="Times New Roman" w:cs="Times New Roman"/>
          <w:b/>
        </w:rPr>
        <w:t xml:space="preserve">md.: </w:t>
      </w:r>
      <w:r w:rsidRPr="004E7F7B">
        <w:rPr>
          <w:rFonts w:ascii="Times New Roman" w:hAnsi="Times New Roman" w:cs="Times New Roman"/>
        </w:rPr>
        <w:t>Article (Art)</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 xml:space="preserve">YEKDEM: </w:t>
      </w:r>
      <w:r w:rsidRPr="004E7F7B">
        <w:rPr>
          <w:rFonts w:ascii="Times New Roman" w:hAnsi="Times New Roman" w:cs="Times New Roman"/>
        </w:rPr>
        <w:t>RESSUM, Renewable Energy Sources Support Mechanism</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KYK:</w:t>
      </w:r>
      <w:r w:rsidRPr="004E7F7B">
        <w:rPr>
          <w:rFonts w:ascii="Times New Roman" w:hAnsi="Times New Roman" w:cs="Times New Roman"/>
        </w:rPr>
        <w:t xml:space="preserve"> Decision of Public İnterest </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MH:</w:t>
      </w:r>
      <w:r w:rsidRPr="004E7F7B">
        <w:rPr>
          <w:rFonts w:ascii="Times New Roman" w:hAnsi="Times New Roman" w:cs="Times New Roman"/>
        </w:rPr>
        <w:t xml:space="preserve"> Treasure of the Finance</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DHTA:</w:t>
      </w:r>
      <w:r w:rsidRPr="004E7F7B">
        <w:rPr>
          <w:rFonts w:ascii="Times New Roman" w:hAnsi="Times New Roman" w:cs="Times New Roman"/>
        </w:rPr>
        <w:t xml:space="preserve"> Immovables under the Property of the State (IPDS) </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 xml:space="preserve">KKP: </w:t>
      </w:r>
      <w:r w:rsidRPr="004E7F7B">
        <w:rPr>
          <w:rFonts w:ascii="Times New Roman" w:hAnsi="Times New Roman" w:cs="Times New Roman"/>
        </w:rPr>
        <w:t xml:space="preserve">Enterprise Resource Planning </w:t>
      </w:r>
    </w:p>
    <w:p w:rsidR="00D02E2F" w:rsidRPr="004E7F7B" w:rsidRDefault="00D02E2F" w:rsidP="00D02E2F">
      <w:pPr>
        <w:spacing w:after="200" w:line="240" w:lineRule="auto"/>
        <w:rPr>
          <w:rFonts w:ascii="Times New Roman" w:hAnsi="Times New Roman" w:cs="Times New Roman"/>
        </w:rPr>
      </w:pPr>
      <w:r w:rsidRPr="004E7F7B">
        <w:rPr>
          <w:rFonts w:ascii="Times New Roman" w:hAnsi="Times New Roman" w:cs="Times New Roman"/>
          <w:b/>
        </w:rPr>
        <w:t xml:space="preserve">BGYS: </w:t>
      </w:r>
      <w:r w:rsidRPr="004E7F7B">
        <w:rPr>
          <w:rFonts w:ascii="Times New Roman" w:hAnsi="Times New Roman" w:cs="Times New Roman"/>
        </w:rPr>
        <w:t>Information Security Management System</w:t>
      </w:r>
    </w:p>
    <w:p w:rsidR="00D02E2F" w:rsidRPr="004E7F7B" w:rsidRDefault="00D02E2F" w:rsidP="00D02E2F">
      <w:pPr>
        <w:spacing w:after="200" w:line="240" w:lineRule="auto"/>
        <w:rPr>
          <w:rFonts w:ascii="Times New Roman" w:hAnsi="Times New Roman" w:cs="Times New Roman"/>
          <w:b/>
        </w:rPr>
      </w:pPr>
      <w:r w:rsidRPr="004E7F7B">
        <w:rPr>
          <w:rFonts w:ascii="Times New Roman" w:hAnsi="Times New Roman" w:cs="Times New Roman"/>
          <w:b/>
        </w:rPr>
        <w:t xml:space="preserve">KDB: </w:t>
      </w:r>
      <w:r w:rsidRPr="004E7F7B">
        <w:rPr>
          <w:rFonts w:ascii="Times New Roman" w:hAnsi="Times New Roman" w:cs="Times New Roman"/>
        </w:rPr>
        <w:t>Expropriation Department</w:t>
      </w:r>
    </w:p>
    <w:p w:rsidR="00D02E2F" w:rsidRPr="004E7F7B" w:rsidRDefault="00D02E2F" w:rsidP="00D02E2F">
      <w:pPr>
        <w:spacing w:after="200" w:line="240" w:lineRule="auto"/>
        <w:rPr>
          <w:rFonts w:ascii="Times New Roman" w:hAnsi="Times New Roman" w:cs="Times New Roman"/>
        </w:rPr>
      </w:pPr>
      <w:r>
        <w:rPr>
          <w:rFonts w:ascii="Times New Roman" w:hAnsi="Times New Roman" w:cs="Times New Roman"/>
          <w:b/>
        </w:rPr>
        <w:t>EMD</w:t>
      </w:r>
      <w:r w:rsidRPr="004E7F7B">
        <w:rPr>
          <w:rFonts w:ascii="Times New Roman" w:hAnsi="Times New Roman" w:cs="Times New Roman"/>
          <w:b/>
        </w:rPr>
        <w:t xml:space="preserve">: </w:t>
      </w:r>
      <w:r w:rsidRPr="004E7F7B">
        <w:rPr>
          <w:rFonts w:ascii="Times New Roman" w:hAnsi="Times New Roman" w:cs="Times New Roman"/>
        </w:rPr>
        <w:t>Electricity Market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AD</w:t>
      </w:r>
      <w:r w:rsidRPr="004E7F7B">
        <w:rPr>
          <w:rFonts w:ascii="Times New Roman" w:hAnsi="Times New Roman" w:cs="Times New Roman"/>
          <w:b/>
        </w:rPr>
        <w:t xml:space="preserve">: </w:t>
      </w:r>
      <w:r w:rsidRPr="004E7F7B">
        <w:rPr>
          <w:rFonts w:ascii="Times New Roman" w:hAnsi="Times New Roman" w:cs="Times New Roman"/>
        </w:rPr>
        <w:t>Audit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TD</w:t>
      </w:r>
      <w:r w:rsidRPr="004E7F7B">
        <w:rPr>
          <w:rFonts w:ascii="Times New Roman" w:hAnsi="Times New Roman" w:cs="Times New Roman"/>
          <w:b/>
        </w:rPr>
        <w:t xml:space="preserve">: </w:t>
      </w:r>
      <w:r w:rsidRPr="004E7F7B">
        <w:rPr>
          <w:rFonts w:ascii="Times New Roman" w:hAnsi="Times New Roman" w:cs="Times New Roman"/>
        </w:rPr>
        <w:t>Tariffs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PMD</w:t>
      </w:r>
      <w:r w:rsidRPr="004E7F7B">
        <w:rPr>
          <w:rFonts w:ascii="Times New Roman" w:hAnsi="Times New Roman" w:cs="Times New Roman"/>
          <w:b/>
        </w:rPr>
        <w:t xml:space="preserve">: </w:t>
      </w:r>
      <w:r w:rsidRPr="004E7F7B">
        <w:rPr>
          <w:rFonts w:ascii="Times New Roman" w:hAnsi="Times New Roman" w:cs="Times New Roman"/>
        </w:rPr>
        <w:t>Petroleum Market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NMD</w:t>
      </w:r>
      <w:r w:rsidRPr="004E7F7B">
        <w:rPr>
          <w:rFonts w:ascii="Times New Roman" w:hAnsi="Times New Roman" w:cs="Times New Roman"/>
          <w:b/>
        </w:rPr>
        <w:t xml:space="preserve">: </w:t>
      </w:r>
      <w:r w:rsidRPr="004E7F7B">
        <w:rPr>
          <w:rFonts w:ascii="Times New Roman" w:hAnsi="Times New Roman" w:cs="Times New Roman"/>
        </w:rPr>
        <w:t>Natural Gas Market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LMD</w:t>
      </w:r>
      <w:r w:rsidRPr="004E7F7B">
        <w:rPr>
          <w:rFonts w:ascii="Times New Roman" w:hAnsi="Times New Roman" w:cs="Times New Roman"/>
          <w:b/>
        </w:rPr>
        <w:t xml:space="preserve">: </w:t>
      </w:r>
      <w:r w:rsidRPr="004E7F7B">
        <w:rPr>
          <w:rFonts w:ascii="Times New Roman" w:hAnsi="Times New Roman" w:cs="Times New Roman"/>
        </w:rPr>
        <w:t>LPG Market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HRD</w:t>
      </w:r>
      <w:r w:rsidRPr="004E7F7B">
        <w:rPr>
          <w:rFonts w:ascii="Times New Roman" w:hAnsi="Times New Roman" w:cs="Times New Roman"/>
          <w:b/>
        </w:rPr>
        <w:t xml:space="preserve">: </w:t>
      </w:r>
      <w:r w:rsidRPr="004E7F7B">
        <w:rPr>
          <w:rFonts w:ascii="Times New Roman" w:hAnsi="Times New Roman" w:cs="Times New Roman"/>
        </w:rPr>
        <w:t>Human Resources and Support Services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SD</w:t>
      </w:r>
      <w:r w:rsidRPr="004E7F7B">
        <w:rPr>
          <w:rFonts w:ascii="Times New Roman" w:hAnsi="Times New Roman" w:cs="Times New Roman"/>
          <w:b/>
        </w:rPr>
        <w:t xml:space="preserve">D: </w:t>
      </w:r>
      <w:r w:rsidRPr="004E7F7B">
        <w:rPr>
          <w:rFonts w:ascii="Times New Roman" w:hAnsi="Times New Roman" w:cs="Times New Roman"/>
        </w:rPr>
        <w:t>Strategy Development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LD</w:t>
      </w:r>
      <w:r w:rsidRPr="004E7F7B">
        <w:rPr>
          <w:rFonts w:ascii="Times New Roman" w:hAnsi="Times New Roman" w:cs="Times New Roman"/>
          <w:b/>
        </w:rPr>
        <w:t xml:space="preserve">: </w:t>
      </w:r>
      <w:r w:rsidRPr="004E7F7B">
        <w:rPr>
          <w:rFonts w:ascii="Times New Roman" w:hAnsi="Times New Roman" w:cs="Times New Roman"/>
        </w:rPr>
        <w:t>Legal Department</w:t>
      </w:r>
    </w:p>
    <w:p w:rsidR="00D02E2F" w:rsidRPr="004E7F7B" w:rsidRDefault="00D02E2F" w:rsidP="00D02E2F">
      <w:pPr>
        <w:spacing w:after="200" w:line="240" w:lineRule="auto"/>
        <w:rPr>
          <w:rFonts w:ascii="Times New Roman" w:hAnsi="Times New Roman" w:cs="Times New Roman"/>
          <w:b/>
        </w:rPr>
      </w:pPr>
      <w:r>
        <w:rPr>
          <w:rFonts w:ascii="Times New Roman" w:hAnsi="Times New Roman" w:cs="Times New Roman"/>
          <w:b/>
        </w:rPr>
        <w:t>ITD</w:t>
      </w:r>
      <w:r w:rsidRPr="004E7F7B">
        <w:rPr>
          <w:rFonts w:ascii="Times New Roman" w:hAnsi="Times New Roman" w:cs="Times New Roman"/>
          <w:b/>
        </w:rPr>
        <w:t xml:space="preserve">: </w:t>
      </w:r>
      <w:r w:rsidRPr="004E7F7B">
        <w:rPr>
          <w:rFonts w:ascii="Times New Roman" w:hAnsi="Times New Roman" w:cs="Times New Roman"/>
        </w:rPr>
        <w:t>Information Technology Department</w:t>
      </w:r>
    </w:p>
    <w:p w:rsidR="00417758" w:rsidRPr="004E7F7B" w:rsidRDefault="00D02E2F" w:rsidP="00D02E2F">
      <w:pPr>
        <w:spacing w:after="200" w:line="240" w:lineRule="auto"/>
        <w:rPr>
          <w:rFonts w:ascii="Times New Roman" w:hAnsi="Times New Roman" w:cs="Times New Roman"/>
        </w:rPr>
        <w:sectPr w:rsidR="00417758" w:rsidRPr="004E7F7B" w:rsidSect="00417758">
          <w:footerReference w:type="default" r:id="rId9"/>
          <w:footerReference w:type="first" r:id="rId10"/>
          <w:pgSz w:w="12240" w:h="15840"/>
          <w:pgMar w:top="1417" w:right="1417" w:bottom="1417" w:left="1417" w:header="708" w:footer="708" w:gutter="0"/>
          <w:pgNumType w:fmt="lowerRoman" w:start="0"/>
          <w:cols w:space="708"/>
          <w:titlePg/>
          <w:docGrid w:linePitch="360"/>
        </w:sectPr>
      </w:pPr>
      <w:r>
        <w:rPr>
          <w:rFonts w:ascii="Times New Roman" w:hAnsi="Times New Roman" w:cs="Times New Roman"/>
          <w:b/>
        </w:rPr>
        <w:t>SBB</w:t>
      </w:r>
      <w:r w:rsidRPr="004E7F7B">
        <w:rPr>
          <w:rFonts w:ascii="Times New Roman" w:hAnsi="Times New Roman" w:cs="Times New Roman"/>
          <w:b/>
        </w:rPr>
        <w:t xml:space="preserve">: </w:t>
      </w:r>
      <w:r w:rsidRPr="004E7F7B">
        <w:rPr>
          <w:rFonts w:ascii="Times New Roman" w:hAnsi="Times New Roman" w:cs="Times New Roman"/>
        </w:rPr>
        <w:t>Special Bureau for the Board</w:t>
      </w:r>
    </w:p>
    <w:p w:rsidR="00791AB0" w:rsidRPr="004E7F7B" w:rsidRDefault="00791AB0" w:rsidP="007B4A7D">
      <w:pPr>
        <w:pStyle w:val="Balk1"/>
        <w:numPr>
          <w:ilvl w:val="0"/>
          <w:numId w:val="10"/>
        </w:numPr>
        <w:rPr>
          <w:rStyle w:val="KitapBal"/>
          <w:rFonts w:ascii="Times New Roman" w:hAnsi="Times New Roman" w:cs="Times New Roman"/>
          <w:b/>
          <w:bCs w:val="0"/>
          <w:smallCaps w:val="0"/>
          <w:spacing w:val="0"/>
          <w:sz w:val="22"/>
          <w:szCs w:val="22"/>
        </w:rPr>
      </w:pPr>
      <w:bookmarkStart w:id="5" w:name="_Toc48817812"/>
      <w:r w:rsidRPr="004E7F7B">
        <w:rPr>
          <w:rStyle w:val="KitapBal"/>
          <w:rFonts w:ascii="Times New Roman" w:hAnsi="Times New Roman" w:cs="Times New Roman"/>
          <w:b/>
          <w:bCs w:val="0"/>
          <w:smallCaps w:val="0"/>
          <w:spacing w:val="0"/>
          <w:sz w:val="22"/>
          <w:szCs w:val="22"/>
        </w:rPr>
        <w:lastRenderedPageBreak/>
        <w:t>ENERGY MARKET REGULATORY AUTHORITY</w:t>
      </w:r>
      <w:bookmarkEnd w:id="5"/>
    </w:p>
    <w:p w:rsidR="003E531B" w:rsidRPr="004E7F7B" w:rsidRDefault="003E531B" w:rsidP="00146B4A">
      <w:r w:rsidRPr="004E7F7B">
        <w:t>Information about the duties, powers and responsibilities of the Authority and the structure of the Authority are included.</w:t>
      </w:r>
    </w:p>
    <w:p w:rsidR="003E531B" w:rsidRPr="004E7F7B" w:rsidRDefault="003E531B" w:rsidP="007B4A7D">
      <w:pPr>
        <w:pStyle w:val="Balk2"/>
        <w:numPr>
          <w:ilvl w:val="1"/>
          <w:numId w:val="9"/>
        </w:numPr>
        <w:rPr>
          <w:rFonts w:ascii="Times New Roman" w:hAnsi="Times New Roman" w:cs="Times New Roman"/>
          <w:sz w:val="22"/>
          <w:szCs w:val="22"/>
        </w:rPr>
      </w:pPr>
      <w:bookmarkStart w:id="6" w:name="_Toc48817813"/>
      <w:r w:rsidRPr="004E7F7B">
        <w:rPr>
          <w:rFonts w:ascii="Times New Roman" w:hAnsi="Times New Roman" w:cs="Times New Roman"/>
          <w:sz w:val="22"/>
          <w:szCs w:val="22"/>
        </w:rPr>
        <w:t>Duties, Authorities and Responsibilities of the Authority</w:t>
      </w:r>
      <w:bookmarkEnd w:id="6"/>
    </w:p>
    <w:p w:rsidR="00ED016D" w:rsidRPr="004E7F7B" w:rsidRDefault="003E531B" w:rsidP="00146B4A">
      <w:r w:rsidRPr="004E7F7B">
        <w:t>The Energy Market Regulatory Authority (The Authority) was founded as the “Electricity Market Regulatory Authority” with the annulled Electricity Market Law numbered 4628 and published in at the Official Gazette</w:t>
      </w:r>
      <w:r w:rsidR="00ED016D" w:rsidRPr="004E7F7B">
        <w:t xml:space="preserve"> dated 03.03.2001 and b</w:t>
      </w:r>
      <w:r w:rsidRPr="004E7F7B">
        <w:t xml:space="preserve">is numbered 24335 and numbered as </w:t>
      </w:r>
      <w:r w:rsidR="00ED016D" w:rsidRPr="004E7F7B">
        <w:t xml:space="preserve">the “Energy Market Regulatory Authority” with the Law Amending the Electricity Market Law and the Natural Gas Market Law numbered 4646 and published in at the Official Gazette dated 02.05.2009 and numbered 24390. </w:t>
      </w:r>
    </w:p>
    <w:p w:rsidR="00ED016D" w:rsidRPr="004E7F7B" w:rsidRDefault="00ED016D" w:rsidP="00146B4A">
      <w:r w:rsidRPr="004E7F7B">
        <w:t xml:space="preserve">The name of the law numbered 4628 was amended with the 30th article of Electricity Market Law numbered 6446, published on the Official Gazette dated 30/03/2013 and numbered 28603, as the “Law on the Organization and Duties of the Energy Market Regulatory Authority.” </w:t>
      </w:r>
    </w:p>
    <w:p w:rsidR="00ED016D" w:rsidRPr="004E7F7B" w:rsidRDefault="00ED016D" w:rsidP="00146B4A">
      <w:r w:rsidRPr="004E7F7B">
        <w:t xml:space="preserve">The Authority is a public entity with administrative and financial autonomy. The ministry it is related with is The Ministry of Energy and Natural Resources (MENR). </w:t>
      </w:r>
    </w:p>
    <w:p w:rsidR="00ED016D" w:rsidRPr="004E7F7B" w:rsidRDefault="00ED016D" w:rsidP="00146B4A">
      <w:r w:rsidRPr="004E7F7B">
        <w:t>The Authority has no provincial branches and is centered in Ankara. However, the Authority is entitled to establish liaison offices with an aim to sustain customer relations. In this respect there is a lia</w:t>
      </w:r>
      <w:r w:rsidR="00791AB0" w:rsidRPr="004E7F7B">
        <w:t>i</w:t>
      </w:r>
      <w:r w:rsidRPr="004E7F7B">
        <w:t>s</w:t>
      </w:r>
      <w:r w:rsidR="00791AB0" w:rsidRPr="004E7F7B">
        <w:t>o</w:t>
      </w:r>
      <w:r w:rsidRPr="004E7F7B">
        <w:t>n office in İstanbul.</w:t>
      </w:r>
    </w:p>
    <w:p w:rsidR="00ED016D" w:rsidRPr="004E7F7B" w:rsidRDefault="00ED016D" w:rsidP="00146B4A">
      <w:r w:rsidRPr="004E7F7B">
        <w:t>The Authority is performing the duties and using the powers it has been entrusted by the;</w:t>
      </w:r>
    </w:p>
    <w:p w:rsidR="00ED016D" w:rsidRPr="004E7F7B" w:rsidRDefault="00ED016D"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Electricity Market Law No: 4628</w:t>
      </w:r>
    </w:p>
    <w:p w:rsidR="00ED016D" w:rsidRPr="004E7F7B" w:rsidRDefault="00ED016D"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Natural Gas Market Law No: 4646</w:t>
      </w:r>
    </w:p>
    <w:p w:rsidR="003E531B" w:rsidRPr="004E7F7B" w:rsidRDefault="00ED016D"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Petroleum Market Law No: 5015</w:t>
      </w:r>
    </w:p>
    <w:p w:rsidR="00ED016D" w:rsidRPr="004E7F7B" w:rsidRDefault="00ED016D"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Liquefied Petroleum Gases (LPG) Market Law No: 5307 and Law Amending the Electricity Market Law</w:t>
      </w:r>
    </w:p>
    <w:p w:rsidR="00715284" w:rsidRPr="004E7F7B" w:rsidRDefault="00715284"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Electricity Market Law No: 6446</w:t>
      </w:r>
    </w:p>
    <w:p w:rsidR="00715284" w:rsidRPr="004E7F7B" w:rsidRDefault="00715284" w:rsidP="00146B4A">
      <w:r w:rsidRPr="004E7F7B">
        <w:t>The objective of the aforementioned Laws is to establish a financially viable</w:t>
      </w:r>
      <w:r w:rsidR="00293E52" w:rsidRPr="004E7F7B">
        <w:t xml:space="preserve">, stable and transparent energy </w:t>
      </w:r>
      <w:r w:rsidRPr="004E7F7B">
        <w:t>market, which functions as per the provisions of private law and with</w:t>
      </w:r>
      <w:r w:rsidR="00293E52" w:rsidRPr="004E7F7B">
        <w:t xml:space="preserve">in a competitive environment to </w:t>
      </w:r>
      <w:r w:rsidRPr="004E7F7B">
        <w:t xml:space="preserve">ensure the independent regulation and supervision of the market in order to </w:t>
      </w:r>
      <w:r w:rsidR="00293E52" w:rsidRPr="004E7F7B">
        <w:t xml:space="preserve">provide sufficient electricity, </w:t>
      </w:r>
      <w:r w:rsidRPr="004E7F7B">
        <w:t>natural gas, petroleum and LPG of good quality to consumers, at low cost</w:t>
      </w:r>
      <w:r w:rsidR="00293E52" w:rsidRPr="004E7F7B">
        <w:t xml:space="preserve">, in a reliable and environment </w:t>
      </w:r>
      <w:r w:rsidRPr="004E7F7B">
        <w:t>friendly manner.</w:t>
      </w:r>
    </w:p>
    <w:p w:rsidR="00715284" w:rsidRPr="004E7F7B" w:rsidRDefault="00715284" w:rsidP="00146B4A">
      <w:r w:rsidRPr="004E7F7B">
        <w:t>In order to reach this objective the Authority is responsible and entitled to;</w:t>
      </w:r>
    </w:p>
    <w:p w:rsidR="00715284" w:rsidRPr="004E7F7B" w:rsidRDefault="00715284"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xml:space="preserve">• </w:t>
      </w:r>
      <w:r w:rsidRPr="00146B4A">
        <w:t>In the Electricity Market; Grant and renew licenses defining the righ</w:t>
      </w:r>
      <w:r w:rsidR="00293E52" w:rsidRPr="00146B4A">
        <w:t xml:space="preserve">ts and liabilities of the legal </w:t>
      </w:r>
      <w:r w:rsidRPr="00146B4A">
        <w:t>persons pertaining to their authorized activities; prepare the existing contracts within the scope of</w:t>
      </w:r>
      <w:r w:rsidR="00293E52" w:rsidRPr="00146B4A">
        <w:t xml:space="preserve"> </w:t>
      </w:r>
      <w:r w:rsidRPr="00146B4A">
        <w:t>the transfer of operational rights as per the Law no:4628; establish perf</w:t>
      </w:r>
      <w:r w:rsidR="00293E52" w:rsidRPr="00146B4A">
        <w:t xml:space="preserve">ormance standards by monitoring </w:t>
      </w:r>
      <w:r w:rsidRPr="00146B4A">
        <w:t>the market performances; prepare, improve and execute the s</w:t>
      </w:r>
      <w:r w:rsidR="00293E52" w:rsidRPr="00146B4A">
        <w:t xml:space="preserve">econdary legislation, audit the </w:t>
      </w:r>
      <w:r w:rsidRPr="00146B4A">
        <w:t>license holding legal persons, prepare, modify and execute regulated</w:t>
      </w:r>
      <w:r w:rsidR="00293E52" w:rsidRPr="00146B4A">
        <w:t xml:space="preserve"> tariffs and to ensure that the </w:t>
      </w:r>
      <w:r w:rsidRPr="00146B4A">
        <w:t>market activities are in compliance with the Electricity Market Law.</w:t>
      </w:r>
    </w:p>
    <w:p w:rsidR="00715284" w:rsidRPr="004E7F7B" w:rsidRDefault="00715284"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xml:space="preserve">• </w:t>
      </w:r>
      <w:r w:rsidRPr="00146B4A">
        <w:t>In the Natural Gas Market; Grant licenses and certificates defining th</w:t>
      </w:r>
      <w:r w:rsidR="00293E52" w:rsidRPr="00146B4A">
        <w:t xml:space="preserve">e rights and liabilities of the </w:t>
      </w:r>
      <w:r w:rsidRPr="00146B4A">
        <w:t>real and legal persons dealing with the import, transportation, d</w:t>
      </w:r>
      <w:r w:rsidR="00293E52" w:rsidRPr="00146B4A">
        <w:t xml:space="preserve">istribution, storage, trade and </w:t>
      </w:r>
      <w:r w:rsidRPr="00146B4A">
        <w:t xml:space="preserve">export </w:t>
      </w:r>
      <w:r w:rsidRPr="00146B4A">
        <w:lastRenderedPageBreak/>
        <w:t xml:space="preserve">of natural gas; examine the market and system operation; </w:t>
      </w:r>
      <w:r w:rsidR="00293E52" w:rsidRPr="00146B4A">
        <w:t>prepare, amend, execute, super</w:t>
      </w:r>
      <w:r w:rsidRPr="00146B4A">
        <w:t xml:space="preserve">vise the distribution and customer services regulations; examine the </w:t>
      </w:r>
      <w:r w:rsidR="00293E52" w:rsidRPr="00146B4A">
        <w:t xml:space="preserve">cost-reflective prices; prepare, </w:t>
      </w:r>
      <w:r w:rsidRPr="00146B4A">
        <w:t>modify and execute the regulated tariffs and to ensure that the mark</w:t>
      </w:r>
      <w:r w:rsidR="00293E52" w:rsidRPr="00146B4A">
        <w:t xml:space="preserve">et activities are in compliance </w:t>
      </w:r>
      <w:r w:rsidRPr="00146B4A">
        <w:t>with the Natural Gas Market Law.</w:t>
      </w:r>
    </w:p>
    <w:p w:rsidR="00715284" w:rsidRPr="004E7F7B" w:rsidRDefault="00715284"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xml:space="preserve">• </w:t>
      </w:r>
      <w:r w:rsidRPr="00146B4A">
        <w:t>In the Petroleum Market; Grant licenses for establishing and oper</w:t>
      </w:r>
      <w:r w:rsidR="00293E52" w:rsidRPr="00146B4A">
        <w:t xml:space="preserve">ating the facilities to perform </w:t>
      </w:r>
      <w:r w:rsidRPr="00146B4A">
        <w:t>refining, processing, lube oil production, storage, transportatio</w:t>
      </w:r>
      <w:r w:rsidR="00293E52" w:rsidRPr="00146B4A">
        <w:t xml:space="preserve">n, eligible consumer and bunker </w:t>
      </w:r>
      <w:r w:rsidRPr="00146B4A">
        <w:t>activities, distribution and transport of liquid fuel and vendor activities; d</w:t>
      </w:r>
      <w:r w:rsidR="00293E52" w:rsidRPr="00146B4A">
        <w:t xml:space="preserve">etermine the special conditions </w:t>
      </w:r>
      <w:r w:rsidRPr="00146B4A">
        <w:t>for the scope of the licensed activities and procedures, right</w:t>
      </w:r>
      <w:r w:rsidR="00293E52" w:rsidRPr="00146B4A">
        <w:t xml:space="preserve">s and liabilities stemming from </w:t>
      </w:r>
      <w:r w:rsidRPr="00146B4A">
        <w:t xml:space="preserve">the licenses, limiting the activities within the scope of the licenses, </w:t>
      </w:r>
      <w:r w:rsidR="00293E52" w:rsidRPr="00146B4A">
        <w:t xml:space="preserve">carrying out the activities and </w:t>
      </w:r>
      <w:r w:rsidRPr="00146B4A">
        <w:t>make the necessary arrangements,</w:t>
      </w:r>
    </w:p>
    <w:p w:rsidR="00ED016D" w:rsidRPr="004E7F7B" w:rsidRDefault="00D51F1D" w:rsidP="004E7F7B">
      <w:pPr>
        <w:tabs>
          <w:tab w:val="left" w:pos="8661"/>
        </w:tabs>
        <w:spacing w:line="240" w:lineRule="auto"/>
        <w:ind w:left="360"/>
        <w:rPr>
          <w:rFonts w:ascii="Times New Roman" w:hAnsi="Times New Roman" w:cs="Times New Roman"/>
        </w:rPr>
      </w:pPr>
      <w:r w:rsidRPr="004E7F7B">
        <w:rPr>
          <w:rFonts w:ascii="Times New Roman" w:hAnsi="Times New Roman" w:cs="Times New Roman"/>
        </w:rPr>
        <w:t xml:space="preserve">• </w:t>
      </w:r>
      <w:r w:rsidRPr="00146B4A">
        <w:t xml:space="preserve">In the LPG </w:t>
      </w:r>
      <w:r w:rsidR="00715284" w:rsidRPr="00146B4A">
        <w:t>Market; Grant, update,</w:t>
      </w:r>
      <w:r w:rsidR="00293E52" w:rsidRPr="00146B4A">
        <w:t xml:space="preserve"> temporarily stop or cancel the </w:t>
      </w:r>
      <w:r w:rsidR="00715284" w:rsidRPr="00146B4A">
        <w:t>licenses for establishing and operating the facilities for the purpo</w:t>
      </w:r>
      <w:r w:rsidR="00293E52" w:rsidRPr="00146B4A">
        <w:t xml:space="preserve">ses of distribution, transport, </w:t>
      </w:r>
      <w:r w:rsidR="00715284" w:rsidRPr="00146B4A">
        <w:t>vendor activities, storage, production of LPG tubes, filling and mai</w:t>
      </w:r>
      <w:r w:rsidR="00293E52" w:rsidRPr="00146B4A">
        <w:t xml:space="preserve">ntenance; determine the special </w:t>
      </w:r>
      <w:r w:rsidR="00715284" w:rsidRPr="00146B4A">
        <w:t xml:space="preserve">conditions for the scope of the licensed activities and procedures, </w:t>
      </w:r>
      <w:r w:rsidR="00293E52" w:rsidRPr="00146B4A">
        <w:t xml:space="preserve">rights and liabilities stemming </w:t>
      </w:r>
      <w:r w:rsidR="00715284" w:rsidRPr="00146B4A">
        <w:t>from the licenses, limiting the activities within the scope of the licens</w:t>
      </w:r>
      <w:r w:rsidR="00293E52" w:rsidRPr="00146B4A">
        <w:t xml:space="preserve">es, carrying out the activities </w:t>
      </w:r>
      <w:r w:rsidR="00715284" w:rsidRPr="00146B4A">
        <w:t>and make the necessary arrangements.</w:t>
      </w:r>
    </w:p>
    <w:p w:rsidR="00D51F1D" w:rsidRPr="004E7F7B" w:rsidRDefault="00D51F1D" w:rsidP="007B4A7D">
      <w:pPr>
        <w:pStyle w:val="Balk2"/>
        <w:numPr>
          <w:ilvl w:val="1"/>
          <w:numId w:val="9"/>
        </w:numPr>
        <w:rPr>
          <w:rFonts w:ascii="Times New Roman" w:hAnsi="Times New Roman" w:cs="Times New Roman"/>
          <w:sz w:val="22"/>
          <w:szCs w:val="22"/>
        </w:rPr>
      </w:pPr>
      <w:bookmarkStart w:id="7" w:name="_Toc48817814"/>
      <w:r w:rsidRPr="004E7F7B">
        <w:rPr>
          <w:rFonts w:ascii="Times New Roman" w:hAnsi="Times New Roman" w:cs="Times New Roman"/>
          <w:sz w:val="22"/>
          <w:szCs w:val="22"/>
        </w:rPr>
        <w:t>Structure and Authority</w:t>
      </w:r>
      <w:bookmarkEnd w:id="7"/>
    </w:p>
    <w:p w:rsidR="00D51F1D" w:rsidRPr="004E7F7B" w:rsidRDefault="00D51F1D" w:rsidP="00146B4A">
      <w:r w:rsidRPr="004E7F7B">
        <w:t xml:space="preserve">The Authority consists of The Board, Presidency and the service units. </w:t>
      </w:r>
    </w:p>
    <w:p w:rsidR="00D51F1D" w:rsidRPr="004E7F7B" w:rsidRDefault="00D51F1D" w:rsidP="007B4A7D">
      <w:pPr>
        <w:pStyle w:val="Balk3"/>
        <w:numPr>
          <w:ilvl w:val="2"/>
          <w:numId w:val="9"/>
        </w:numPr>
        <w:rPr>
          <w:rFonts w:ascii="Times New Roman" w:hAnsi="Times New Roman" w:cs="Times New Roman"/>
          <w:sz w:val="22"/>
          <w:szCs w:val="22"/>
        </w:rPr>
      </w:pPr>
      <w:bookmarkStart w:id="8" w:name="_Toc48817815"/>
      <w:r w:rsidRPr="004E7F7B">
        <w:rPr>
          <w:rFonts w:ascii="Times New Roman" w:hAnsi="Times New Roman" w:cs="Times New Roman"/>
          <w:sz w:val="22"/>
          <w:szCs w:val="22"/>
        </w:rPr>
        <w:t>Energy Market Regulatory Board</w:t>
      </w:r>
      <w:bookmarkEnd w:id="8"/>
    </w:p>
    <w:p w:rsidR="00D51F1D" w:rsidRPr="004E7F7B" w:rsidRDefault="00D51F1D" w:rsidP="00521DE9">
      <w:r w:rsidRPr="004E7F7B">
        <w:t>The Authority uses its powers via The Board when performing its duties. The representative and decision making body of the Authority is the Board. The first Board assumed duty on 19.11.2001 by swearing an oath before the First Chairmanship of the Supreme Court of Appeals. The Board consists of seven members one being the President and one being the vice President.</w:t>
      </w:r>
    </w:p>
    <w:p w:rsidR="00DB0362" w:rsidRPr="004E7F7B" w:rsidRDefault="00DB0362" w:rsidP="00521DE9">
      <w:r w:rsidRPr="004E7F7B">
        <w:t xml:space="preserve">As of the date of their appointment, the Board members shall terminate without any further action as of the date of their fourth year in office. The Board Members cannot be taken from offices before the end of their terms of office. However, the President and Board Members who are convicted of breaching the prohibitions set forth in the Article 6 of the Law No:4628 or crimes offended in relation with their assigned duties; are determined to lose the qualifications required to be a civil servant as per the Civil Servants Law No.657 or  are not able to work for more than three months because of an illness or accident or whose health conditions are determined to be not suitable for working by a committee of doctors, then not necessarily waiting for three months, shall be taken from office by the Council of Ministers. </w:t>
      </w:r>
    </w:p>
    <w:p w:rsidR="00DB0362" w:rsidRPr="004E7F7B" w:rsidRDefault="00DB0362" w:rsidP="00521DE9">
      <w:r w:rsidRPr="004E7F7B">
        <w:t>In case the Presidency and Board memberships become vacant before the end of terms of office by any reason, appointments are made to the vacant posts within one month. The Board Members, whose terms of office end, are able to be re-elected.</w:t>
      </w:r>
    </w:p>
    <w:p w:rsidR="00DB0362" w:rsidRPr="004E7F7B" w:rsidRDefault="00DB0362" w:rsidP="00521DE9">
      <w:r w:rsidRPr="004E7F7B">
        <w:t xml:space="preserve">The Board meets whenever it deems necessary but at least once in a week. The meetings are chaired by the President and in the absence of the President by the Second President. The agenda of each meeting is prepared by the President or in the absence of the President by the Second President and notified to the Board Members. </w:t>
      </w:r>
    </w:p>
    <w:p w:rsidR="00DB0362" w:rsidRPr="004E7F7B" w:rsidRDefault="00DB0362" w:rsidP="00521DE9">
      <w:r w:rsidRPr="004E7F7B">
        <w:t xml:space="preserve">The Board meets with absolute majority and the decisions are taken with the majority of the participants. </w:t>
      </w:r>
    </w:p>
    <w:p w:rsidR="00963190" w:rsidRDefault="00DB0362" w:rsidP="00521DE9">
      <w:pPr>
        <w:rPr>
          <w:color w:val="000000" w:themeColor="text1"/>
        </w:rPr>
      </w:pPr>
      <w:r w:rsidRPr="004E7F7B">
        <w:rPr>
          <w:color w:val="000000" w:themeColor="text1"/>
        </w:rPr>
        <w:lastRenderedPageBreak/>
        <w:t xml:space="preserve">In Table 1.1, the breakdown of Board Decisions taken in </w:t>
      </w:r>
      <w:r w:rsidR="001B3216" w:rsidRPr="004E7F7B">
        <w:t>201</w:t>
      </w:r>
      <w:r w:rsidR="002F7DA4" w:rsidRPr="004E7F7B">
        <w:t>9</w:t>
      </w:r>
      <w:r w:rsidRPr="004E7F7B">
        <w:t xml:space="preserve"> according to the service units is shown. And in </w:t>
      </w:r>
      <w:r w:rsidRPr="004E7F7B">
        <w:rPr>
          <w:color w:val="000000" w:themeColor="text1"/>
        </w:rPr>
        <w:t xml:space="preserve">Table 1.2, the breakdown of Board Decisions taken in </w:t>
      </w:r>
      <w:r w:rsidR="001B3216" w:rsidRPr="004E7F7B">
        <w:rPr>
          <w:color w:val="000000" w:themeColor="text1"/>
        </w:rPr>
        <w:t>201</w:t>
      </w:r>
      <w:r w:rsidR="002F7DA4" w:rsidRPr="004E7F7B">
        <w:rPr>
          <w:color w:val="000000" w:themeColor="text1"/>
        </w:rPr>
        <w:t>5-2019</w:t>
      </w:r>
      <w:r w:rsidRPr="004E7F7B">
        <w:rPr>
          <w:color w:val="000000" w:themeColor="text1"/>
        </w:rPr>
        <w:t xml:space="preserve"> according to the service units is shown. As seen in Table</w:t>
      </w:r>
      <w:r w:rsidR="002F7DA4" w:rsidRPr="004E7F7B">
        <w:rPr>
          <w:color w:val="000000" w:themeColor="text1"/>
        </w:rPr>
        <w:t xml:space="preserve"> 1.3, in 2019</w:t>
      </w:r>
      <w:r w:rsidRPr="004E7F7B">
        <w:rPr>
          <w:color w:val="000000" w:themeColor="text1"/>
        </w:rPr>
        <w:t xml:space="preserve">, the Board took an average of </w:t>
      </w:r>
      <w:r w:rsidR="002F7DA4" w:rsidRPr="004E7F7B">
        <w:rPr>
          <w:color w:val="000000" w:themeColor="text1"/>
        </w:rPr>
        <w:t>18</w:t>
      </w:r>
      <w:r w:rsidR="001B3216" w:rsidRPr="004E7F7B">
        <w:rPr>
          <w:color w:val="000000" w:themeColor="text1"/>
        </w:rPr>
        <w:t>1 d</w:t>
      </w:r>
      <w:r w:rsidRPr="004E7F7B">
        <w:rPr>
          <w:color w:val="000000" w:themeColor="text1"/>
        </w:rPr>
        <w:t xml:space="preserve">ecisions in a week.  The aforementioned Board Decisions are mostly related with </w:t>
      </w:r>
      <w:r w:rsidR="002F7DA4" w:rsidRPr="004E7F7B">
        <w:rPr>
          <w:color w:val="000000" w:themeColor="text1"/>
        </w:rPr>
        <w:t>expropriation</w:t>
      </w:r>
      <w:r w:rsidRPr="004E7F7B">
        <w:rPr>
          <w:color w:val="000000" w:themeColor="text1"/>
        </w:rPr>
        <w:t xml:space="preserve"> activi</w:t>
      </w:r>
      <w:r w:rsidR="001B3216" w:rsidRPr="004E7F7B">
        <w:rPr>
          <w:color w:val="000000" w:themeColor="text1"/>
        </w:rPr>
        <w:t>ties</w:t>
      </w:r>
      <w:r w:rsidR="002F7DA4" w:rsidRPr="004E7F7B">
        <w:rPr>
          <w:color w:val="000000" w:themeColor="text1"/>
        </w:rPr>
        <w:t>. On the other hand, in 2019 53</w:t>
      </w:r>
      <w:r w:rsidRPr="004E7F7B">
        <w:rPr>
          <w:color w:val="000000" w:themeColor="text1"/>
        </w:rPr>
        <w:t xml:space="preserve"> B</w:t>
      </w:r>
      <w:r w:rsidR="001B3216" w:rsidRPr="004E7F7B">
        <w:rPr>
          <w:color w:val="000000" w:themeColor="text1"/>
        </w:rPr>
        <w:t>oard meetings were h</w:t>
      </w:r>
      <w:r w:rsidR="002F7DA4" w:rsidRPr="004E7F7B">
        <w:rPr>
          <w:color w:val="000000" w:themeColor="text1"/>
        </w:rPr>
        <w:t>eld. In 2019</w:t>
      </w:r>
      <w:r w:rsidRPr="004E7F7B">
        <w:rPr>
          <w:color w:val="000000" w:themeColor="text1"/>
        </w:rPr>
        <w:t xml:space="preserve">, the Board took an average of </w:t>
      </w:r>
      <w:r w:rsidR="002F7DA4" w:rsidRPr="004E7F7B">
        <w:rPr>
          <w:color w:val="000000" w:themeColor="text1"/>
        </w:rPr>
        <w:t>177</w:t>
      </w:r>
      <w:r w:rsidRPr="004E7F7B">
        <w:rPr>
          <w:color w:val="000000" w:themeColor="text1"/>
        </w:rPr>
        <w:t xml:space="preserve"> decisions in each meeting. </w:t>
      </w:r>
    </w:p>
    <w:p w:rsidR="001B3216" w:rsidRPr="004E7F7B" w:rsidRDefault="001B3216" w:rsidP="004E7F7B">
      <w:pPr>
        <w:pStyle w:val="Balk5"/>
        <w:jc w:val="both"/>
        <w:rPr>
          <w:rStyle w:val="Gl"/>
          <w:rFonts w:ascii="Times New Roman" w:hAnsi="Times New Roman" w:cs="Times New Roman"/>
          <w:b/>
          <w:bCs w:val="0"/>
        </w:rPr>
      </w:pPr>
      <w:bookmarkStart w:id="9" w:name="_Toc416447566"/>
      <w:bookmarkStart w:id="10" w:name="_Toc442441723"/>
      <w:bookmarkStart w:id="11" w:name="_Toc505346151"/>
      <w:bookmarkStart w:id="12" w:name="_Toc512874121"/>
      <w:bookmarkStart w:id="13" w:name="_Toc48818008"/>
      <w:r w:rsidRPr="004E7F7B">
        <w:rPr>
          <w:rStyle w:val="Gl"/>
          <w:rFonts w:ascii="Times New Roman" w:hAnsi="Times New Roman" w:cs="Times New Roman"/>
          <w:b/>
          <w:bCs w:val="0"/>
        </w:rPr>
        <w:t xml:space="preserve">Table 1.1: Breakdown </w:t>
      </w:r>
      <w:r w:rsidR="00056CD3" w:rsidRPr="004E7F7B">
        <w:rPr>
          <w:rStyle w:val="Gl"/>
          <w:rFonts w:ascii="Times New Roman" w:hAnsi="Times New Roman" w:cs="Times New Roman"/>
          <w:b/>
          <w:bCs w:val="0"/>
        </w:rPr>
        <w:t>of Board Decisions T</w:t>
      </w:r>
      <w:r w:rsidR="00BD1DE4" w:rsidRPr="004E7F7B">
        <w:rPr>
          <w:rStyle w:val="Gl"/>
          <w:rFonts w:ascii="Times New Roman" w:hAnsi="Times New Roman" w:cs="Times New Roman"/>
          <w:b/>
          <w:bCs w:val="0"/>
        </w:rPr>
        <w:t>aken in 2019</w:t>
      </w:r>
      <w:r w:rsidRPr="004E7F7B">
        <w:rPr>
          <w:rStyle w:val="Gl"/>
          <w:rFonts w:ascii="Times New Roman" w:hAnsi="Times New Roman" w:cs="Times New Roman"/>
          <w:b/>
          <w:bCs w:val="0"/>
        </w:rPr>
        <w:t xml:space="preserve"> by Service Units</w:t>
      </w:r>
      <w:bookmarkEnd w:id="9"/>
      <w:bookmarkEnd w:id="10"/>
      <w:bookmarkEnd w:id="11"/>
      <w:bookmarkEnd w:id="12"/>
      <w:bookmarkEnd w:id="13"/>
    </w:p>
    <w:tbl>
      <w:tblPr>
        <w:tblW w:w="5000" w:type="pct"/>
        <w:tblCellMar>
          <w:left w:w="70" w:type="dxa"/>
          <w:right w:w="70" w:type="dxa"/>
        </w:tblCellMar>
        <w:tblLook w:val="04A0" w:firstRow="1" w:lastRow="0" w:firstColumn="1" w:lastColumn="0" w:noHBand="0" w:noVBand="1"/>
      </w:tblPr>
      <w:tblGrid>
        <w:gridCol w:w="5445"/>
        <w:gridCol w:w="1884"/>
        <w:gridCol w:w="2217"/>
      </w:tblGrid>
      <w:tr w:rsidR="001B3216" w:rsidRPr="004E7F7B" w:rsidTr="003F573B">
        <w:trPr>
          <w:trHeight w:val="20"/>
        </w:trPr>
        <w:tc>
          <w:tcPr>
            <w:tcW w:w="2852"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1B3216" w:rsidRPr="004E7F7B" w:rsidRDefault="001B3216"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Name of the Service Unit</w:t>
            </w:r>
          </w:p>
        </w:tc>
        <w:tc>
          <w:tcPr>
            <w:tcW w:w="987" w:type="pct"/>
            <w:tcBorders>
              <w:top w:val="single" w:sz="8" w:space="0" w:color="D9D9D9"/>
              <w:left w:val="nil"/>
              <w:bottom w:val="single" w:sz="8" w:space="0" w:color="D9D9D9"/>
              <w:right w:val="single" w:sz="8" w:space="0" w:color="D9D9D9"/>
            </w:tcBorders>
            <w:shd w:val="clear" w:color="000000" w:fill="6E9ECA"/>
            <w:vAlign w:val="center"/>
            <w:hideMark/>
          </w:tcPr>
          <w:p w:rsidR="001B3216" w:rsidRPr="004E7F7B" w:rsidRDefault="001B3216"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 of Decisions</w:t>
            </w:r>
          </w:p>
        </w:tc>
        <w:tc>
          <w:tcPr>
            <w:tcW w:w="1161" w:type="pct"/>
            <w:tcBorders>
              <w:top w:val="single" w:sz="8" w:space="0" w:color="D9D9D9"/>
              <w:left w:val="nil"/>
              <w:bottom w:val="single" w:sz="8" w:space="0" w:color="D9D9D9"/>
              <w:right w:val="single" w:sz="8" w:space="0" w:color="D9D9D9"/>
            </w:tcBorders>
            <w:shd w:val="clear" w:color="000000" w:fill="6E9ECA"/>
            <w:vAlign w:val="center"/>
            <w:hideMark/>
          </w:tcPr>
          <w:p w:rsidR="001B3216" w:rsidRPr="004E7F7B" w:rsidRDefault="001B3216"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Expropriation Department(ED)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3.996</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42,52</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Electricity Market Department(EM</w:t>
            </w:r>
            <w:r w:rsidR="00755C70" w:rsidRPr="004E7F7B">
              <w:rPr>
                <w:rFonts w:ascii="Times New Roman" w:eastAsia="Times New Roman" w:hAnsi="Times New Roman" w:cs="Times New Roman"/>
                <w:color w:val="000000"/>
                <w:lang w:eastAsia="tr-TR"/>
              </w:rPr>
              <w:t>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2.211</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23,53</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Audit Department(AD</w:t>
            </w:r>
            <w:r w:rsidR="00755C70"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2.125</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22,61</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Tariffs Department(TD</w:t>
            </w:r>
            <w:r w:rsidR="001B3216"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524</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5,58</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Petroleum Market Department(PM</w:t>
            </w:r>
            <w:r w:rsidR="001B3216" w:rsidRPr="004E7F7B">
              <w:rPr>
                <w:rFonts w:ascii="Times New Roman" w:eastAsia="Times New Roman" w:hAnsi="Times New Roman" w:cs="Times New Roman"/>
                <w:color w:val="000000"/>
                <w:lang w:eastAsia="tr-TR"/>
              </w:rPr>
              <w:t>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269</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2,86</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Natural Gas Market Department(NM</w:t>
            </w:r>
            <w:r w:rsidR="001B3216" w:rsidRPr="004E7F7B">
              <w:rPr>
                <w:rFonts w:ascii="Times New Roman" w:eastAsia="Times New Roman" w:hAnsi="Times New Roman" w:cs="Times New Roman"/>
                <w:color w:val="000000"/>
                <w:lang w:eastAsia="tr-TR"/>
              </w:rPr>
              <w:t>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160</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1,70</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LPG Market Department(LMD</w:t>
            </w:r>
            <w:r w:rsidR="001B3216"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50</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0,53</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1B321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Human Resources and Support Services Department</w:t>
            </w:r>
            <w:r w:rsidR="00056CD3" w:rsidRPr="004E7F7B">
              <w:rPr>
                <w:rFonts w:ascii="Times New Roman" w:eastAsia="Times New Roman" w:hAnsi="Times New Roman" w:cs="Times New Roman"/>
                <w:color w:val="000000"/>
                <w:lang w:eastAsia="tr-TR"/>
              </w:rPr>
              <w:t>(HR</w:t>
            </w:r>
            <w:r w:rsidR="00C95047" w:rsidRPr="004E7F7B">
              <w:rPr>
                <w:rFonts w:ascii="Times New Roman" w:eastAsia="Times New Roman" w:hAnsi="Times New Roman" w:cs="Times New Roman"/>
                <w:color w:val="000000"/>
                <w:lang w:eastAsia="tr-TR"/>
              </w:rPr>
              <w:t>D</w:t>
            </w:r>
            <w:r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1B321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w:t>
            </w:r>
            <w:r w:rsidR="00F96E46" w:rsidRPr="004E7F7B">
              <w:rPr>
                <w:rFonts w:ascii="Times New Roman" w:eastAsia="Times New Roman" w:hAnsi="Times New Roman" w:cs="Times New Roman"/>
                <w:color w:val="000000"/>
                <w:lang w:eastAsia="tr-TR"/>
              </w:rPr>
              <w:t>3</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0,35</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1B321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St</w:t>
            </w:r>
            <w:r w:rsidR="00056CD3" w:rsidRPr="004E7F7B">
              <w:rPr>
                <w:rFonts w:ascii="Times New Roman" w:eastAsia="Times New Roman" w:hAnsi="Times New Roman" w:cs="Times New Roman"/>
                <w:color w:val="000000"/>
                <w:lang w:eastAsia="tr-TR"/>
              </w:rPr>
              <w:t>rategy Development Department(SD</w:t>
            </w:r>
            <w:r w:rsidRPr="004E7F7B">
              <w:rPr>
                <w:rFonts w:ascii="Times New Roman" w:eastAsia="Times New Roman" w:hAnsi="Times New Roman" w:cs="Times New Roman"/>
                <w:color w:val="000000"/>
                <w:lang w:eastAsia="tr-TR"/>
              </w:rPr>
              <w:t>D)</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714EC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0,28</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Legal Department(LD</w:t>
            </w:r>
            <w:r w:rsidR="001B3216"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714EC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0,02</w:t>
            </w:r>
          </w:p>
        </w:tc>
      </w:tr>
      <w:tr w:rsidR="00755C70"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tcPr>
          <w:p w:rsidR="00755C70"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Information Technology Department(</w:t>
            </w:r>
            <w:r w:rsidR="00056CD3" w:rsidRPr="004E7F7B">
              <w:rPr>
                <w:rFonts w:ascii="Times New Roman" w:eastAsia="Times New Roman" w:hAnsi="Times New Roman" w:cs="Times New Roman"/>
                <w:color w:val="000000"/>
                <w:lang w:eastAsia="tr-TR"/>
              </w:rPr>
              <w:t>ITD</w:t>
            </w:r>
            <w:r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tcPr>
          <w:p w:rsidR="00755C70"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tcPr>
          <w:p w:rsidR="00755C70" w:rsidRPr="004E7F7B" w:rsidRDefault="00714EC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755C70" w:rsidRPr="004E7F7B" w:rsidRDefault="00056CD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Special Bureau for the Board(SBB</w:t>
            </w:r>
            <w:r w:rsidR="001B3216" w:rsidRPr="004E7F7B">
              <w:rPr>
                <w:rFonts w:ascii="Times New Roman" w:eastAsia="Times New Roman" w:hAnsi="Times New Roman" w:cs="Times New Roman"/>
                <w:color w:val="000000"/>
                <w:lang w:eastAsia="tr-TR"/>
              </w:rPr>
              <w:t>)</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F96E4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714EC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r>
      <w:tr w:rsidR="001B3216" w:rsidRPr="004E7F7B" w:rsidTr="003F573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rsidR="001B3216" w:rsidRPr="004E7F7B" w:rsidRDefault="001B3216"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Total</w:t>
            </w:r>
          </w:p>
        </w:tc>
        <w:tc>
          <w:tcPr>
            <w:tcW w:w="987" w:type="pct"/>
            <w:tcBorders>
              <w:top w:val="nil"/>
              <w:left w:val="nil"/>
              <w:bottom w:val="single" w:sz="8" w:space="0" w:color="D9D9D9"/>
              <w:right w:val="single" w:sz="8" w:space="0" w:color="D9D9D9"/>
            </w:tcBorders>
            <w:shd w:val="clear" w:color="auto" w:fill="auto"/>
            <w:vAlign w:val="center"/>
            <w:hideMark/>
          </w:tcPr>
          <w:p w:rsidR="001B3216" w:rsidRPr="004E7F7B" w:rsidRDefault="00714EC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9.398</w:t>
            </w:r>
          </w:p>
        </w:tc>
        <w:tc>
          <w:tcPr>
            <w:tcW w:w="1161" w:type="pct"/>
            <w:tcBorders>
              <w:top w:val="nil"/>
              <w:left w:val="nil"/>
              <w:bottom w:val="single" w:sz="8" w:space="0" w:color="D9D9D9"/>
              <w:right w:val="single" w:sz="8" w:space="0" w:color="D9D9D9"/>
            </w:tcBorders>
            <w:shd w:val="clear" w:color="auto" w:fill="auto"/>
            <w:vAlign w:val="center"/>
            <w:hideMark/>
          </w:tcPr>
          <w:p w:rsidR="001B3216" w:rsidRPr="004E7F7B" w:rsidRDefault="001B3216"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r>
    </w:tbl>
    <w:p w:rsidR="00D94E3D" w:rsidRPr="004E7F7B" w:rsidRDefault="00D94E3D" w:rsidP="004E7F7B">
      <w:pPr>
        <w:pStyle w:val="Balk5"/>
        <w:jc w:val="both"/>
        <w:rPr>
          <w:rStyle w:val="Gl"/>
          <w:rFonts w:ascii="Times New Roman" w:hAnsi="Times New Roman" w:cs="Times New Roman"/>
          <w:b/>
          <w:bCs w:val="0"/>
        </w:rPr>
      </w:pPr>
      <w:bookmarkStart w:id="14" w:name="_Toc48818009"/>
      <w:r w:rsidRPr="004E7F7B">
        <w:rPr>
          <w:rStyle w:val="Gl"/>
          <w:rFonts w:ascii="Times New Roman" w:hAnsi="Times New Roman" w:cs="Times New Roman"/>
          <w:b/>
          <w:bCs w:val="0"/>
        </w:rPr>
        <w:t>Figu</w:t>
      </w:r>
      <w:r w:rsidR="003B585D" w:rsidRPr="004E7F7B">
        <w:rPr>
          <w:rStyle w:val="Gl"/>
          <w:rFonts w:ascii="Times New Roman" w:hAnsi="Times New Roman" w:cs="Times New Roman"/>
          <w:b/>
          <w:bCs w:val="0"/>
        </w:rPr>
        <w:t>re 1.1: Board Decisions by the Service U</w:t>
      </w:r>
      <w:r w:rsidRPr="004E7F7B">
        <w:rPr>
          <w:rStyle w:val="Gl"/>
          <w:rFonts w:ascii="Times New Roman" w:hAnsi="Times New Roman" w:cs="Times New Roman"/>
          <w:b/>
          <w:bCs w:val="0"/>
        </w:rPr>
        <w:t>nits in 201</w:t>
      </w:r>
      <w:r w:rsidR="00014B23" w:rsidRPr="004E7F7B">
        <w:rPr>
          <w:rStyle w:val="Gl"/>
          <w:rFonts w:ascii="Times New Roman" w:hAnsi="Times New Roman" w:cs="Times New Roman"/>
          <w:b/>
          <w:bCs w:val="0"/>
        </w:rPr>
        <w:t>9</w:t>
      </w:r>
      <w:bookmarkEnd w:id="14"/>
    </w:p>
    <w:p w:rsidR="00D94E3D" w:rsidRPr="004E7F7B" w:rsidRDefault="00943B76" w:rsidP="004E7F7B">
      <w:pPr>
        <w:tabs>
          <w:tab w:val="left" w:pos="8661"/>
        </w:tabs>
        <w:spacing w:line="240" w:lineRule="auto"/>
        <w:rPr>
          <w:rFonts w:ascii="Times New Roman" w:hAnsi="Times New Roman" w:cs="Times New Roman"/>
          <w:b/>
        </w:rPr>
      </w:pPr>
      <w:r>
        <w:rPr>
          <w:rFonts w:ascii="Times New Roman" w:hAnsi="Times New Roman" w:cs="Times New Roman"/>
          <w:b/>
          <w:lang w:val="tr-TR" w:eastAsia="tr-TR"/>
        </w:rPr>
        <w:drawing>
          <wp:inline distT="0" distB="0" distL="0" distR="0" wp14:anchorId="302F2B7A">
            <wp:extent cx="5986780" cy="338137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6780" cy="3381375"/>
                    </a:xfrm>
                    <a:prstGeom prst="rect">
                      <a:avLst/>
                    </a:prstGeom>
                    <a:noFill/>
                  </pic:spPr>
                </pic:pic>
              </a:graphicData>
            </a:graphic>
          </wp:inline>
        </w:drawing>
      </w:r>
    </w:p>
    <w:p w:rsidR="00D94E3D" w:rsidRPr="004E7F7B" w:rsidRDefault="00D94E3D" w:rsidP="004E7F7B">
      <w:pPr>
        <w:tabs>
          <w:tab w:val="left" w:pos="8661"/>
        </w:tabs>
        <w:spacing w:line="240" w:lineRule="auto"/>
        <w:ind w:left="720"/>
        <w:rPr>
          <w:rFonts w:ascii="Times New Roman" w:hAnsi="Times New Roman" w:cs="Times New Roman"/>
          <w:b/>
        </w:rPr>
      </w:pPr>
    </w:p>
    <w:p w:rsidR="00963190" w:rsidRDefault="00963190">
      <w:pPr>
        <w:rPr>
          <w:rFonts w:ascii="Times New Roman" w:hAnsi="Times New Roman" w:cs="Times New Roman"/>
          <w:b/>
        </w:rPr>
      </w:pPr>
      <w:r>
        <w:rPr>
          <w:rFonts w:ascii="Times New Roman" w:hAnsi="Times New Roman" w:cs="Times New Roman"/>
          <w:b/>
        </w:rPr>
        <w:br w:type="page"/>
      </w:r>
    </w:p>
    <w:p w:rsidR="00D94E3D" w:rsidRPr="004E7F7B" w:rsidRDefault="00D94E3D" w:rsidP="004E7F7B">
      <w:pPr>
        <w:pStyle w:val="Balk5"/>
        <w:jc w:val="both"/>
        <w:rPr>
          <w:rStyle w:val="Gl"/>
          <w:rFonts w:ascii="Times New Roman" w:hAnsi="Times New Roman" w:cs="Times New Roman"/>
          <w:b/>
          <w:bCs w:val="0"/>
        </w:rPr>
      </w:pPr>
      <w:bookmarkStart w:id="15" w:name="_Toc48818010"/>
      <w:r w:rsidRPr="004E7F7B">
        <w:rPr>
          <w:rStyle w:val="Gl"/>
          <w:rFonts w:ascii="Times New Roman" w:hAnsi="Times New Roman" w:cs="Times New Roman"/>
          <w:b/>
          <w:bCs w:val="0"/>
        </w:rPr>
        <w:lastRenderedPageBreak/>
        <w:t xml:space="preserve">Table 1.2: Breakdown </w:t>
      </w:r>
      <w:r w:rsidR="003B585D" w:rsidRPr="004E7F7B">
        <w:rPr>
          <w:rStyle w:val="Gl"/>
          <w:rFonts w:ascii="Times New Roman" w:hAnsi="Times New Roman" w:cs="Times New Roman"/>
          <w:b/>
          <w:bCs w:val="0"/>
        </w:rPr>
        <w:t>of Board Decisions T</w:t>
      </w:r>
      <w:r w:rsidR="00014B23" w:rsidRPr="004E7F7B">
        <w:rPr>
          <w:rStyle w:val="Gl"/>
          <w:rFonts w:ascii="Times New Roman" w:hAnsi="Times New Roman" w:cs="Times New Roman"/>
          <w:b/>
          <w:bCs w:val="0"/>
        </w:rPr>
        <w:t>aken in 2015-2019</w:t>
      </w:r>
      <w:r w:rsidR="003B585D" w:rsidRPr="004E7F7B">
        <w:rPr>
          <w:rStyle w:val="Gl"/>
          <w:rFonts w:ascii="Times New Roman" w:hAnsi="Times New Roman" w:cs="Times New Roman"/>
          <w:b/>
          <w:bCs w:val="0"/>
        </w:rPr>
        <w:t xml:space="preserve"> by the Service U</w:t>
      </w:r>
      <w:r w:rsidRPr="004E7F7B">
        <w:rPr>
          <w:rStyle w:val="Gl"/>
          <w:rFonts w:ascii="Times New Roman" w:hAnsi="Times New Roman" w:cs="Times New Roman"/>
          <w:b/>
          <w:bCs w:val="0"/>
        </w:rPr>
        <w:t>nits</w:t>
      </w:r>
      <w:bookmarkEnd w:id="15"/>
    </w:p>
    <w:tbl>
      <w:tblPr>
        <w:tblW w:w="5000" w:type="pct"/>
        <w:tblCellMar>
          <w:left w:w="70" w:type="dxa"/>
          <w:right w:w="70" w:type="dxa"/>
        </w:tblCellMar>
        <w:tblLook w:val="04A0" w:firstRow="1" w:lastRow="0" w:firstColumn="1" w:lastColumn="0" w:noHBand="0" w:noVBand="1"/>
      </w:tblPr>
      <w:tblGrid>
        <w:gridCol w:w="825"/>
        <w:gridCol w:w="704"/>
        <w:gridCol w:w="704"/>
        <w:gridCol w:w="704"/>
        <w:gridCol w:w="704"/>
        <w:gridCol w:w="704"/>
        <w:gridCol w:w="704"/>
        <w:gridCol w:w="704"/>
        <w:gridCol w:w="745"/>
        <w:gridCol w:w="704"/>
        <w:gridCol w:w="705"/>
        <w:gridCol w:w="745"/>
        <w:gridCol w:w="894"/>
      </w:tblGrid>
      <w:tr w:rsidR="00D94E3D" w:rsidRPr="004E7F7B" w:rsidTr="003F573B">
        <w:trPr>
          <w:trHeight w:val="509"/>
        </w:trPr>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Name of The Service Unit</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4E7F7B" w:rsidRDefault="00014B23"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2015</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4E7F7B" w:rsidRDefault="00014B23"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2016</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014B23"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2017</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014B23"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2018</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D94E3D" w:rsidRPr="004E7F7B" w:rsidRDefault="00014B23"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2019</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p>
        </w:tc>
        <w:tc>
          <w:tcPr>
            <w:tcW w:w="377"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Total</w:t>
            </w:r>
          </w:p>
        </w:tc>
        <w:tc>
          <w:tcPr>
            <w:tcW w:w="479"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D94E3D" w:rsidRPr="004E7F7B" w:rsidRDefault="00645E4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r w:rsidR="00D94E3D" w:rsidRPr="004E7F7B">
              <w:rPr>
                <w:rFonts w:ascii="Times New Roman" w:eastAsia="Times New Roman" w:hAnsi="Times New Roman" w:cs="Times New Roman"/>
                <w:b/>
                <w:bCs/>
                <w:color w:val="FFFFFF"/>
                <w:lang w:eastAsia="tr-TR"/>
              </w:rPr>
              <w:t xml:space="preserve"> </w:t>
            </w:r>
            <w:r w:rsidRPr="004E7F7B">
              <w:rPr>
                <w:rFonts w:ascii="Times New Roman" w:eastAsia="Times New Roman" w:hAnsi="Times New Roman" w:cs="Times New Roman"/>
                <w:b/>
                <w:bCs/>
                <w:color w:val="FFFFFF"/>
                <w:lang w:eastAsia="tr-TR"/>
              </w:rPr>
              <w:t>(</w:t>
            </w:r>
            <w:r w:rsidR="00D94E3D" w:rsidRPr="004E7F7B">
              <w:rPr>
                <w:rFonts w:ascii="Times New Roman" w:eastAsia="Times New Roman" w:hAnsi="Times New Roman" w:cs="Times New Roman"/>
                <w:b/>
                <w:bCs/>
                <w:color w:val="FFFFFF"/>
                <w:lang w:eastAsia="tr-TR"/>
              </w:rPr>
              <w:t>%</w:t>
            </w:r>
            <w:r w:rsidRPr="004E7F7B">
              <w:rPr>
                <w:rFonts w:ascii="Times New Roman" w:eastAsia="Times New Roman" w:hAnsi="Times New Roman" w:cs="Times New Roman"/>
                <w:b/>
                <w:bCs/>
                <w:color w:val="FFFFFF"/>
                <w:lang w:eastAsia="tr-TR"/>
              </w:rPr>
              <w:t>)</w:t>
            </w:r>
          </w:p>
        </w:tc>
      </w:tr>
      <w:tr w:rsidR="00D94E3D" w:rsidRPr="004E7F7B" w:rsidTr="003F573B">
        <w:trPr>
          <w:trHeight w:val="509"/>
        </w:trPr>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377"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c>
          <w:tcPr>
            <w:tcW w:w="479" w:type="pct"/>
            <w:vMerge/>
            <w:tcBorders>
              <w:top w:val="single" w:sz="8" w:space="0" w:color="D9D9D9"/>
              <w:left w:val="single" w:sz="8" w:space="0" w:color="D9D9D9"/>
              <w:bottom w:val="single" w:sz="8" w:space="0" w:color="D9D9D9"/>
              <w:right w:val="single" w:sz="8" w:space="0" w:color="D9D9D9"/>
            </w:tcBorders>
            <w:vAlign w:val="center"/>
            <w:hideMark/>
          </w:tcPr>
          <w:p w:rsidR="00D94E3D" w:rsidRPr="004E7F7B" w:rsidRDefault="00D94E3D" w:rsidP="004E7F7B">
            <w:pPr>
              <w:spacing w:after="0" w:line="240" w:lineRule="auto"/>
              <w:rPr>
                <w:rFonts w:ascii="Times New Roman" w:eastAsia="Times New Roman" w:hAnsi="Times New Roman" w:cs="Times New Roman"/>
                <w:b/>
                <w:bCs/>
                <w:color w:val="FFFFFF"/>
                <w:lang w:eastAsia="tr-TR"/>
              </w:rPr>
            </w:pP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3.163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w:t>
            </w:r>
            <w:r w:rsidR="00014B23" w:rsidRPr="004E7F7B">
              <w:rPr>
                <w:rFonts w:ascii="Times New Roman" w:eastAsia="Times New Roman" w:hAnsi="Times New Roman" w:cs="Times New Roman"/>
                <w:color w:val="000000"/>
                <w:lang w:eastAsia="tr-TR"/>
              </w:rPr>
              <w:t>7,01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4.377</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56,90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2.382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35,70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3.044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36,380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2.125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22,61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15.091</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38,835</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1.676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24,91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1.214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15,78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1.878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28,14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2.049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24,49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2.211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23,53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9.028</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23,233</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658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9,78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69</w:t>
            </w:r>
            <w:r w:rsidR="00D94E3D" w:rsidRPr="004E7F7B">
              <w:rPr>
                <w:rFonts w:ascii="Times New Roman" w:eastAsia="Times New Roman" w:hAnsi="Times New Roman" w:cs="Times New Roman"/>
                <w:color w:val="000000"/>
                <w:lang w:eastAsia="tr-TR"/>
              </w:rPr>
              <w:t>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1010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15,14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25,10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3.996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42,52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8.462</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21,776</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588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637</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8,28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525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7,87</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546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6,53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524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5,58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2.820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7,257</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5,45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1.280</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3,294</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381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4,95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334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3,53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2,86</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1.524</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3,922</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LMD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0,82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w:t>
            </w:r>
            <w:r w:rsidR="00D94E3D" w:rsidRPr="004E7F7B">
              <w:rPr>
                <w:rFonts w:ascii="Times New Roman" w:eastAsia="Times New Roman" w:hAnsi="Times New Roman" w:cs="Times New Roman"/>
                <w:color w:val="000000"/>
                <w:lang w:eastAsia="tr-TR"/>
              </w:rPr>
              <w:t>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1,74</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354</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0,911</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HRD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0,26</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0,45</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0,35</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161</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0,414</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SDD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w:t>
            </w:r>
            <w:r w:rsidR="00014B23" w:rsidRPr="004E7F7B">
              <w:rPr>
                <w:rFonts w:ascii="Times New Roman" w:eastAsia="Times New Roman" w:hAnsi="Times New Roman" w:cs="Times New Roman"/>
                <w:color w:val="000000"/>
                <w:lang w:eastAsia="tr-TR"/>
              </w:rPr>
              <w:t>,42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0,27</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0,43</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0,28</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128</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0,329</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LD</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w:t>
            </w:r>
            <w:r w:rsidR="00014B23"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0,02</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5</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0,013</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hideMark/>
          </w:tcPr>
          <w:p w:rsidR="00D94E3D" w:rsidRPr="004E7F7B" w:rsidRDefault="007D18C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SBB</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w:t>
            </w:r>
            <w:r w:rsidR="00014B23" w:rsidRPr="004E7F7B">
              <w:rPr>
                <w:rFonts w:ascii="Times New Roman" w:eastAsia="Times New Roman" w:hAnsi="Times New Roman" w:cs="Times New Roman"/>
                <w:color w:val="000000"/>
                <w:lang w:eastAsia="tr-TR"/>
              </w:rPr>
              <w:t>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w:t>
            </w:r>
            <w:r w:rsidR="00014B23" w:rsidRPr="004E7F7B">
              <w:rPr>
                <w:rFonts w:ascii="Times New Roman" w:eastAsia="Times New Roman" w:hAnsi="Times New Roman" w:cs="Times New Roman"/>
                <w:color w:val="000000"/>
                <w:lang w:eastAsia="tr-TR"/>
              </w:rPr>
              <w:t>0,04</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507434"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5</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0,01</w:t>
            </w:r>
            <w:r w:rsidR="00A27622" w:rsidRPr="004E7F7B">
              <w:rPr>
                <w:rFonts w:ascii="Times New Roman" w:eastAsia="Times New Roman" w:hAnsi="Times New Roman" w:cs="Times New Roman"/>
                <w:b/>
                <w:bCs/>
                <w:color w:val="000000"/>
                <w:lang w:eastAsia="tr-TR"/>
              </w:rPr>
              <w:t>3</w:t>
            </w:r>
          </w:p>
        </w:tc>
      </w:tr>
      <w:tr w:rsidR="00014B23"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vAlign w:val="center"/>
          </w:tcPr>
          <w:p w:rsidR="00014B23"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ITD</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014B23"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D2192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377" w:type="pct"/>
            <w:tcBorders>
              <w:top w:val="nil"/>
              <w:left w:val="nil"/>
              <w:bottom w:val="single" w:sz="8" w:space="0" w:color="D9D9D9"/>
              <w:right w:val="single" w:sz="8" w:space="0" w:color="D9D9D9"/>
            </w:tcBorders>
            <w:shd w:val="clear" w:color="auto" w:fill="auto"/>
            <w:noWrap/>
            <w:vAlign w:val="center"/>
          </w:tcPr>
          <w:p w:rsidR="00014B23" w:rsidRPr="004E7F7B" w:rsidRDefault="0050743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377" w:type="pct"/>
            <w:tcBorders>
              <w:top w:val="nil"/>
              <w:left w:val="nil"/>
              <w:bottom w:val="single" w:sz="8" w:space="0" w:color="D9D9D9"/>
              <w:right w:val="single" w:sz="8" w:space="0" w:color="D9D9D9"/>
            </w:tcBorders>
            <w:shd w:val="clear" w:color="auto" w:fill="auto"/>
            <w:vAlign w:val="center"/>
          </w:tcPr>
          <w:p w:rsidR="00014B23"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w:t>
            </w:r>
          </w:p>
        </w:tc>
        <w:tc>
          <w:tcPr>
            <w:tcW w:w="479" w:type="pct"/>
            <w:tcBorders>
              <w:top w:val="nil"/>
              <w:left w:val="nil"/>
              <w:bottom w:val="single" w:sz="8" w:space="0" w:color="D9D9D9"/>
              <w:right w:val="single" w:sz="8" w:space="0" w:color="D9D9D9"/>
            </w:tcBorders>
            <w:shd w:val="clear" w:color="auto" w:fill="auto"/>
            <w:vAlign w:val="center"/>
          </w:tcPr>
          <w:p w:rsidR="00014B23"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0,004</w:t>
            </w:r>
          </w:p>
        </w:tc>
      </w:tr>
      <w:tr w:rsidR="00D94E3D" w:rsidRPr="004E7F7B" w:rsidTr="003F573B">
        <w:trPr>
          <w:trHeight w:val="20"/>
        </w:trPr>
        <w:tc>
          <w:tcPr>
            <w:tcW w:w="377" w:type="pct"/>
            <w:tcBorders>
              <w:top w:val="nil"/>
              <w:left w:val="single" w:sz="8" w:space="0" w:color="D9D9D9"/>
              <w:bottom w:val="single" w:sz="8" w:space="0" w:color="D9D9D9"/>
              <w:right w:val="single" w:sz="8" w:space="0" w:color="D9D9D9"/>
            </w:tcBorders>
            <w:shd w:val="clear" w:color="auto" w:fill="auto"/>
            <w:noWrap/>
            <w:vAlign w:val="center"/>
            <w:hideMark/>
          </w:tcPr>
          <w:p w:rsidR="00D94E3D" w:rsidRPr="004E7F7B" w:rsidRDefault="00645E4B"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Total</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6.729</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7.693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6.673</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8.366</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A27622"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9.398</w:t>
            </w:r>
          </w:p>
        </w:tc>
        <w:tc>
          <w:tcPr>
            <w:tcW w:w="377" w:type="pct"/>
            <w:tcBorders>
              <w:top w:val="nil"/>
              <w:left w:val="nil"/>
              <w:bottom w:val="single" w:sz="8" w:space="0" w:color="D9D9D9"/>
              <w:right w:val="single" w:sz="8" w:space="0" w:color="D9D9D9"/>
            </w:tcBorders>
            <w:shd w:val="clear" w:color="auto" w:fill="auto"/>
            <w:noWrap/>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377" w:type="pct"/>
            <w:tcBorders>
              <w:top w:val="nil"/>
              <w:left w:val="nil"/>
              <w:bottom w:val="single" w:sz="8" w:space="0" w:color="D9D9D9"/>
              <w:right w:val="single" w:sz="8" w:space="0" w:color="D9D9D9"/>
            </w:tcBorders>
            <w:shd w:val="clear" w:color="auto" w:fill="auto"/>
            <w:vAlign w:val="center"/>
            <w:hideMark/>
          </w:tcPr>
          <w:p w:rsidR="00D94E3D" w:rsidRPr="004E7F7B" w:rsidRDefault="0050743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38.859</w:t>
            </w:r>
          </w:p>
        </w:tc>
        <w:tc>
          <w:tcPr>
            <w:tcW w:w="479" w:type="pct"/>
            <w:tcBorders>
              <w:top w:val="nil"/>
              <w:left w:val="nil"/>
              <w:bottom w:val="single" w:sz="8" w:space="0" w:color="D9D9D9"/>
              <w:right w:val="single" w:sz="8" w:space="0" w:color="D9D9D9"/>
            </w:tcBorders>
            <w:shd w:val="clear" w:color="auto" w:fill="auto"/>
            <w:vAlign w:val="center"/>
            <w:hideMark/>
          </w:tcPr>
          <w:p w:rsidR="00D94E3D" w:rsidRPr="004E7F7B" w:rsidRDefault="00D94E3D"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r>
    </w:tbl>
    <w:p w:rsidR="00D94E3D" w:rsidRPr="004E7F7B" w:rsidRDefault="00D94E3D" w:rsidP="004E7F7B">
      <w:pPr>
        <w:spacing w:after="120" w:line="240" w:lineRule="auto"/>
        <w:rPr>
          <w:rFonts w:ascii="Times New Roman" w:hAnsi="Times New Roman" w:cs="Times New Roman"/>
        </w:rPr>
      </w:pPr>
    </w:p>
    <w:p w:rsidR="007D18CF" w:rsidRPr="004E7F7B" w:rsidRDefault="007D18CF" w:rsidP="004E7F7B">
      <w:pPr>
        <w:pStyle w:val="Balk5"/>
        <w:jc w:val="both"/>
        <w:rPr>
          <w:rStyle w:val="Gl"/>
          <w:rFonts w:ascii="Times New Roman" w:hAnsi="Times New Roman" w:cs="Times New Roman"/>
          <w:b/>
          <w:bCs w:val="0"/>
        </w:rPr>
      </w:pPr>
      <w:bookmarkStart w:id="16" w:name="_Toc48818011"/>
      <w:r w:rsidRPr="004E7F7B">
        <w:rPr>
          <w:rStyle w:val="Gl"/>
          <w:rFonts w:ascii="Times New Roman" w:hAnsi="Times New Roman" w:cs="Times New Roman"/>
          <w:b/>
          <w:bCs w:val="0"/>
        </w:rPr>
        <w:t>Table 1.3: General Breakdown of t</w:t>
      </w:r>
      <w:r w:rsidR="003B585D" w:rsidRPr="004E7F7B">
        <w:rPr>
          <w:rStyle w:val="Gl"/>
          <w:rFonts w:ascii="Times New Roman" w:hAnsi="Times New Roman" w:cs="Times New Roman"/>
          <w:b/>
          <w:bCs w:val="0"/>
        </w:rPr>
        <w:t>he Board Decisions T</w:t>
      </w:r>
      <w:r w:rsidR="00056CD3" w:rsidRPr="004E7F7B">
        <w:rPr>
          <w:rStyle w:val="Gl"/>
          <w:rFonts w:ascii="Times New Roman" w:hAnsi="Times New Roman" w:cs="Times New Roman"/>
          <w:b/>
          <w:bCs w:val="0"/>
        </w:rPr>
        <w:t>aken in 2015</w:t>
      </w:r>
      <w:r w:rsidRPr="004E7F7B">
        <w:rPr>
          <w:rStyle w:val="Gl"/>
          <w:rFonts w:ascii="Times New Roman" w:hAnsi="Times New Roman" w:cs="Times New Roman"/>
          <w:b/>
          <w:bCs w:val="0"/>
        </w:rPr>
        <w:t>-201</w:t>
      </w:r>
      <w:r w:rsidR="00056CD3" w:rsidRPr="004E7F7B">
        <w:rPr>
          <w:rStyle w:val="Gl"/>
          <w:rFonts w:ascii="Times New Roman" w:hAnsi="Times New Roman" w:cs="Times New Roman"/>
          <w:b/>
          <w:bCs w:val="0"/>
        </w:rPr>
        <w:t>9</w:t>
      </w:r>
      <w:bookmarkEnd w:id="1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4A0" w:firstRow="1" w:lastRow="0" w:firstColumn="1" w:lastColumn="0" w:noHBand="0" w:noVBand="1"/>
      </w:tblPr>
      <w:tblGrid>
        <w:gridCol w:w="4049"/>
        <w:gridCol w:w="916"/>
        <w:gridCol w:w="916"/>
        <w:gridCol w:w="916"/>
        <w:gridCol w:w="916"/>
        <w:gridCol w:w="779"/>
        <w:gridCol w:w="1054"/>
      </w:tblGrid>
      <w:tr w:rsidR="007D18CF" w:rsidRPr="004E7F7B" w:rsidTr="00963190">
        <w:trPr>
          <w:trHeight w:val="915"/>
        </w:trPr>
        <w:tc>
          <w:tcPr>
            <w:tcW w:w="2120" w:type="pct"/>
            <w:shd w:val="clear" w:color="auto" w:fill="6E9ECA"/>
            <w:noWrap/>
            <w:vAlign w:val="center"/>
            <w:hideMark/>
          </w:tcPr>
          <w:p w:rsidR="007D18CF" w:rsidRPr="004E7F7B" w:rsidRDefault="007D18CF"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Years</w:t>
            </w:r>
          </w:p>
        </w:tc>
        <w:tc>
          <w:tcPr>
            <w:tcW w:w="480" w:type="pct"/>
            <w:shd w:val="clear" w:color="auto" w:fill="6E9ECA"/>
            <w:noWrap/>
            <w:vAlign w:val="center"/>
            <w:hideMark/>
          </w:tcPr>
          <w:p w:rsidR="007D18CF" w:rsidRPr="004E7F7B" w:rsidRDefault="00E660A1"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2015</w:t>
            </w:r>
          </w:p>
        </w:tc>
        <w:tc>
          <w:tcPr>
            <w:tcW w:w="480" w:type="pct"/>
            <w:shd w:val="clear" w:color="auto" w:fill="6E9ECA"/>
            <w:noWrap/>
            <w:vAlign w:val="center"/>
            <w:hideMark/>
          </w:tcPr>
          <w:p w:rsidR="007D18CF" w:rsidRPr="004E7F7B" w:rsidRDefault="00E660A1"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2016</w:t>
            </w:r>
          </w:p>
        </w:tc>
        <w:tc>
          <w:tcPr>
            <w:tcW w:w="480" w:type="pct"/>
            <w:shd w:val="clear" w:color="auto" w:fill="6E9ECA"/>
            <w:vAlign w:val="center"/>
            <w:hideMark/>
          </w:tcPr>
          <w:p w:rsidR="007D18CF" w:rsidRPr="004E7F7B" w:rsidRDefault="00E660A1"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2017</w:t>
            </w:r>
          </w:p>
        </w:tc>
        <w:tc>
          <w:tcPr>
            <w:tcW w:w="480" w:type="pct"/>
            <w:shd w:val="clear" w:color="auto" w:fill="6E9ECA"/>
            <w:vAlign w:val="center"/>
            <w:hideMark/>
          </w:tcPr>
          <w:p w:rsidR="007D18CF" w:rsidRPr="004E7F7B" w:rsidRDefault="00E660A1"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2018</w:t>
            </w:r>
          </w:p>
        </w:tc>
        <w:tc>
          <w:tcPr>
            <w:tcW w:w="408" w:type="pct"/>
            <w:shd w:val="clear" w:color="auto" w:fill="6E9ECA"/>
            <w:noWrap/>
            <w:vAlign w:val="center"/>
            <w:hideMark/>
          </w:tcPr>
          <w:p w:rsidR="007D18CF" w:rsidRPr="004E7F7B" w:rsidRDefault="00E660A1"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2019</w:t>
            </w:r>
          </w:p>
        </w:tc>
        <w:tc>
          <w:tcPr>
            <w:tcW w:w="552" w:type="pct"/>
            <w:shd w:val="clear" w:color="auto" w:fill="6E9ECA"/>
            <w:vAlign w:val="center"/>
            <w:hideMark/>
          </w:tcPr>
          <w:p w:rsidR="007D18CF" w:rsidRPr="004E7F7B" w:rsidRDefault="007D18CF"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Total/</w:t>
            </w:r>
            <w:r w:rsidR="00963190">
              <w:rPr>
                <w:rFonts w:ascii="Times New Roman" w:eastAsia="Times New Roman" w:hAnsi="Times New Roman" w:cs="Times New Roman"/>
                <w:b/>
                <w:bCs/>
                <w:color w:val="FFFFFF" w:themeColor="background1"/>
                <w:lang w:eastAsia="tr-TR"/>
              </w:rPr>
              <w:t xml:space="preserve"> </w:t>
            </w:r>
            <w:r w:rsidRPr="004E7F7B">
              <w:rPr>
                <w:rFonts w:ascii="Times New Roman" w:eastAsia="Times New Roman" w:hAnsi="Times New Roman" w:cs="Times New Roman"/>
                <w:b/>
                <w:bCs/>
                <w:color w:val="FFFFFF" w:themeColor="background1"/>
                <w:lang w:eastAsia="tr-TR"/>
              </w:rPr>
              <w:t>Average Figures</w:t>
            </w:r>
          </w:p>
        </w:tc>
      </w:tr>
      <w:tr w:rsidR="007D18CF" w:rsidRPr="004E7F7B" w:rsidTr="00963190">
        <w:trPr>
          <w:trHeight w:hRule="exact" w:val="486"/>
        </w:trPr>
        <w:tc>
          <w:tcPr>
            <w:tcW w:w="2120" w:type="pct"/>
            <w:shd w:val="clear" w:color="auto" w:fill="auto"/>
            <w:noWrap/>
            <w:vAlign w:val="center"/>
            <w:hideMark/>
          </w:tcPr>
          <w:p w:rsidR="007D18CF" w:rsidRPr="004E7F7B" w:rsidRDefault="007D18C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Total Number of Decision</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6.729</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7.693</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6.673</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w:t>
            </w:r>
            <w:r w:rsidR="007D18CF" w:rsidRPr="004E7F7B">
              <w:rPr>
                <w:rFonts w:ascii="Times New Roman" w:eastAsia="Times New Roman" w:hAnsi="Times New Roman" w:cs="Times New Roman"/>
                <w:color w:val="000000"/>
                <w:lang w:eastAsia="tr-TR"/>
              </w:rPr>
              <w:t>3</w:t>
            </w:r>
            <w:r w:rsidRPr="004E7F7B">
              <w:rPr>
                <w:rFonts w:ascii="Times New Roman" w:eastAsia="Times New Roman" w:hAnsi="Times New Roman" w:cs="Times New Roman"/>
                <w:color w:val="000000"/>
                <w:lang w:eastAsia="tr-TR"/>
              </w:rPr>
              <w:t>66</w:t>
            </w:r>
          </w:p>
        </w:tc>
        <w:tc>
          <w:tcPr>
            <w:tcW w:w="408" w:type="pct"/>
            <w:shd w:val="clear" w:color="auto" w:fill="auto"/>
            <w:noWrap/>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9.398</w:t>
            </w:r>
          </w:p>
        </w:tc>
        <w:tc>
          <w:tcPr>
            <w:tcW w:w="552" w:type="pct"/>
            <w:shd w:val="clear" w:color="auto" w:fill="auto"/>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7.772</w:t>
            </w:r>
          </w:p>
        </w:tc>
      </w:tr>
      <w:tr w:rsidR="007D18CF" w:rsidRPr="004E7F7B" w:rsidTr="00963190">
        <w:trPr>
          <w:trHeight w:hRule="exact" w:val="421"/>
        </w:trPr>
        <w:tc>
          <w:tcPr>
            <w:tcW w:w="2120" w:type="pct"/>
            <w:shd w:val="clear" w:color="auto" w:fill="auto"/>
            <w:noWrap/>
            <w:vAlign w:val="center"/>
            <w:hideMark/>
          </w:tcPr>
          <w:p w:rsidR="007D18CF" w:rsidRPr="004E7F7B" w:rsidRDefault="007D18C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Number of Meetings</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65</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56</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54</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58</w:t>
            </w:r>
          </w:p>
        </w:tc>
        <w:tc>
          <w:tcPr>
            <w:tcW w:w="408" w:type="pct"/>
            <w:shd w:val="clear" w:color="auto" w:fill="auto"/>
            <w:noWrap/>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53</w:t>
            </w:r>
          </w:p>
        </w:tc>
        <w:tc>
          <w:tcPr>
            <w:tcW w:w="552" w:type="pct"/>
            <w:shd w:val="clear" w:color="auto" w:fill="auto"/>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57</w:t>
            </w:r>
          </w:p>
        </w:tc>
      </w:tr>
      <w:tr w:rsidR="007D18CF" w:rsidRPr="004E7F7B" w:rsidTr="00963190">
        <w:trPr>
          <w:trHeight w:hRule="exact" w:val="507"/>
        </w:trPr>
        <w:tc>
          <w:tcPr>
            <w:tcW w:w="2120" w:type="pct"/>
            <w:shd w:val="clear" w:color="auto" w:fill="auto"/>
            <w:noWrap/>
            <w:vAlign w:val="center"/>
            <w:hideMark/>
          </w:tcPr>
          <w:p w:rsidR="007D18CF" w:rsidRPr="004E7F7B" w:rsidRDefault="007D18C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Average number of Decision per meeting</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104</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137</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124</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144</w:t>
            </w:r>
          </w:p>
        </w:tc>
        <w:tc>
          <w:tcPr>
            <w:tcW w:w="408" w:type="pct"/>
            <w:shd w:val="clear" w:color="auto" w:fill="auto"/>
            <w:noWrap/>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177</w:t>
            </w:r>
          </w:p>
        </w:tc>
        <w:tc>
          <w:tcPr>
            <w:tcW w:w="552" w:type="pct"/>
            <w:shd w:val="clear" w:color="auto" w:fill="auto"/>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w:t>
            </w:r>
            <w:r w:rsidR="007D18CF" w:rsidRPr="004E7F7B">
              <w:rPr>
                <w:rFonts w:ascii="Times New Roman" w:eastAsia="Times New Roman" w:hAnsi="Times New Roman" w:cs="Times New Roman"/>
                <w:color w:val="000000"/>
                <w:lang w:eastAsia="tr-TR"/>
              </w:rPr>
              <w:t>7</w:t>
            </w:r>
          </w:p>
        </w:tc>
      </w:tr>
      <w:tr w:rsidR="007D18CF" w:rsidRPr="004E7F7B" w:rsidTr="00963190">
        <w:trPr>
          <w:trHeight w:hRule="exact" w:val="429"/>
        </w:trPr>
        <w:tc>
          <w:tcPr>
            <w:tcW w:w="2120" w:type="pct"/>
            <w:shd w:val="clear" w:color="auto" w:fill="auto"/>
            <w:noWrap/>
            <w:vAlign w:val="center"/>
            <w:hideMark/>
          </w:tcPr>
          <w:p w:rsidR="007D18CF" w:rsidRPr="004E7F7B" w:rsidRDefault="007D18C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Average number of Decision per week</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130</w:t>
            </w:r>
          </w:p>
        </w:tc>
        <w:tc>
          <w:tcPr>
            <w:tcW w:w="480" w:type="pct"/>
            <w:shd w:val="clear" w:color="auto" w:fill="auto"/>
            <w:noWrap/>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147</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128</w:t>
            </w:r>
          </w:p>
        </w:tc>
        <w:tc>
          <w:tcPr>
            <w:tcW w:w="480" w:type="pct"/>
            <w:shd w:val="clear" w:color="auto" w:fill="auto"/>
            <w:vAlign w:val="center"/>
            <w:hideMark/>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161</w:t>
            </w:r>
          </w:p>
        </w:tc>
        <w:tc>
          <w:tcPr>
            <w:tcW w:w="408" w:type="pct"/>
            <w:shd w:val="clear" w:color="auto" w:fill="auto"/>
            <w:noWrap/>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181</w:t>
            </w:r>
          </w:p>
        </w:tc>
        <w:tc>
          <w:tcPr>
            <w:tcW w:w="552" w:type="pct"/>
            <w:shd w:val="clear" w:color="auto" w:fill="auto"/>
            <w:vAlign w:val="center"/>
          </w:tcPr>
          <w:p w:rsidR="007D18CF" w:rsidRPr="004E7F7B" w:rsidRDefault="00E660A1"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149</w:t>
            </w:r>
          </w:p>
        </w:tc>
      </w:tr>
    </w:tbl>
    <w:p w:rsidR="007D18CF" w:rsidRPr="004E7F7B" w:rsidRDefault="007D18CF" w:rsidP="004E7F7B">
      <w:pPr>
        <w:spacing w:after="120" w:line="240" w:lineRule="auto"/>
        <w:rPr>
          <w:rFonts w:ascii="Times New Roman" w:hAnsi="Times New Roman" w:cs="Times New Roman"/>
        </w:rPr>
      </w:pPr>
    </w:p>
    <w:p w:rsidR="003A74F3" w:rsidRPr="004E7F7B" w:rsidRDefault="003A74F3" w:rsidP="00521DE9">
      <w:r w:rsidRPr="004E7F7B">
        <w:t xml:space="preserve">As shown in the tables, in the period between </w:t>
      </w:r>
      <w:r w:rsidR="00E660A1" w:rsidRPr="004E7F7B">
        <w:t>2015-2019</w:t>
      </w:r>
      <w:r w:rsidRPr="004E7F7B">
        <w:t xml:space="preserve">, the Board took an average of </w:t>
      </w:r>
      <w:r w:rsidR="00E660A1" w:rsidRPr="004E7F7B">
        <w:t>7.772</w:t>
      </w:r>
      <w:r w:rsidRPr="004E7F7B">
        <w:t xml:space="preserve"> decisions in a year. In th</w:t>
      </w:r>
      <w:r w:rsidR="00E660A1" w:rsidRPr="004E7F7B">
        <w:t>e said period, an average of 13</w:t>
      </w:r>
      <w:r w:rsidRPr="004E7F7B">
        <w:t>7 Boa</w:t>
      </w:r>
      <w:r w:rsidR="00E660A1" w:rsidRPr="004E7F7B">
        <w:t>rd Decisions per meeting and 149</w:t>
      </w:r>
      <w:r w:rsidRPr="004E7F7B">
        <w:t xml:space="preserve"> Decisions per week was taken. In the said period, about </w:t>
      </w:r>
      <w:r w:rsidR="00E660A1" w:rsidRPr="004E7F7B">
        <w:t>39</w:t>
      </w:r>
      <w:r w:rsidRPr="004E7F7B">
        <w:t xml:space="preserve">% of the Board Decisions were related with audit, 23% about electricity market and </w:t>
      </w:r>
      <w:r w:rsidR="00E660A1" w:rsidRPr="004E7F7B">
        <w:t>22</w:t>
      </w:r>
      <w:r w:rsidRPr="004E7F7B">
        <w:t xml:space="preserve">% about expropriation activities.  </w:t>
      </w:r>
    </w:p>
    <w:p w:rsidR="003A74F3" w:rsidRPr="004E7F7B" w:rsidRDefault="003A74F3" w:rsidP="004E7F7B">
      <w:pPr>
        <w:spacing w:after="120" w:line="240" w:lineRule="auto"/>
        <w:rPr>
          <w:rFonts w:ascii="Times New Roman" w:hAnsi="Times New Roman" w:cs="Times New Roman"/>
        </w:rPr>
      </w:pPr>
    </w:p>
    <w:p w:rsidR="007A299F" w:rsidRPr="004E7F7B" w:rsidRDefault="007A299F" w:rsidP="004E7F7B">
      <w:pPr>
        <w:pStyle w:val="Balk5"/>
        <w:jc w:val="both"/>
        <w:rPr>
          <w:rFonts w:ascii="Times New Roman" w:hAnsi="Times New Roman" w:cs="Times New Roman"/>
        </w:rPr>
      </w:pPr>
      <w:bookmarkStart w:id="17" w:name="_Toc6684333"/>
      <w:bookmarkStart w:id="18" w:name="_Toc48818012"/>
      <w:r w:rsidRPr="004E7F7B">
        <w:rPr>
          <w:rStyle w:val="Gl"/>
          <w:rFonts w:ascii="Times New Roman" w:hAnsi="Times New Roman" w:cs="Times New Roman"/>
          <w:b/>
          <w:bCs w:val="0"/>
        </w:rPr>
        <w:lastRenderedPageBreak/>
        <w:t xml:space="preserve">Figure 1.2: </w:t>
      </w:r>
      <w:bookmarkEnd w:id="17"/>
      <w:r w:rsidRPr="004E7F7B">
        <w:rPr>
          <w:rStyle w:val="Gl"/>
          <w:rFonts w:ascii="Times New Roman" w:hAnsi="Times New Roman" w:cs="Times New Roman"/>
          <w:b/>
          <w:bCs w:val="0"/>
        </w:rPr>
        <w:t>Breakdown of The Board D</w:t>
      </w:r>
      <w:r w:rsidR="003B585D" w:rsidRPr="004E7F7B">
        <w:rPr>
          <w:rStyle w:val="Gl"/>
          <w:rFonts w:ascii="Times New Roman" w:hAnsi="Times New Roman" w:cs="Times New Roman"/>
          <w:b/>
          <w:bCs w:val="0"/>
        </w:rPr>
        <w:t>ecision Taken in the P</w:t>
      </w:r>
      <w:r w:rsidR="004B62E4" w:rsidRPr="004E7F7B">
        <w:rPr>
          <w:rStyle w:val="Gl"/>
          <w:rFonts w:ascii="Times New Roman" w:hAnsi="Times New Roman" w:cs="Times New Roman"/>
          <w:b/>
          <w:bCs w:val="0"/>
        </w:rPr>
        <w:t>eriod 2015</w:t>
      </w:r>
      <w:r w:rsidRPr="004E7F7B">
        <w:rPr>
          <w:rStyle w:val="Gl"/>
          <w:rFonts w:ascii="Times New Roman" w:hAnsi="Times New Roman" w:cs="Times New Roman"/>
          <w:b/>
          <w:bCs w:val="0"/>
        </w:rPr>
        <w:t>-201</w:t>
      </w:r>
      <w:r w:rsidR="004B62E4" w:rsidRPr="004E7F7B">
        <w:rPr>
          <w:rStyle w:val="Gl"/>
          <w:rFonts w:ascii="Times New Roman" w:hAnsi="Times New Roman" w:cs="Times New Roman"/>
          <w:b/>
          <w:bCs w:val="0"/>
        </w:rPr>
        <w:t>9</w:t>
      </w:r>
      <w:bookmarkEnd w:id="18"/>
    </w:p>
    <w:p w:rsidR="00FC0A0B" w:rsidRPr="004E7F7B" w:rsidRDefault="00963190" w:rsidP="00963190">
      <w:pPr>
        <w:spacing w:after="120" w:line="240" w:lineRule="auto"/>
        <w:rPr>
          <w:rFonts w:ascii="Times New Roman" w:hAnsi="Times New Roman" w:cs="Times New Roman"/>
        </w:rPr>
      </w:pPr>
      <w:r>
        <w:rPr>
          <w:lang w:val="tr-TR" w:eastAsia="tr-TR"/>
        </w:rPr>
        <w:drawing>
          <wp:inline distT="0" distB="0" distL="0" distR="0" wp14:anchorId="5FC05B9E" wp14:editId="2F90C969">
            <wp:extent cx="5940000" cy="3009600"/>
            <wp:effectExtent l="0" t="0" r="3810" b="63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23290" w:rsidRPr="004E7F7B" w:rsidRDefault="00423290" w:rsidP="004E7F7B">
      <w:pPr>
        <w:spacing w:after="120" w:line="240" w:lineRule="auto"/>
        <w:ind w:left="720"/>
        <w:rPr>
          <w:rFonts w:ascii="Times New Roman" w:hAnsi="Times New Roman" w:cs="Times New Roman"/>
        </w:rPr>
      </w:pPr>
    </w:p>
    <w:p w:rsidR="00D86E98" w:rsidRPr="004E7F7B" w:rsidRDefault="00D86E98" w:rsidP="00521DE9">
      <w:r w:rsidRPr="004E7F7B">
        <w:t xml:space="preserve">Decisions of administrative sanctions of the Board can be litigated at the Competent Administrative Court.  Any lawsuits against Board Decisions are deemed as having priority. </w:t>
      </w:r>
    </w:p>
    <w:p w:rsidR="00D86E98" w:rsidRPr="004E7F7B" w:rsidRDefault="00D86E98" w:rsidP="00521DE9">
      <w:r w:rsidRPr="004E7F7B">
        <w:t xml:space="preserve">The Authority is entrusted with various duties and powers by the related laws and such duties and powers are also stated in the Articles 5, 5/A, 5/B and 5/C of the Electricity Market Law No: 4628.  </w:t>
      </w:r>
    </w:p>
    <w:p w:rsidR="00423290" w:rsidRPr="004E7F7B" w:rsidRDefault="00423290" w:rsidP="004E7F7B">
      <w:pPr>
        <w:spacing w:after="120" w:line="240" w:lineRule="auto"/>
        <w:rPr>
          <w:rFonts w:ascii="Times New Roman" w:hAnsi="Times New Roman" w:cs="Times New Roman"/>
        </w:rPr>
      </w:pPr>
    </w:p>
    <w:p w:rsidR="00D86E98" w:rsidRPr="004E7F7B" w:rsidRDefault="00D86E98" w:rsidP="007B4A7D">
      <w:pPr>
        <w:pStyle w:val="Balk3"/>
        <w:numPr>
          <w:ilvl w:val="2"/>
          <w:numId w:val="9"/>
        </w:numPr>
        <w:rPr>
          <w:rFonts w:ascii="Times New Roman" w:hAnsi="Times New Roman" w:cs="Times New Roman"/>
          <w:sz w:val="22"/>
          <w:szCs w:val="22"/>
        </w:rPr>
      </w:pPr>
      <w:bookmarkStart w:id="19" w:name="_Toc48817816"/>
      <w:r w:rsidRPr="004E7F7B">
        <w:rPr>
          <w:rFonts w:ascii="Times New Roman" w:hAnsi="Times New Roman" w:cs="Times New Roman"/>
          <w:sz w:val="22"/>
          <w:szCs w:val="22"/>
        </w:rPr>
        <w:t>The Presidency</w:t>
      </w:r>
      <w:bookmarkEnd w:id="19"/>
    </w:p>
    <w:p w:rsidR="002E3D3F" w:rsidRPr="004E7F7B" w:rsidRDefault="002E3D3F" w:rsidP="00521DE9">
      <w:r w:rsidRPr="004E7F7B">
        <w:t>The Chairman of the Board is also the President of the Authority. The organization and coordination among the Board Members and the service units are performed by the President. The President is responsible for the enforcement and the execution of the Board decisions and representation of the Board. These responsibilities also include the communication to the public of the works of the Board. All the decisions of the Authority ex</w:t>
      </w:r>
      <w:r w:rsidR="00FB450F" w:rsidRPr="004E7F7B">
        <w:t>cept for the powers entrusted</w:t>
      </w:r>
      <w:r w:rsidRPr="004E7F7B">
        <w:t xml:space="preserve"> to the staff by the President are taken by the Board. The Board assigns tasks to or authorizes the President in subjects it deems appropriate. </w:t>
      </w:r>
    </w:p>
    <w:p w:rsidR="002E3D3F" w:rsidRPr="004E7F7B" w:rsidRDefault="002E3D3F" w:rsidP="00521DE9">
      <w:r w:rsidRPr="004E7F7B">
        <w:t xml:space="preserve">The Second President assumes all duties and powers of the President in the absence of the President. </w:t>
      </w:r>
    </w:p>
    <w:p w:rsidR="002E3D3F" w:rsidRPr="004E7F7B" w:rsidRDefault="002E3D3F" w:rsidP="00521DE9">
      <w:r w:rsidRPr="004E7F7B">
        <w:t xml:space="preserve">With a Board Decision, two Vice Presidents may be assigned to help the President perform his/her duties related with the Presidency. Vice Presidents are responsible for the execution of the duties assigned by the President and for the coordination among the related service units. </w:t>
      </w:r>
    </w:p>
    <w:p w:rsidR="002E3D3F" w:rsidRPr="004E7F7B" w:rsidRDefault="002E3D3F" w:rsidP="00521DE9">
      <w:r w:rsidRPr="004E7F7B">
        <w:t>The duties and powers of the Presidency are stated in the paragraph 10 of Article 5 of the Law Numbered 4628.</w:t>
      </w:r>
    </w:p>
    <w:p w:rsidR="004B62E4" w:rsidRPr="004E7F7B" w:rsidRDefault="004B62E4" w:rsidP="004E7F7B">
      <w:pPr>
        <w:spacing w:after="120" w:line="240" w:lineRule="auto"/>
        <w:ind w:left="360"/>
        <w:rPr>
          <w:rFonts w:ascii="Times New Roman" w:hAnsi="Times New Roman" w:cs="Times New Roman"/>
        </w:rPr>
      </w:pPr>
    </w:p>
    <w:p w:rsidR="00963190" w:rsidRDefault="00963190">
      <w:pPr>
        <w:rPr>
          <w:rFonts w:ascii="Times New Roman" w:hAnsi="Times New Roman" w:cs="Times New Roman"/>
        </w:rPr>
      </w:pPr>
      <w:r>
        <w:rPr>
          <w:rFonts w:ascii="Times New Roman" w:hAnsi="Times New Roman" w:cs="Times New Roman"/>
        </w:rPr>
        <w:br w:type="page"/>
      </w:r>
    </w:p>
    <w:p w:rsidR="002E3D3F" w:rsidRPr="004E7F7B" w:rsidRDefault="002E3D3F" w:rsidP="007B4A7D">
      <w:pPr>
        <w:pStyle w:val="Balk3"/>
        <w:numPr>
          <w:ilvl w:val="2"/>
          <w:numId w:val="9"/>
        </w:numPr>
        <w:rPr>
          <w:rFonts w:ascii="Times New Roman" w:hAnsi="Times New Roman" w:cs="Times New Roman"/>
          <w:sz w:val="22"/>
          <w:szCs w:val="22"/>
        </w:rPr>
      </w:pPr>
      <w:bookmarkStart w:id="20" w:name="_Toc48817817"/>
      <w:r w:rsidRPr="004E7F7B">
        <w:rPr>
          <w:rFonts w:ascii="Times New Roman" w:hAnsi="Times New Roman" w:cs="Times New Roman"/>
          <w:sz w:val="22"/>
          <w:szCs w:val="22"/>
        </w:rPr>
        <w:lastRenderedPageBreak/>
        <w:t>Service Units</w:t>
      </w:r>
      <w:bookmarkEnd w:id="20"/>
    </w:p>
    <w:p w:rsidR="002E3D3F" w:rsidRPr="004E7F7B" w:rsidRDefault="002E3D3F" w:rsidP="004E7F7B">
      <w:pPr>
        <w:spacing w:after="120" w:line="240" w:lineRule="auto"/>
        <w:ind w:left="360"/>
        <w:rPr>
          <w:rFonts w:ascii="Times New Roman" w:hAnsi="Times New Roman" w:cs="Times New Roman"/>
          <w:b/>
        </w:rPr>
      </w:pPr>
    </w:p>
    <w:p w:rsidR="002E3D3F" w:rsidRPr="004E7F7B" w:rsidRDefault="002E3D3F" w:rsidP="00521DE9">
      <w:r w:rsidRPr="004E7F7B">
        <w:t xml:space="preserve">The service units of the Authority and the duties and responsibilities of the same, the titles and numbers of the cadres are set forth by the “Law on Organization and Duties of the Energy Market Regulatory Authority No:4628” and ‘Regulation on the Organizational Structure of EMRA and the Working Principles and Procedures Applicable to its Employees’, published in the Official Gazette dated 18/05/2014 and numbered 29004. </w:t>
      </w:r>
    </w:p>
    <w:p w:rsidR="002E3D3F" w:rsidRPr="004E7F7B" w:rsidRDefault="002E3D3F" w:rsidP="004E7F7B">
      <w:pPr>
        <w:spacing w:after="120" w:line="240" w:lineRule="auto"/>
        <w:ind w:left="360"/>
        <w:rPr>
          <w:rFonts w:ascii="Times New Roman" w:hAnsi="Times New Roman" w:cs="Times New Roman"/>
        </w:rPr>
      </w:pPr>
      <w:r w:rsidRPr="004E7F7B">
        <w:rPr>
          <w:rFonts w:ascii="Times New Roman" w:hAnsi="Times New Roman" w:cs="Times New Roman"/>
        </w:rPr>
        <w:t>Hereunder are the service units as defined in the Law No:4628</w:t>
      </w:r>
      <w:r w:rsidRPr="004E7F7B">
        <w:rPr>
          <w:rFonts w:ascii="Times New Roman" w:hAnsi="Times New Roman" w:cs="Times New Roman"/>
          <w:vertAlign w:val="superscript"/>
        </w:rPr>
        <w:t>1</w:t>
      </w:r>
      <w:r w:rsidRPr="004E7F7B">
        <w:rPr>
          <w:rFonts w:ascii="Times New Roman" w:hAnsi="Times New Roman" w:cs="Times New Roman"/>
        </w:rPr>
        <w:t xml:space="preserve">;  </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Electricity Market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Natural Gas Market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Petroleum Market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Liquefied Petroleum Gases Market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Tariffs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Audit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Expropriation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Legal Department</w:t>
      </w:r>
    </w:p>
    <w:p w:rsidR="004B62E4" w:rsidRPr="004E7F7B" w:rsidRDefault="004B62E4"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Information Technology Department</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 xml:space="preserve">Strategy Development Department </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 xml:space="preserve">Human Resources and Support Services Department </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 xml:space="preserve">Office of Press and Public Relations Counsellor </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 xml:space="preserve">Special Bureau for the Board </w:t>
      </w:r>
    </w:p>
    <w:p w:rsidR="002E3D3F" w:rsidRPr="004E7F7B" w:rsidRDefault="002E3D3F" w:rsidP="004E7F7B">
      <w:pPr>
        <w:pStyle w:val="ListeParagraf"/>
        <w:numPr>
          <w:ilvl w:val="0"/>
          <w:numId w:val="1"/>
        </w:numPr>
        <w:spacing w:after="120" w:line="240" w:lineRule="auto"/>
        <w:ind w:left="1080"/>
        <w:rPr>
          <w:rFonts w:ascii="Times New Roman" w:hAnsi="Times New Roman" w:cs="Times New Roman"/>
        </w:rPr>
      </w:pPr>
      <w:r w:rsidRPr="004E7F7B">
        <w:rPr>
          <w:rFonts w:ascii="Times New Roman" w:hAnsi="Times New Roman" w:cs="Times New Roman"/>
        </w:rPr>
        <w:t xml:space="preserve">Special Bureau for the President </w:t>
      </w:r>
    </w:p>
    <w:p w:rsidR="001137DC" w:rsidRPr="004E7F7B" w:rsidRDefault="001137DC" w:rsidP="004E7F7B">
      <w:pPr>
        <w:spacing w:after="120" w:line="240" w:lineRule="auto"/>
        <w:ind w:left="360"/>
        <w:rPr>
          <w:rFonts w:ascii="Times New Roman" w:hAnsi="Times New Roman" w:cs="Times New Roman"/>
          <w:b/>
        </w:rPr>
      </w:pPr>
    </w:p>
    <w:p w:rsidR="001137DC" w:rsidRPr="004E7F7B" w:rsidRDefault="001137DC" w:rsidP="004E7F7B">
      <w:pPr>
        <w:spacing w:line="240" w:lineRule="auto"/>
        <w:rPr>
          <w:rFonts w:ascii="Times New Roman" w:hAnsi="Times New Roman" w:cs="Times New Roman"/>
        </w:rPr>
      </w:pPr>
    </w:p>
    <w:p w:rsidR="001137DC" w:rsidRPr="004E7F7B" w:rsidRDefault="001137DC" w:rsidP="004E7F7B">
      <w:pPr>
        <w:spacing w:line="240" w:lineRule="auto"/>
        <w:rPr>
          <w:rFonts w:ascii="Times New Roman" w:hAnsi="Times New Roman" w:cs="Times New Roman"/>
        </w:rPr>
      </w:pPr>
    </w:p>
    <w:p w:rsidR="001137DC" w:rsidRPr="004E7F7B" w:rsidRDefault="001137DC" w:rsidP="004E7F7B">
      <w:pPr>
        <w:spacing w:line="240" w:lineRule="auto"/>
        <w:rPr>
          <w:rFonts w:ascii="Times New Roman" w:hAnsi="Times New Roman" w:cs="Times New Roman"/>
        </w:rPr>
      </w:pPr>
    </w:p>
    <w:p w:rsidR="001137DC" w:rsidRPr="004E7F7B" w:rsidRDefault="001137DC" w:rsidP="004E7F7B">
      <w:pPr>
        <w:tabs>
          <w:tab w:val="left" w:pos="2612"/>
        </w:tabs>
        <w:spacing w:line="240" w:lineRule="auto"/>
        <w:rPr>
          <w:rFonts w:ascii="Times New Roman" w:hAnsi="Times New Roman" w:cs="Times New Roman"/>
        </w:rPr>
      </w:pPr>
      <w:r w:rsidRPr="004E7F7B">
        <w:rPr>
          <w:rFonts w:ascii="Times New Roman" w:hAnsi="Times New Roman" w:cs="Times New Roman"/>
        </w:rPr>
        <w:tab/>
      </w:r>
    </w:p>
    <w:p w:rsidR="003F573B" w:rsidRPr="004E7F7B" w:rsidRDefault="001137DC" w:rsidP="004E7F7B">
      <w:pPr>
        <w:tabs>
          <w:tab w:val="left" w:pos="2612"/>
        </w:tabs>
        <w:spacing w:line="240" w:lineRule="auto"/>
        <w:rPr>
          <w:rFonts w:ascii="Times New Roman" w:hAnsi="Times New Roman" w:cs="Times New Roman"/>
        </w:rPr>
      </w:pPr>
      <w:r w:rsidRPr="004E7F7B">
        <w:rPr>
          <w:rFonts w:ascii="Times New Roman" w:hAnsi="Times New Roman" w:cs="Times New Roman"/>
        </w:rPr>
        <w:tab/>
      </w:r>
    </w:p>
    <w:p w:rsidR="003F573B" w:rsidRPr="004E7F7B" w:rsidRDefault="003F573B" w:rsidP="004E7F7B">
      <w:pPr>
        <w:spacing w:line="240" w:lineRule="auto"/>
        <w:rPr>
          <w:rFonts w:ascii="Times New Roman" w:hAnsi="Times New Roman" w:cs="Times New Roman"/>
        </w:rPr>
      </w:pPr>
    </w:p>
    <w:p w:rsidR="004B62E4" w:rsidRPr="004E7F7B" w:rsidRDefault="004B62E4" w:rsidP="004E7F7B">
      <w:pPr>
        <w:spacing w:line="240" w:lineRule="auto"/>
        <w:rPr>
          <w:rFonts w:ascii="Times New Roman" w:hAnsi="Times New Roman" w:cs="Times New Roman"/>
        </w:rPr>
      </w:pPr>
    </w:p>
    <w:p w:rsidR="003F573B" w:rsidRPr="004E7F7B" w:rsidRDefault="003F573B" w:rsidP="004E7F7B">
      <w:pPr>
        <w:spacing w:line="240" w:lineRule="auto"/>
        <w:rPr>
          <w:rFonts w:ascii="Times New Roman" w:hAnsi="Times New Roman" w:cs="Times New Roman"/>
        </w:rPr>
      </w:pPr>
    </w:p>
    <w:p w:rsidR="003F573B" w:rsidRPr="004E7F7B" w:rsidRDefault="003F573B" w:rsidP="004E7F7B">
      <w:pPr>
        <w:tabs>
          <w:tab w:val="left" w:pos="2813"/>
        </w:tabs>
        <w:spacing w:line="240" w:lineRule="auto"/>
        <w:rPr>
          <w:rFonts w:ascii="Times New Roman" w:hAnsi="Times New Roman" w:cs="Times New Roman"/>
        </w:rPr>
      </w:pPr>
      <w:r w:rsidRPr="004E7F7B">
        <w:rPr>
          <w:rFonts w:ascii="Times New Roman" w:hAnsi="Times New Roman" w:cs="Times New Roman"/>
        </w:rPr>
        <w:tab/>
      </w:r>
    </w:p>
    <w:p w:rsidR="00E53D55" w:rsidRPr="004E7F7B" w:rsidRDefault="00E53D55" w:rsidP="004E7F7B">
      <w:pPr>
        <w:tabs>
          <w:tab w:val="left" w:pos="2813"/>
        </w:tabs>
        <w:spacing w:line="240" w:lineRule="auto"/>
        <w:rPr>
          <w:rFonts w:ascii="Times New Roman" w:hAnsi="Times New Roman" w:cs="Times New Roman"/>
        </w:rPr>
      </w:pPr>
    </w:p>
    <w:p w:rsidR="004B62E4" w:rsidRPr="004E7F7B" w:rsidRDefault="004B62E4" w:rsidP="004E7F7B">
      <w:pPr>
        <w:pBdr>
          <w:bottom w:val="single" w:sz="4" w:space="1" w:color="auto"/>
        </w:pBdr>
        <w:tabs>
          <w:tab w:val="left" w:pos="2813"/>
        </w:tabs>
        <w:spacing w:line="240" w:lineRule="auto"/>
        <w:rPr>
          <w:rFonts w:ascii="Times New Roman" w:hAnsi="Times New Roman" w:cs="Times New Roman"/>
        </w:rPr>
      </w:pPr>
    </w:p>
    <w:p w:rsidR="00E55E97" w:rsidRPr="00521DE9" w:rsidRDefault="00521DE9" w:rsidP="004E7F7B">
      <w:pPr>
        <w:tabs>
          <w:tab w:val="left" w:pos="4184"/>
        </w:tabs>
        <w:spacing w:line="240" w:lineRule="auto"/>
        <w:rPr>
          <w:rFonts w:ascii="Times New Roman" w:hAnsi="Times New Roman" w:cs="Times New Roman"/>
          <w:sz w:val="20"/>
          <w:szCs w:val="20"/>
        </w:rPr>
      </w:pPr>
      <w:r w:rsidRPr="00521DE9">
        <w:rPr>
          <w:rFonts w:ascii="Times New Roman" w:hAnsi="Times New Roman" w:cs="Times New Roman"/>
          <w:sz w:val="20"/>
          <w:szCs w:val="20"/>
          <w:vertAlign w:val="superscript"/>
        </w:rPr>
        <w:t>1</w:t>
      </w:r>
      <w:r w:rsidR="00B9432D" w:rsidRPr="00521DE9">
        <w:rPr>
          <w:rFonts w:ascii="Times New Roman" w:hAnsi="Times New Roman" w:cs="Times New Roman"/>
          <w:sz w:val="20"/>
          <w:szCs w:val="20"/>
        </w:rPr>
        <w:t>A new clasue was added to the Article 29 of the Law No. 7164 on the Amendment to the Mining Law and Certain Laws and Decree Laws published in the Official Gazette dated 28.02.2019 and numbered 30700 and to the Article 9 of the Law No. 4628 on the Organization and Duties of the Energy Market Regulatory Authority and IT Department was established.</w:t>
      </w:r>
    </w:p>
    <w:p w:rsidR="00486920" w:rsidRPr="004E7F7B" w:rsidRDefault="00486920" w:rsidP="004E7F7B">
      <w:pPr>
        <w:tabs>
          <w:tab w:val="center" w:pos="4703"/>
        </w:tabs>
        <w:spacing w:line="240" w:lineRule="auto"/>
        <w:rPr>
          <w:rFonts w:ascii="Times New Roman" w:hAnsi="Times New Roman" w:cs="Times New Roman"/>
        </w:rPr>
        <w:sectPr w:rsidR="00486920" w:rsidRPr="004E7F7B" w:rsidSect="00417758">
          <w:pgSz w:w="12240" w:h="15840"/>
          <w:pgMar w:top="1417" w:right="1417" w:bottom="1417" w:left="1417" w:header="708" w:footer="708" w:gutter="0"/>
          <w:pgNumType w:start="1"/>
          <w:cols w:space="708"/>
          <w:titlePg/>
          <w:docGrid w:linePitch="360"/>
        </w:sectPr>
      </w:pPr>
    </w:p>
    <w:p w:rsidR="001137DC" w:rsidRPr="004E7F7B" w:rsidRDefault="00A4094E" w:rsidP="004E7F7B">
      <w:pPr>
        <w:spacing w:after="120" w:line="240" w:lineRule="auto"/>
        <w:rPr>
          <w:rFonts w:ascii="Times New Roman" w:eastAsia="Calibri" w:hAnsi="Times New Roman" w:cs="Times New Roman"/>
          <w:lang w:val="tr-TR"/>
        </w:rPr>
        <w:sectPr w:rsidR="001137DC" w:rsidRPr="004E7F7B" w:rsidSect="003F573B">
          <w:footerReference w:type="default" r:id="rId13"/>
          <w:pgSz w:w="15840" w:h="12240" w:orient="landscape"/>
          <w:pgMar w:top="1417" w:right="1417" w:bottom="1417" w:left="1417" w:header="708" w:footer="708" w:gutter="0"/>
          <w:pgNumType w:start="0"/>
          <w:cols w:space="708"/>
          <w:docGrid w:linePitch="360"/>
        </w:sectPr>
      </w:pPr>
      <w:r>
        <w:rPr>
          <w:rFonts w:ascii="Times New Roman" w:eastAsia="Calibri" w:hAnsi="Times New Roman" w:cs="Times New Roman"/>
          <w:lang w:val="tr-TR" w:eastAsia="tr-TR"/>
        </w:rPr>
        <w:lastRenderedPageBreak/>
        <w:drawing>
          <wp:inline distT="0" distB="0" distL="0" distR="0">
            <wp:extent cx="8280000" cy="5852160"/>
            <wp:effectExtent l="0" t="0" r="83185" b="0"/>
            <wp:docPr id="6" name="Diy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E3D3F" w:rsidRPr="004E7F7B" w:rsidRDefault="00E739E4" w:rsidP="007B4A7D">
      <w:pPr>
        <w:pStyle w:val="Balk2"/>
        <w:numPr>
          <w:ilvl w:val="1"/>
          <w:numId w:val="9"/>
        </w:numPr>
        <w:rPr>
          <w:rFonts w:ascii="Times New Roman" w:hAnsi="Times New Roman" w:cs="Times New Roman"/>
          <w:sz w:val="22"/>
          <w:szCs w:val="22"/>
        </w:rPr>
      </w:pPr>
      <w:bookmarkStart w:id="21" w:name="_Toc48817818"/>
      <w:r w:rsidRPr="004E7F7B">
        <w:rPr>
          <w:rFonts w:ascii="Times New Roman" w:hAnsi="Times New Roman" w:cs="Times New Roman"/>
          <w:sz w:val="22"/>
          <w:szCs w:val="22"/>
        </w:rPr>
        <w:lastRenderedPageBreak/>
        <w:t>Auditing of the Activities of the Authority</w:t>
      </w:r>
      <w:bookmarkEnd w:id="21"/>
    </w:p>
    <w:p w:rsidR="00E739E4" w:rsidRPr="004E7F7B" w:rsidRDefault="00E739E4" w:rsidP="00960B3C">
      <w:r w:rsidRPr="004E7F7B">
        <w:t xml:space="preserve">The Authority is subject to only the Articles of 3, 7, 8, 12, 15, 17, 18, 19, 25, 43, 47, 48, 49, 50, 51, 52, 53, 54Au, 68 and 76 of the Public Finance Management and Control Law No:5018.  Within that scope, the external audits of the Authority are made by the Supreme Court of Accounts as per the Article 68 of the Law No:5018. </w:t>
      </w:r>
    </w:p>
    <w:p w:rsidR="00E739E4" w:rsidRPr="004E7F7B" w:rsidRDefault="00E739E4" w:rsidP="00960B3C">
      <w:r w:rsidRPr="004E7F7B">
        <w:t xml:space="preserve">The aim of the ex-post external audit made by the Supreme Court of Accounts is, to examine the financial activities, decisions and transactions of the institution with regard to their compliance with laws, institutional objectives and plans and reporting the results to the Turkish Grand National Assembly. </w:t>
      </w:r>
    </w:p>
    <w:p w:rsidR="00E739E4" w:rsidRPr="004E7F7B" w:rsidRDefault="00E739E4" w:rsidP="00960B3C">
      <w:r w:rsidRPr="004E7F7B">
        <w:t xml:space="preserve">On the other hand, as per the Article 19/A of the Law No:2046 amended by the Article 45 of the Executive Order No:649 published in the Official Gazette dated 17/08/2011 and numbered 28028, The Minister is entitled to audit all activities and transactions of the Authority. </w:t>
      </w:r>
    </w:p>
    <w:p w:rsidR="002863D2" w:rsidRPr="004E7F7B" w:rsidRDefault="00E739E4" w:rsidP="00960B3C">
      <w:r w:rsidRPr="004E7F7B">
        <w:t>Beside, in case an application is filed, the Authority can be audited by the State Supervisory Council and Pr</w:t>
      </w:r>
      <w:r w:rsidR="00CD57D6" w:rsidRPr="004E7F7B">
        <w:t xml:space="preserve">ime Ministry Inspection Board. </w:t>
      </w:r>
    </w:p>
    <w:p w:rsidR="00CD57D6" w:rsidRPr="004E7F7B" w:rsidRDefault="00CD57D6" w:rsidP="004E7F7B">
      <w:pPr>
        <w:spacing w:after="120" w:line="240" w:lineRule="auto"/>
        <w:ind w:left="360"/>
        <w:rPr>
          <w:rFonts w:ascii="Times New Roman" w:hAnsi="Times New Roman" w:cs="Times New Roman"/>
        </w:rPr>
      </w:pPr>
    </w:p>
    <w:p w:rsidR="00902D3B" w:rsidRPr="004E7F7B" w:rsidRDefault="00902D3B" w:rsidP="004E7F7B">
      <w:pPr>
        <w:rPr>
          <w:rFonts w:ascii="Times New Roman" w:eastAsiaTheme="majorEastAsia" w:hAnsi="Times New Roman" w:cs="Times New Roman"/>
          <w:b/>
          <w:color w:val="FF0000"/>
        </w:rPr>
      </w:pPr>
      <w:r w:rsidRPr="004E7F7B">
        <w:rPr>
          <w:rFonts w:ascii="Times New Roman" w:hAnsi="Times New Roman" w:cs="Times New Roman"/>
          <w:color w:val="FF0000"/>
        </w:rPr>
        <w:br w:type="page"/>
      </w:r>
    </w:p>
    <w:p w:rsidR="00E739E4" w:rsidRPr="004E7F7B" w:rsidRDefault="002863D2" w:rsidP="004E7F7B">
      <w:pPr>
        <w:pStyle w:val="Balk1"/>
        <w:rPr>
          <w:rFonts w:ascii="Times New Roman" w:hAnsi="Times New Roman" w:cs="Times New Roman"/>
          <w:sz w:val="22"/>
          <w:szCs w:val="22"/>
        </w:rPr>
      </w:pPr>
      <w:bookmarkStart w:id="22" w:name="_Toc48817819"/>
      <w:r w:rsidRPr="004E7F7B">
        <w:rPr>
          <w:rFonts w:ascii="Times New Roman" w:hAnsi="Times New Roman" w:cs="Times New Roman"/>
          <w:sz w:val="22"/>
          <w:szCs w:val="22"/>
        </w:rPr>
        <w:lastRenderedPageBreak/>
        <w:t>2. LEGISLATION ACTIVITIES</w:t>
      </w:r>
      <w:bookmarkEnd w:id="22"/>
    </w:p>
    <w:p w:rsidR="002863D2" w:rsidRPr="004E7F7B" w:rsidRDefault="002863D2" w:rsidP="00960B3C">
      <w:r w:rsidRPr="004E7F7B">
        <w:t>In this section, the</w:t>
      </w:r>
      <w:r w:rsidR="006D0192" w:rsidRPr="004E7F7B">
        <w:t xml:space="preserve"> legislation activities in 2019 </w:t>
      </w:r>
      <w:r w:rsidRPr="004E7F7B">
        <w:t xml:space="preserve">regarding the Electricity, Natural Gas, Petroleum and LPG markets are explained.  </w:t>
      </w:r>
    </w:p>
    <w:p w:rsidR="002863D2" w:rsidRPr="004E7F7B" w:rsidRDefault="002863D2" w:rsidP="004E7F7B">
      <w:pPr>
        <w:pStyle w:val="Balk2"/>
        <w:rPr>
          <w:rFonts w:ascii="Times New Roman" w:hAnsi="Times New Roman" w:cs="Times New Roman"/>
          <w:sz w:val="22"/>
          <w:szCs w:val="22"/>
        </w:rPr>
      </w:pPr>
      <w:bookmarkStart w:id="23" w:name="_Toc48817820"/>
      <w:r w:rsidRPr="004E7F7B">
        <w:rPr>
          <w:rFonts w:ascii="Times New Roman" w:hAnsi="Times New Roman" w:cs="Times New Roman"/>
          <w:sz w:val="22"/>
          <w:szCs w:val="22"/>
        </w:rPr>
        <w:t>2.1. Electricity Market Legislation</w:t>
      </w:r>
      <w:bookmarkEnd w:id="23"/>
    </w:p>
    <w:p w:rsidR="002863D2" w:rsidRPr="004E7F7B" w:rsidRDefault="002863D2" w:rsidP="004E7F7B">
      <w:pPr>
        <w:pStyle w:val="Balk3"/>
        <w:rPr>
          <w:rFonts w:ascii="Times New Roman" w:hAnsi="Times New Roman" w:cs="Times New Roman"/>
          <w:sz w:val="22"/>
          <w:szCs w:val="22"/>
        </w:rPr>
      </w:pPr>
      <w:bookmarkStart w:id="24" w:name="_Toc48817821"/>
      <w:r w:rsidRPr="004E7F7B">
        <w:rPr>
          <w:rFonts w:ascii="Times New Roman" w:hAnsi="Times New Roman" w:cs="Times New Roman"/>
          <w:sz w:val="22"/>
          <w:szCs w:val="22"/>
        </w:rPr>
        <w:t>2.1.1. Law</w:t>
      </w:r>
      <w:bookmarkEnd w:id="24"/>
    </w:p>
    <w:p w:rsidR="00D54600" w:rsidRPr="004E7F7B" w:rsidRDefault="00D436AC" w:rsidP="00960B3C">
      <w:pPr>
        <w:rPr>
          <w:lang w:eastAsia="tr-TR"/>
        </w:rPr>
      </w:pPr>
      <w:r w:rsidRPr="004E7F7B">
        <w:rPr>
          <w:lang w:eastAsia="tr-TR"/>
        </w:rPr>
        <w:t>In 2019</w:t>
      </w:r>
      <w:r w:rsidR="00D54600" w:rsidRPr="004E7F7B">
        <w:rPr>
          <w:lang w:eastAsia="tr-TR"/>
        </w:rPr>
        <w:t xml:space="preserve">, the following amendments were made in the Electricity Market Law No:6446;  </w:t>
      </w:r>
    </w:p>
    <w:p w:rsidR="00D436AC" w:rsidRPr="004E7F7B" w:rsidRDefault="006A6F1C" w:rsidP="00960B3C">
      <w:pPr>
        <w:rPr>
          <w:lang w:eastAsia="tr-TR"/>
        </w:rPr>
      </w:pPr>
      <w:r w:rsidRPr="004E7F7B">
        <w:rPr>
          <w:lang w:eastAsia="tr-TR"/>
        </w:rPr>
        <w:t xml:space="preserve">* </w:t>
      </w:r>
      <w:r w:rsidR="00D436AC" w:rsidRPr="004E7F7B">
        <w:rPr>
          <w:lang w:eastAsia="tr-TR"/>
        </w:rPr>
        <w:t>Articles 14 and 15 of the Income Tax Law No. 7162 and Amendments to Certain Laws published in the Official Gazette dated 30.01.2019 and numbered 30671, and the Electricity Market Law No. 6446.</w:t>
      </w:r>
      <w:r w:rsidRPr="004E7F7B">
        <w:rPr>
          <w:lang w:eastAsia="tr-TR"/>
        </w:rPr>
        <w:t xml:space="preserve"> Were amended as follows;</w:t>
      </w:r>
    </w:p>
    <w:p w:rsidR="00D436AC" w:rsidRPr="004E7F7B" w:rsidRDefault="00D436AC" w:rsidP="00960B3C">
      <w:pPr>
        <w:rPr>
          <w:lang w:eastAsia="tr-TR"/>
        </w:rPr>
      </w:pPr>
      <w:r w:rsidRPr="004E7F7B">
        <w:rPr>
          <w:lang w:eastAsia="tr-TR"/>
        </w:rPr>
        <w:t>- The phrase "and other electricity markets requiring future physical delivery" has been added to the clause (y) of the first paragraph of Article 3 titled "Definitions and Abbreviations" after the phrase "intra</w:t>
      </w:r>
      <w:r w:rsidR="006A6F1C" w:rsidRPr="004E7F7B">
        <w:rPr>
          <w:lang w:eastAsia="tr-TR"/>
        </w:rPr>
        <w:t>-</w:t>
      </w:r>
      <w:r w:rsidRPr="004E7F7B">
        <w:rPr>
          <w:lang w:eastAsia="tr-TR"/>
        </w:rPr>
        <w:t>day market" and the phrase "delivery or" in clause (nn) the article has been removed from the text.</w:t>
      </w:r>
    </w:p>
    <w:p w:rsidR="00D436AC" w:rsidRPr="004E7F7B" w:rsidRDefault="00D436AC" w:rsidP="00960B3C">
      <w:pPr>
        <w:rPr>
          <w:lang w:eastAsia="tr-TR"/>
        </w:rPr>
      </w:pPr>
      <w:r w:rsidRPr="004E7F7B">
        <w:rPr>
          <w:lang w:eastAsia="tr-TR"/>
        </w:rPr>
        <w:t xml:space="preserve">- The following paragraphs have been added to the 11th article titled "Market operating activity </w:t>
      </w:r>
      <w:r w:rsidR="006A6F1C" w:rsidRPr="004E7F7B">
        <w:rPr>
          <w:lang w:eastAsia="tr-TR"/>
        </w:rPr>
        <w:t>and the establishment of EPİAŞ";</w:t>
      </w:r>
    </w:p>
    <w:p w:rsidR="00D436AC" w:rsidRPr="004E7F7B" w:rsidRDefault="006A6F1C" w:rsidP="00960B3C">
      <w:pPr>
        <w:rPr>
          <w:lang w:eastAsia="tr-TR"/>
        </w:rPr>
      </w:pPr>
      <w:r w:rsidRPr="004E7F7B">
        <w:rPr>
          <w:lang w:eastAsia="tr-TR"/>
        </w:rPr>
        <w:tab/>
      </w:r>
      <w:r w:rsidR="00D436AC" w:rsidRPr="004E7F7B">
        <w:rPr>
          <w:lang w:eastAsia="tr-TR"/>
        </w:rPr>
        <w:t>“(14) In the markets operated by EPİAŞ or where financial settlement and other financial transactions are carried out, the procedures and principles regarding risk management, the procedures and principles regarding the collateral to be received from the market participants due to central counterparty and clearing services, and the default management to be applied due to the failure of market participants to fulfill their obligations, and The procedures and principles regarding the default guarantee account to be established are determined by a regulation issued by the Authority.</w:t>
      </w:r>
    </w:p>
    <w:p w:rsidR="00D436AC" w:rsidRPr="004E7F7B" w:rsidRDefault="00D436AC" w:rsidP="00960B3C">
      <w:pPr>
        <w:ind w:firstLine="720"/>
        <w:rPr>
          <w:lang w:eastAsia="tr-TR"/>
        </w:rPr>
      </w:pPr>
      <w:r w:rsidRPr="004E7F7B">
        <w:rPr>
          <w:lang w:eastAsia="tr-TR"/>
        </w:rPr>
        <w:t>(15) The assets in the default guarantee account created with the guarantees kept before EPİAŞ and the central settlement institution in relation to the markets operated by EPİAŞ or in which financial settlement and other financial transactions are carried out cannot be used, attached, pledged, not affected by the liquidation decisions of the administrative authorities, cannot be included in the bankruptcy estate. and no injunction can be imposed on them. "</w:t>
      </w:r>
    </w:p>
    <w:p w:rsidR="006A6F1C" w:rsidRPr="004E7F7B" w:rsidRDefault="006A6F1C" w:rsidP="004E7F7B">
      <w:pPr>
        <w:spacing w:after="120" w:line="240" w:lineRule="auto"/>
        <w:ind w:firstLine="720"/>
        <w:rPr>
          <w:rFonts w:ascii="Times New Roman" w:hAnsi="Times New Roman" w:cs="Times New Roman"/>
          <w:lang w:eastAsia="tr-TR"/>
        </w:rPr>
      </w:pPr>
    </w:p>
    <w:p w:rsidR="006A6F1C" w:rsidRPr="004E7F7B" w:rsidRDefault="006A6F1C" w:rsidP="00960B3C">
      <w:pPr>
        <w:rPr>
          <w:lang w:eastAsia="tr-TR"/>
        </w:rPr>
      </w:pPr>
      <w:r w:rsidRPr="004E7F7B">
        <w:rPr>
          <w:rFonts w:eastAsia="Times New Roman"/>
          <w:noProof w:val="0"/>
          <w:color w:val="222222"/>
          <w:lang w:val="en" w:eastAsia="tr-TR"/>
        </w:rPr>
        <w:t xml:space="preserve">* </w:t>
      </w:r>
      <w:r w:rsidRPr="004E7F7B">
        <w:rPr>
          <w:lang w:eastAsia="tr-TR"/>
        </w:rPr>
        <w:t>Articles 43 and 44 of the Law on the Amendment of the Mining Law No. 7164, Some Laws and Statutory Decrees, published in the Official Gazette dated 28.02.2019 and numbered 30700, and the Electricity Market Law No. 6446;</w:t>
      </w:r>
    </w:p>
    <w:p w:rsidR="006A6F1C" w:rsidRPr="00960B3C" w:rsidRDefault="006A6F1C" w:rsidP="00960B3C">
      <w:pPr>
        <w:ind w:firstLine="720"/>
        <w:rPr>
          <w:lang w:val="en"/>
        </w:rPr>
      </w:pPr>
      <w:r w:rsidRPr="00960B3C">
        <w:rPr>
          <w:rFonts w:eastAsia="Times New Roman"/>
          <w:noProof w:val="0"/>
          <w:lang w:val="en" w:eastAsia="tr-TR"/>
        </w:rPr>
        <w:t xml:space="preserve">- Clause (b) and seventh paragraph of the fourth paragraph of Article 7 titled "Production activity" has been amended and a paragraph has been added to the article. Amendment made in the fourth paragraph, in the evaluation of the preliminary license applications made for the establishment of a wind and solar energy based electricity generation facility, the applications will include measurement data on the source basis on the site where the facility will be established and / or in accordance with the standard obtained in the last five years, which will represent the field. It is about changing the phrase "five" in the sentence to "eight". With the increase of the said measurement period to eight years, it is possible to use the historical measurement data for more than three years in pre-license applications. The amendment made in the seventh paragraph "For facilities within the scope of licenses obtained for the purpose of establishing a wind energy based generation facility, if the connection opinion received from TEİAŞ and the relevant distribution company is positive, there is no other license application in the </w:t>
      </w:r>
      <w:r w:rsidRPr="00960B3C">
        <w:rPr>
          <w:rFonts w:eastAsia="Times New Roman"/>
          <w:noProof w:val="0"/>
          <w:lang w:val="en" w:eastAsia="tr-TR"/>
        </w:rPr>
        <w:lastRenderedPageBreak/>
        <w:t>field in the first license application made to the Authority and there is no other license application. With the condition of using the current connection point and voltage level with the transmission / distribution line, capacity increase, modernization, renewal investments and modifications are allowed to be removed and instead of "(7) Licenses obtained to establish a generation facility based on renewable energy resources and / or specified in the licenses for the facilities within the scope of these licenses. Capacity increase, modernization, renewal investments and modifications are allowed in case of not going outside the sites and the connection opinion within the scope of the amendment received from TEİAŞ and / or the relevant distribution company is positive. " It consists of adding the phrase.</w:t>
      </w:r>
      <w:r w:rsidRPr="00960B3C">
        <w:rPr>
          <w:lang w:val="en"/>
        </w:rPr>
        <w:t xml:space="preserve"> With the said amendment, the licensed companies, which were another application in the field in the first license application, were given the opportunity to invest in capacity increase, and the requirement to use the existing transmission and / or distribution line in order to increase the capacity was also removed. The paragraph added to the article is “(8) With the issuance, amendment, termination, cancellation, term, extension, renewal of pre-licenses and licenses of multi-source electricity generation facilities and legal entities that will engage in generation activities, and the suspension of the rights and obligations under the license. The procedures and principles regarding the market activities of persons are regulated by a regulation issued by the Authority. " It shaped. This arrangement paved the way for the existing licensed power generation facilities to be transformed into multi-source power generation facilities and to establish new multi-source power generation facilities.</w:t>
      </w:r>
    </w:p>
    <w:p w:rsidR="006A6F1C" w:rsidRPr="004E7F7B" w:rsidRDefault="006A6F1C" w:rsidP="00960B3C">
      <w:pPr>
        <w:rPr>
          <w:lang w:val="en" w:eastAsia="tr-TR"/>
        </w:rPr>
      </w:pPr>
      <w:r w:rsidRPr="004E7F7B">
        <w:rPr>
          <w:lang w:val="en" w:eastAsia="tr-TR"/>
        </w:rPr>
        <w:t>* The Law also states that “(1) State forests within the scope of the Forestry Law No. 6831 dated 31/8/1956 and the areas within the safety areas of energy transmission / distribution facilities to be constructed in the areas covered by the National Parks Law No. 2873 dated 9/8/1983 and The permits and procedures required for the construction, maintenance, repair and transportation of these facilities, which must be obtained according to the relevant legislation, are finalized by the relevant institutions and organizations within sixty days from the date of application. If there is no other discount on the land permit fee that needs to be obtained, a 50% discount is applied.</w:t>
      </w:r>
    </w:p>
    <w:p w:rsidR="006A6F1C" w:rsidRPr="004E7F7B" w:rsidRDefault="006A6F1C" w:rsidP="00960B3C">
      <w:pPr>
        <w:rPr>
          <w:lang w:val="en" w:eastAsia="tr-TR"/>
        </w:rPr>
      </w:pPr>
      <w:r w:rsidRPr="004E7F7B">
        <w:rPr>
          <w:lang w:val="en" w:eastAsia="tr-TR"/>
        </w:rPr>
        <w:t>(2) At the end of the forty-nine-year final leave period, the permits and transactions of the energy generation / transmission / distribution facilities that have fulfilled all their obligations and comply with the commitment bills, if requested, the last paid land permit fee, Tax Procedure No. 213 dated 4/1/1961 It is extended up to ninety nine years by increasing the revaluation rate determined in accordance with the Law.</w:t>
      </w:r>
    </w:p>
    <w:p w:rsidR="006A6F1C" w:rsidRPr="004E7F7B" w:rsidRDefault="006A6F1C" w:rsidP="00960B3C">
      <w:pPr>
        <w:rPr>
          <w:lang w:val="en" w:eastAsia="tr-TR"/>
        </w:rPr>
      </w:pPr>
      <w:r w:rsidRPr="004E7F7B">
        <w:rPr>
          <w:lang w:val="en" w:eastAsia="tr-TR"/>
        </w:rPr>
        <w:t>(3) Energy generation / transmission / distribution facilities, for which forest permits have not been completed within the scope of Law No. 6831 and Law No. 2873, although they were established in areas with forest quality before 1/1/2018, within one year from the entry into force of this paragraph, within the scope of the relevant legislation provisions. All fees on the date of application are paid and they become on leave. For these permits, no fee is charged for the previous years. " Additional item 2 has been added in the figure.</w:t>
      </w:r>
    </w:p>
    <w:p w:rsidR="006A6F1C" w:rsidRPr="004E7F7B" w:rsidRDefault="006A6F1C" w:rsidP="00960B3C">
      <w:pPr>
        <w:rPr>
          <w:lang w:val="en"/>
        </w:rPr>
      </w:pPr>
      <w:r w:rsidRPr="004E7F7B">
        <w:rPr>
          <w:lang w:val="en"/>
        </w:rPr>
        <w:t>In 2019, the following amendments were made to the Law No. 5346 on the Use of Renewable Energy Resources for Electricity Generation;</w:t>
      </w:r>
    </w:p>
    <w:p w:rsidR="006A6F1C" w:rsidRPr="004E7F7B" w:rsidRDefault="006A6F1C" w:rsidP="00960B3C">
      <w:pPr>
        <w:ind w:firstLine="720"/>
        <w:rPr>
          <w:lang w:val="en"/>
        </w:rPr>
      </w:pPr>
      <w:r w:rsidRPr="004E7F7B">
        <w:rPr>
          <w:lang w:val="en" w:eastAsia="tr-TR"/>
        </w:rPr>
        <w:t xml:space="preserve">- </w:t>
      </w:r>
      <w:r w:rsidRPr="004E7F7B">
        <w:rPr>
          <w:lang w:val="en"/>
        </w:rPr>
        <w:t>Articles 38 and 39 of the Law No. 7164 of 14.02.2019 Amending the Mining Law and Some Laws and Decree Laws published in the Official Gazette dated 28.02.2019 and numbered 30700, and the Law No. 5346 on the Use of Renewable Energy Resources for the Purpose of Generating Electrical Energy;</w:t>
      </w:r>
    </w:p>
    <w:p w:rsidR="006A6F1C" w:rsidRPr="004E7F7B" w:rsidRDefault="006A6F1C" w:rsidP="00960B3C">
      <w:pPr>
        <w:ind w:firstLine="720"/>
        <w:rPr>
          <w:lang w:val="en"/>
        </w:rPr>
      </w:pPr>
      <w:r w:rsidRPr="004E7F7B">
        <w:rPr>
          <w:lang w:val="en"/>
        </w:rPr>
        <w:lastRenderedPageBreak/>
        <w:t>- Following the fifth paragraph of Article 6, "The procedures and principles regarding the utilization of the net energy amount supplied to the system by generating electricity from more than one energy source, all of which are renewable, from the RES Support Mechanism are regulated by the regulation issued by EMRA." paragraph has been added. With this change, the way for those whose energy resources are completely renewable among multiple-source electricity generation facilities, can benefit from the RES Support Mechanism.</w:t>
      </w:r>
    </w:p>
    <w:p w:rsidR="006A6F1C" w:rsidRPr="004E7F7B" w:rsidRDefault="006A6F1C" w:rsidP="00960B3C">
      <w:pPr>
        <w:ind w:firstLine="720"/>
        <w:rPr>
          <w:lang w:val="en" w:eastAsia="tr-TR"/>
        </w:rPr>
      </w:pPr>
      <w:r w:rsidRPr="004E7F7B">
        <w:rPr>
          <w:lang w:val="en" w:eastAsia="tr-TR"/>
        </w:rPr>
        <w:t xml:space="preserve">-Capacity increase license amendment to be made within the scope of Article 7 of the Electricity Market Law No. 6446 dated 14/3/2013, after the effective date of this paragraph for electricity generation licenses based on renewable energy sources, to come after the first paragraph of Article 6 / C. Those deemed appropriate by EMRA. It cannot benefit from the RES Support Mechanism for the said capacity increase. The procedures and principles regarding the implementation are regulated by the regulation issued by EMRA. </w:t>
      </w:r>
      <w:r w:rsidR="00616274" w:rsidRPr="004E7F7B">
        <w:rPr>
          <w:lang w:val="en" w:eastAsia="tr-TR"/>
        </w:rPr>
        <w:t>“paragraph</w:t>
      </w:r>
      <w:r w:rsidRPr="004E7F7B">
        <w:rPr>
          <w:lang w:val="en" w:eastAsia="tr-TR"/>
        </w:rPr>
        <w:t xml:space="preserve"> has been added. With this amendment, it has been decided that license holders whose capacity increase license amendment requests are eligible since the date the clause entered into force cannot benefit from the RES Support Mechanism for their additional electrical power within the scope of their capacity increase investments.</w:t>
      </w:r>
    </w:p>
    <w:p w:rsidR="00A32E5D" w:rsidRPr="00960B3C" w:rsidRDefault="00A32E5D"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noProof w:val="0"/>
          <w:lang w:val="en" w:eastAsia="tr-TR"/>
        </w:rPr>
      </w:pPr>
      <w:r w:rsidRPr="00960B3C">
        <w:rPr>
          <w:rFonts w:ascii="Times New Roman" w:eastAsia="Times New Roman" w:hAnsi="Times New Roman" w:cs="Times New Roman"/>
          <w:b/>
          <w:noProof w:val="0"/>
          <w:lang w:val="en" w:eastAsia="tr-TR"/>
        </w:rPr>
        <w:t>2.1.2. Presidential Decree</w:t>
      </w:r>
    </w:p>
    <w:p w:rsidR="00A32E5D" w:rsidRPr="004E7F7B" w:rsidRDefault="00A32E5D"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noProof w:val="0"/>
          <w:color w:val="222222"/>
          <w:lang w:val="en" w:eastAsia="tr-TR"/>
        </w:rPr>
      </w:pPr>
    </w:p>
    <w:p w:rsidR="00A32E5D" w:rsidRPr="00960B3C" w:rsidRDefault="00A32E5D" w:rsidP="00960B3C">
      <w:pPr>
        <w:rPr>
          <w:lang w:val="en" w:eastAsia="tr-TR"/>
        </w:rPr>
      </w:pPr>
      <w:r w:rsidRPr="00960B3C">
        <w:rPr>
          <w:lang w:val="en" w:eastAsia="tr-TR"/>
        </w:rPr>
        <w:t>The following Presidental Decrees were taken in the electricity market in 2019:</w:t>
      </w:r>
    </w:p>
    <w:p w:rsidR="00A32E5D" w:rsidRPr="004E7F7B" w:rsidRDefault="00A32E5D"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noProof w:val="0"/>
          <w:color w:val="222222"/>
          <w:lang w:val="en" w:eastAsia="tr-TR"/>
        </w:rPr>
      </w:pPr>
    </w:p>
    <w:p w:rsidR="00A32E5D" w:rsidRPr="004E7F7B" w:rsidRDefault="00A32E5D" w:rsidP="00960B3C">
      <w:pPr>
        <w:rPr>
          <w:lang w:val="en" w:eastAsia="tr-TR"/>
        </w:rPr>
      </w:pPr>
      <w:r w:rsidRPr="004E7F7B">
        <w:rPr>
          <w:lang w:val="en" w:eastAsia="tr-TR"/>
        </w:rPr>
        <w:t>• Presidential Decree No. 30770, published in the Official Gazette No. 30770 dated May 10, 2019;</w:t>
      </w:r>
    </w:p>
    <w:p w:rsidR="00A32E5D" w:rsidRPr="004E7F7B" w:rsidRDefault="00A32E5D" w:rsidP="00960B3C">
      <w:pPr>
        <w:ind w:firstLine="720"/>
        <w:rPr>
          <w:lang w:val="en" w:eastAsia="tr-TR"/>
        </w:rPr>
      </w:pPr>
      <w:r w:rsidRPr="004E7F7B">
        <w:rPr>
          <w:lang w:val="en" w:eastAsia="tr-TR"/>
        </w:rPr>
        <w:t>- Of the generation facilities subject to the RES Support Mechanism, provided that the connection agreement of the installed power consumption facility is limited by the contractual power;</w:t>
      </w:r>
    </w:p>
    <w:p w:rsidR="00A32E5D" w:rsidRPr="004E7F7B" w:rsidRDefault="00A32E5D" w:rsidP="00960B3C">
      <w:pPr>
        <w:rPr>
          <w:lang w:val="en" w:eastAsia="tr-TR"/>
        </w:rPr>
      </w:pPr>
      <w:r w:rsidRPr="004E7F7B">
        <w:rPr>
          <w:lang w:val="en" w:eastAsia="tr-TR"/>
        </w:rPr>
        <w:t>*At the same measuring point with production and consumption at the same measurement point, up to 10 kW (including 10 kW) for residential subscribers and roof and facade applied solar energy-based generation facilities established for industry, business and lighting subscribers and electricity generation facilities based on other renewable energy sources ,</w:t>
      </w:r>
    </w:p>
    <w:p w:rsidR="00A32E5D" w:rsidRPr="004E7F7B" w:rsidRDefault="00A32E5D" w:rsidP="00960B3C">
      <w:pPr>
        <w:rPr>
          <w:lang w:val="en" w:eastAsia="tr-TR"/>
        </w:rPr>
      </w:pPr>
      <w:r w:rsidRPr="004E7F7B">
        <w:rPr>
          <w:lang w:val="en" w:eastAsia="tr-TR"/>
        </w:rPr>
        <w:t>*Electricity generation facilities based on renewable energy sources with roof, facade and land applications established by public institutions and organizations for the needs of agricultural irrigation subscribers, drinking water facilities and waste water treatment facilities, with production and consumption at the same measurement point,</w:t>
      </w:r>
    </w:p>
    <w:p w:rsidR="00A32E5D" w:rsidRPr="004E7F7B" w:rsidRDefault="00A32E5D" w:rsidP="00960B3C">
      <w:pPr>
        <w:rPr>
          <w:lang w:val="en" w:eastAsia="tr-TR"/>
        </w:rPr>
      </w:pPr>
      <w:r w:rsidRPr="004E7F7B">
        <w:rPr>
          <w:lang w:val="en" w:eastAsia="tr-TR"/>
        </w:rPr>
        <w:t>* In electricity generation facilities based on renewable energy sources with roof, facade and land application by public institutions and organizations, limited to the contractual power of the connection agreements of the consumption facility / facilities, in order to meet the needs of more than one consumption facility without the requirement of being at the same measurement point,</w:t>
      </w:r>
    </w:p>
    <w:p w:rsidR="00A32E5D" w:rsidRPr="004E7F7B" w:rsidRDefault="00A32E5D" w:rsidP="00960B3C">
      <w:pPr>
        <w:rPr>
          <w:lang w:val="en" w:eastAsia="tr-TR"/>
        </w:rPr>
      </w:pPr>
      <w:r w:rsidRPr="004E7F7B">
        <w:rPr>
          <w:lang w:val="en" w:eastAsia="tr-TR"/>
        </w:rPr>
        <w:t>For the surplus electricity generated, it has been decided that the retail one-time active energy price of its subscriber group, announced by the Energy Market Regulatory Authority (EMRA), will be applied for a period of ten years from the date of operation of the facility.</w:t>
      </w:r>
    </w:p>
    <w:p w:rsidR="00A32E5D" w:rsidRPr="004E7F7B" w:rsidRDefault="00A32E5D" w:rsidP="00960B3C">
      <w:pPr>
        <w:rPr>
          <w:lang w:val="en" w:eastAsia="tr-TR"/>
        </w:rPr>
      </w:pPr>
      <w:r w:rsidRPr="004E7F7B">
        <w:rPr>
          <w:lang w:val="en" w:eastAsia="tr-TR"/>
        </w:rPr>
        <w:t>*The installed power limit of generation facilities based on renewable energy resources that can operate without license has been increased to five megawatts.</w:t>
      </w:r>
    </w:p>
    <w:p w:rsidR="006A6F1C" w:rsidRPr="004E7F7B" w:rsidRDefault="006A6F1C" w:rsidP="004E7F7B">
      <w:pPr>
        <w:spacing w:after="120" w:line="240" w:lineRule="auto"/>
        <w:ind w:firstLine="720"/>
        <w:rPr>
          <w:rFonts w:ascii="Times New Roman" w:hAnsi="Times New Roman" w:cs="Times New Roman"/>
          <w:lang w:eastAsia="tr-TR"/>
        </w:rPr>
      </w:pPr>
    </w:p>
    <w:p w:rsidR="00FA5018" w:rsidRPr="004E7F7B" w:rsidRDefault="00FA5018" w:rsidP="004E7F7B">
      <w:pPr>
        <w:spacing w:line="240" w:lineRule="auto"/>
        <w:rPr>
          <w:rFonts w:ascii="Times New Roman" w:hAnsi="Times New Roman" w:cs="Times New Roman"/>
          <w:i/>
          <w:color w:val="FF0000"/>
        </w:rPr>
      </w:pPr>
    </w:p>
    <w:p w:rsidR="00FA5018" w:rsidRPr="004E7F7B" w:rsidRDefault="00626A2C" w:rsidP="004E7F7B">
      <w:pPr>
        <w:pStyle w:val="Balk3"/>
        <w:rPr>
          <w:rFonts w:ascii="Times New Roman" w:hAnsi="Times New Roman" w:cs="Times New Roman"/>
          <w:sz w:val="22"/>
          <w:szCs w:val="22"/>
        </w:rPr>
      </w:pPr>
      <w:bookmarkStart w:id="25" w:name="_Toc48817822"/>
      <w:r w:rsidRPr="004E7F7B">
        <w:rPr>
          <w:rFonts w:ascii="Times New Roman" w:hAnsi="Times New Roman" w:cs="Times New Roman"/>
          <w:sz w:val="22"/>
          <w:szCs w:val="22"/>
        </w:rPr>
        <w:t>2.1.2. Regulations</w:t>
      </w:r>
      <w:bookmarkEnd w:id="25"/>
    </w:p>
    <w:p w:rsidR="005E4833" w:rsidRPr="00960B3C" w:rsidRDefault="00C330E6" w:rsidP="00960B3C">
      <w:r w:rsidRPr="00960B3C">
        <w:t>The following regulation studies were conducted i</w:t>
      </w:r>
      <w:r w:rsidR="006A6F1C" w:rsidRPr="00960B3C">
        <w:t>n the electricity market in 2019</w:t>
      </w:r>
      <w:r w:rsidRPr="00960B3C">
        <w:t xml:space="preserve">: </w:t>
      </w:r>
    </w:p>
    <w:p w:rsidR="00A32E5D" w:rsidRPr="00960B3C" w:rsidRDefault="00A32E5D" w:rsidP="00960B3C">
      <w:pPr>
        <w:rPr>
          <w:rFonts w:eastAsia="Times New Roman"/>
          <w:noProof w:val="0"/>
          <w:lang w:val="en" w:eastAsia="tr-TR"/>
        </w:rPr>
      </w:pPr>
      <w:r w:rsidRPr="00960B3C">
        <w:rPr>
          <w:rFonts w:eastAsia="Times New Roman"/>
          <w:noProof w:val="0"/>
          <w:lang w:val="en" w:eastAsia="tr-TR"/>
        </w:rPr>
        <w:t>The Amendment Regulation published in the Official Gazette dated 09.01.2019 and numbered 30650 and the Electricity Market Capacity Mechanism Regulation</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 Clauses (b) containing the definition of the variable cost component of the first paragraph of the article 4 titled "Definitions" and (k) containing the definition of the total cost component have been abolished.</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 The second paragraph of Article 5 titled "General principles regarding the capacity mechanism" has been changed as follows.</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"(2) Capacity payments made to generation facilities included in the capacity mechanism are determined by the unit fixed cost components of the power plants in the capacity mechanism and their total installed power on a resource basis."</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 Clause (g) of the second paragraph of Article 6 titled "Conditions for participation in the capacity mechanism" has been changed as follows, and the following fourth paragraph has been added to the article.</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"g) Power plants not based on domestic resources, whose age is over 13 years, calculated starting from the date of provisional acceptance of the oldest unit in the license, existing and in operation,"</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“(4) Plants that produce by using imported and domestic coal or imported and local natural gas together have the same installed power that corresponds to their production using domestic coal or domestic natural gas in terms of the clauses (f), (g) and Even if they meet the criteria, they can participate in the capacity mechanism to receive capacity payment. "</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 The fourth paragraph of Article 7 titled "Budget based on capacity payments" has been changed as follows.</w:t>
      </w:r>
    </w:p>
    <w:p w:rsidR="00A32E5D" w:rsidRPr="00960B3C" w:rsidRDefault="00A32E5D" w:rsidP="00960B3C">
      <w:pPr>
        <w:ind w:firstLine="720"/>
        <w:rPr>
          <w:rFonts w:eastAsia="Times New Roman"/>
          <w:noProof w:val="0"/>
          <w:lang w:val="en" w:eastAsia="tr-TR"/>
        </w:rPr>
      </w:pPr>
      <w:r w:rsidRPr="00960B3C">
        <w:rPr>
          <w:rFonts w:eastAsia="Times New Roman"/>
          <w:noProof w:val="0"/>
          <w:lang w:val="en" w:eastAsia="tr-TR"/>
        </w:rPr>
        <w:t>“(4) The budget to be determined for a calendar year is divided into invoice periods. It is essential that the budget determined for capacity payments in a billing period is distributed in the relevant billing period. "</w:t>
      </w:r>
    </w:p>
    <w:p w:rsidR="00A32E5D" w:rsidRPr="004E7F7B" w:rsidRDefault="00A32E5D" w:rsidP="00960B3C">
      <w:pPr>
        <w:ind w:firstLine="720"/>
        <w:rPr>
          <w:lang w:val="en" w:eastAsia="tr-TR"/>
        </w:rPr>
      </w:pPr>
      <w:r w:rsidRPr="004E7F7B">
        <w:rPr>
          <w:lang w:val="en" w:eastAsia="tr-TR"/>
        </w:rPr>
        <w:t>- The first paragraph of Article 8 titled "Calculation of capacity payment rates on the basis of resource type and capacity payments to be made to power plants" has been changed as follows, and the following paragraphs have been added to the article.</w:t>
      </w:r>
    </w:p>
    <w:p w:rsidR="00A32E5D" w:rsidRPr="004E7F7B" w:rsidRDefault="00A32E5D" w:rsidP="004E7F7B">
      <w:pPr>
        <w:spacing w:line="240" w:lineRule="auto"/>
        <w:ind w:left="720"/>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 xml:space="preserve"> “(1) The budget in an invoice period based on capacity payments is distributed on the basis of resource type at the capacity payment rate determined for each resource type. For resource type i, the capacity payment rate (KAOi, f) in the invoice period f is calculated using the following formula:</w:t>
      </w:r>
    </w:p>
    <w:p w:rsidR="00A32E5D" w:rsidRPr="004E7F7B" w:rsidRDefault="00A32E5D" w:rsidP="004E7F7B">
      <w:pPr>
        <w:spacing w:line="240" w:lineRule="auto"/>
        <w:ind w:left="720"/>
        <w:rPr>
          <w:rFonts w:ascii="Times New Roman" w:eastAsia="Times New Roman" w:hAnsi="Times New Roman" w:cs="Times New Roman"/>
          <w:noProof w:val="0"/>
          <w:color w:val="222222"/>
          <w:lang w:val="en" w:eastAsia="tr-TR"/>
        </w:rPr>
      </w:pPr>
      <w:r w:rsidRPr="004E7F7B">
        <w:rPr>
          <w:rFonts w:ascii="Times New Roman" w:hAnsi="Times New Roman" w:cs="Times New Roman"/>
          <w:lang w:val="tr-TR" w:eastAsia="tr-TR"/>
        </w:rPr>
        <w:lastRenderedPageBreak/>
        <w:drawing>
          <wp:inline distT="0" distB="0" distL="0" distR="0" wp14:anchorId="7EDA8CF2" wp14:editId="215E1507">
            <wp:extent cx="2705100" cy="594360"/>
            <wp:effectExtent l="0" t="0" r="0" b="0"/>
            <wp:docPr id="1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05100" cy="594360"/>
                    </a:xfrm>
                    <a:prstGeom prst="rect">
                      <a:avLst/>
                    </a:prstGeom>
                  </pic:spPr>
                </pic:pic>
              </a:graphicData>
            </a:graphic>
          </wp:inline>
        </w:drawing>
      </w:r>
    </w:p>
    <w:p w:rsidR="00A32E5D" w:rsidRPr="00960B3C" w:rsidRDefault="00A32E5D" w:rsidP="00960B3C">
      <w:pPr>
        <w:rPr>
          <w:lang w:val="en" w:eastAsia="tr-TR"/>
        </w:rPr>
      </w:pPr>
      <w:r w:rsidRPr="00960B3C">
        <w:rPr>
          <w:lang w:val="en" w:eastAsia="tr-TR"/>
        </w:rPr>
        <w:t>In this formula;</w:t>
      </w:r>
    </w:p>
    <w:p w:rsidR="00A32E5D" w:rsidRPr="00960B3C" w:rsidRDefault="00A32E5D" w:rsidP="00960B3C">
      <w:pPr>
        <w:rPr>
          <w:lang w:val="en" w:eastAsia="tr-TR"/>
        </w:rPr>
      </w:pPr>
      <w:r w:rsidRPr="00960B3C">
        <w:rPr>
          <w:lang w:val="en" w:eastAsia="tr-TR"/>
        </w:rPr>
        <w:t>KAOi, f: capacity payment rate (%) in the invoice period f for resource type i,</w:t>
      </w:r>
    </w:p>
    <w:p w:rsidR="00A32E5D" w:rsidRPr="00960B3C" w:rsidRDefault="00A32E5D" w:rsidP="00960B3C">
      <w:pPr>
        <w:rPr>
          <w:lang w:val="en" w:eastAsia="tr-TR"/>
        </w:rPr>
      </w:pPr>
      <w:r w:rsidRPr="00960B3C">
        <w:rPr>
          <w:lang w:val="en" w:eastAsia="tr-TR"/>
        </w:rPr>
        <w:t>SMBi, f: fixed cost component (TL / MWh) in invoice period f for resource type i,</w:t>
      </w:r>
    </w:p>
    <w:p w:rsidR="00A32E5D" w:rsidRPr="00960B3C" w:rsidRDefault="00A32E5D" w:rsidP="00960B3C">
      <w:pPr>
        <w:rPr>
          <w:lang w:val="en" w:eastAsia="tr-TR"/>
        </w:rPr>
      </w:pPr>
      <w:r w:rsidRPr="00960B3C">
        <w:rPr>
          <w:lang w:val="en" w:eastAsia="tr-TR"/>
        </w:rPr>
        <w:t>KGi, f: Total installed power (MW) of power plants of resource type i in the invoice period, within the scope of the capacity mechanism,</w:t>
      </w:r>
    </w:p>
    <w:p w:rsidR="00A32E5D" w:rsidRPr="00960B3C" w:rsidRDefault="00A32E5D" w:rsidP="00960B3C">
      <w:pPr>
        <w:rPr>
          <w:lang w:val="en" w:eastAsia="tr-TR"/>
        </w:rPr>
      </w:pPr>
      <w:r w:rsidRPr="00960B3C">
        <w:rPr>
          <w:lang w:val="en" w:eastAsia="tr-TR"/>
        </w:rPr>
        <w:t>ÖKOi: capacity utilization rate determined for the resource type i,</w:t>
      </w:r>
    </w:p>
    <w:p w:rsidR="00A32E5D" w:rsidRPr="00960B3C" w:rsidRDefault="00A32E5D" w:rsidP="00960B3C">
      <w:pPr>
        <w:rPr>
          <w:lang w:val="en" w:eastAsia="tr-TR"/>
        </w:rPr>
      </w:pPr>
      <w:r w:rsidRPr="00960B3C">
        <w:rPr>
          <w:lang w:val="en" w:eastAsia="tr-TR"/>
        </w:rPr>
        <w:t>m: The number of resource types under the capacity mechanism,</w:t>
      </w:r>
    </w:p>
    <w:p w:rsidR="00A32E5D" w:rsidRPr="004E7F7B" w:rsidRDefault="00A32E5D"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noProof w:val="0"/>
          <w:color w:val="222222"/>
          <w:lang w:val="en" w:eastAsia="tr-TR"/>
        </w:rPr>
      </w:pPr>
    </w:p>
    <w:p w:rsidR="00A32E5D" w:rsidRPr="00960B3C" w:rsidRDefault="00A32E5D" w:rsidP="00960B3C">
      <w:pPr>
        <w:rPr>
          <w:lang w:val="en" w:eastAsia="tr-TR"/>
        </w:rPr>
      </w:pPr>
      <w:r w:rsidRPr="00960B3C">
        <w:rPr>
          <w:lang w:val="en" w:eastAsia="tr-TR"/>
        </w:rPr>
        <w:t>“(2) Within the scope of the capacity mechanism, the payment to be made in the invoice period f to the p plant of resource type i is calculated according to the following formula:</w:t>
      </w:r>
    </w:p>
    <w:p w:rsidR="00A32E5D" w:rsidRPr="004E7F7B" w:rsidRDefault="00A32E5D" w:rsidP="004E7F7B">
      <w:pPr>
        <w:spacing w:line="240" w:lineRule="auto"/>
        <w:ind w:left="720"/>
        <w:rPr>
          <w:rFonts w:ascii="Times New Roman" w:eastAsia="Times New Roman" w:hAnsi="Times New Roman" w:cs="Times New Roman"/>
          <w:noProof w:val="0"/>
          <w:color w:val="222222"/>
          <w:lang w:val="en" w:eastAsia="tr-TR"/>
        </w:rPr>
      </w:pPr>
      <w:r w:rsidRPr="004E7F7B">
        <w:rPr>
          <w:rFonts w:ascii="Times New Roman" w:hAnsi="Times New Roman" w:cs="Times New Roman"/>
          <w:lang w:val="tr-TR" w:eastAsia="tr-TR"/>
        </w:rPr>
        <w:drawing>
          <wp:inline distT="0" distB="0" distL="0" distR="0" wp14:anchorId="39FABCBA" wp14:editId="63270628">
            <wp:extent cx="2720340" cy="541020"/>
            <wp:effectExtent l="0" t="0" r="3810" b="0"/>
            <wp:docPr id="5"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720340" cy="541020"/>
                    </a:xfrm>
                    <a:prstGeom prst="rect">
                      <a:avLst/>
                    </a:prstGeom>
                  </pic:spPr>
                </pic:pic>
              </a:graphicData>
            </a:graphic>
          </wp:inline>
        </w:drawing>
      </w:r>
    </w:p>
    <w:p w:rsidR="00A32E5D" w:rsidRPr="00960B3C" w:rsidRDefault="00A32E5D" w:rsidP="00960B3C">
      <w:pPr>
        <w:rPr>
          <w:lang w:val="en" w:eastAsia="tr-TR"/>
        </w:rPr>
      </w:pPr>
      <w:r w:rsidRPr="00960B3C">
        <w:rPr>
          <w:lang w:val="en" w:eastAsia="tr-TR"/>
        </w:rPr>
        <w:t>In this formula;</w:t>
      </w:r>
    </w:p>
    <w:p w:rsidR="00A32E5D" w:rsidRPr="00960B3C" w:rsidRDefault="00A32E5D" w:rsidP="00960B3C">
      <w:pPr>
        <w:rPr>
          <w:lang w:val="en" w:eastAsia="tr-TR"/>
        </w:rPr>
      </w:pPr>
      <w:r w:rsidRPr="00960B3C">
        <w:rPr>
          <w:lang w:val="en" w:eastAsia="tr-TR"/>
        </w:rPr>
        <w:t>KÖi, p, f: the capacity payment (TL) to be made to the p plant of resource type i in the invoice period f,</w:t>
      </w:r>
    </w:p>
    <w:p w:rsidR="00A32E5D" w:rsidRPr="00960B3C" w:rsidRDefault="00A32E5D" w:rsidP="00960B3C">
      <w:pPr>
        <w:rPr>
          <w:lang w:val="en" w:eastAsia="tr-TR"/>
        </w:rPr>
      </w:pPr>
      <w:r w:rsidRPr="00960B3C">
        <w:rPr>
          <w:lang w:val="en" w:eastAsia="tr-TR"/>
        </w:rPr>
        <w:t>KAOi, f: capacity payment rate (%) in the invoice period f for resource type i,</w:t>
      </w:r>
    </w:p>
    <w:p w:rsidR="00A32E5D" w:rsidRPr="00960B3C" w:rsidRDefault="00A32E5D" w:rsidP="00960B3C">
      <w:pPr>
        <w:rPr>
          <w:lang w:val="en" w:eastAsia="tr-TR"/>
        </w:rPr>
      </w:pPr>
      <w:r w:rsidRPr="00960B3C">
        <w:rPr>
          <w:lang w:val="en" w:eastAsia="tr-TR"/>
        </w:rPr>
        <w:t>BUTCEf: f the total budget (TL) based on the capacity mechanism in the invoice period,</w:t>
      </w:r>
    </w:p>
    <w:p w:rsidR="00A32E5D" w:rsidRPr="00960B3C" w:rsidRDefault="00A32E5D" w:rsidP="00960B3C">
      <w:pPr>
        <w:rPr>
          <w:lang w:val="en" w:eastAsia="tr-TR"/>
        </w:rPr>
      </w:pPr>
      <w:r w:rsidRPr="00960B3C">
        <w:rPr>
          <w:lang w:val="en" w:eastAsia="tr-TR"/>
        </w:rPr>
        <w:t>KGi, p, f: The installed power (MW) of the p plant of resource type i in the invoice period,</w:t>
      </w:r>
    </w:p>
    <w:p w:rsidR="00A32E5D" w:rsidRPr="00960B3C" w:rsidRDefault="00A32E5D" w:rsidP="00960B3C">
      <w:pPr>
        <w:rPr>
          <w:lang w:val="en" w:eastAsia="tr-TR"/>
        </w:rPr>
      </w:pPr>
      <w:r w:rsidRPr="00960B3C">
        <w:rPr>
          <w:lang w:val="en" w:eastAsia="tr-TR"/>
        </w:rPr>
        <w:t>KGi, f: Total installed power (MW) of power plants of resource type i in the invoice period,</w:t>
      </w:r>
    </w:p>
    <w:p w:rsidR="00A32E5D" w:rsidRPr="00960B3C" w:rsidRDefault="00A32E5D" w:rsidP="00960B3C">
      <w:pPr>
        <w:rPr>
          <w:lang w:val="en" w:eastAsia="tr-TR"/>
        </w:rPr>
      </w:pPr>
      <w:r w:rsidRPr="00960B3C">
        <w:rPr>
          <w:lang w:val="en" w:eastAsia="tr-TR"/>
        </w:rPr>
        <w:t>(3) In case the installed power of a power plant within the scope of the capacity mechanism changes during the invoicing period or fails to meet the participation conditions; The installed power of the said power plant based on the capacity payment to be used in the first and second paragraphs of this article; It is calculated by the following formula:</w:t>
      </w:r>
    </w:p>
    <w:p w:rsidR="00A32E5D" w:rsidRPr="004E7F7B" w:rsidRDefault="00A32E5D" w:rsidP="004E7F7B">
      <w:pPr>
        <w:spacing w:line="240" w:lineRule="auto"/>
        <w:ind w:left="720"/>
        <w:rPr>
          <w:rFonts w:ascii="Times New Roman" w:eastAsia="Times New Roman" w:hAnsi="Times New Roman" w:cs="Times New Roman"/>
          <w:noProof w:val="0"/>
          <w:color w:val="222222"/>
          <w:lang w:val="en" w:eastAsia="tr-TR"/>
        </w:rPr>
      </w:pPr>
      <w:r w:rsidRPr="004E7F7B">
        <w:rPr>
          <w:rFonts w:ascii="Times New Roman" w:hAnsi="Times New Roman" w:cs="Times New Roman"/>
          <w:lang w:val="tr-TR" w:eastAsia="tr-TR"/>
        </w:rPr>
        <w:drawing>
          <wp:inline distT="0" distB="0" distL="0" distR="0" wp14:anchorId="4C7094AE" wp14:editId="1604AD4E">
            <wp:extent cx="1645920" cy="480060"/>
            <wp:effectExtent l="0" t="0" r="0" b="0"/>
            <wp:docPr id="18"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645920" cy="480060"/>
                    </a:xfrm>
                    <a:prstGeom prst="rect">
                      <a:avLst/>
                    </a:prstGeom>
                  </pic:spPr>
                </pic:pic>
              </a:graphicData>
            </a:graphic>
          </wp:inline>
        </w:drawing>
      </w:r>
    </w:p>
    <w:p w:rsidR="00A32E5D" w:rsidRPr="00960B3C" w:rsidRDefault="00A32E5D" w:rsidP="00960B3C">
      <w:pPr>
        <w:rPr>
          <w:lang w:val="en" w:eastAsia="tr-TR"/>
        </w:rPr>
      </w:pPr>
      <w:r w:rsidRPr="00960B3C">
        <w:rPr>
          <w:lang w:val="en" w:eastAsia="tr-TR"/>
        </w:rPr>
        <w:t>In this formula;</w:t>
      </w:r>
    </w:p>
    <w:p w:rsidR="00A32E5D" w:rsidRPr="00960B3C" w:rsidRDefault="00A32E5D" w:rsidP="00960B3C">
      <w:pPr>
        <w:rPr>
          <w:lang w:val="en" w:eastAsia="tr-TR"/>
        </w:rPr>
      </w:pPr>
      <w:r w:rsidRPr="00960B3C">
        <w:rPr>
          <w:lang w:val="en" w:eastAsia="tr-TR"/>
        </w:rPr>
        <w:t>KGp, f: The installed power (MW) of the plant p based on capacity payment in the invoice period,</w:t>
      </w:r>
    </w:p>
    <w:p w:rsidR="00A32E5D" w:rsidRPr="00960B3C" w:rsidRDefault="00A32E5D" w:rsidP="00960B3C">
      <w:pPr>
        <w:rPr>
          <w:lang w:val="en" w:eastAsia="tr-TR"/>
        </w:rPr>
      </w:pPr>
      <w:r w:rsidRPr="00960B3C">
        <w:rPr>
          <w:lang w:val="en" w:eastAsia="tr-TR"/>
        </w:rPr>
        <w:t>KGp, f, d: p installed power (MW) of the power plant on day d of the invoice period f, meeting the capacity mechanism participation conditions,</w:t>
      </w:r>
    </w:p>
    <w:p w:rsidR="00A32E5D" w:rsidRPr="00960B3C" w:rsidRDefault="00A32E5D" w:rsidP="00960B3C">
      <w:pPr>
        <w:rPr>
          <w:lang w:val="en" w:eastAsia="tr-TR"/>
        </w:rPr>
      </w:pPr>
      <w:r w:rsidRPr="00960B3C">
        <w:rPr>
          <w:lang w:val="en" w:eastAsia="tr-TR"/>
        </w:rPr>
        <w:t>n: f the total number of days in the billing period.</w:t>
      </w:r>
    </w:p>
    <w:p w:rsidR="00A32E5D" w:rsidRPr="00960B3C" w:rsidRDefault="00A32E5D" w:rsidP="00960B3C">
      <w:pPr>
        <w:rPr>
          <w:lang w:val="en" w:eastAsia="tr-TR"/>
        </w:rPr>
      </w:pPr>
      <w:r w:rsidRPr="00960B3C">
        <w:rPr>
          <w:lang w:val="en" w:eastAsia="tr-TR"/>
        </w:rPr>
        <w:lastRenderedPageBreak/>
        <w:t>(4) The installed powers of the power plants that suspend the system usage agreement are considered 0 (zero) as long as the system usage agreement is suspended. "</w:t>
      </w:r>
    </w:p>
    <w:p w:rsidR="00A32E5D" w:rsidRPr="00960B3C" w:rsidRDefault="00A32E5D" w:rsidP="00960B3C">
      <w:pPr>
        <w:rPr>
          <w:lang w:val="en" w:eastAsia="tr-TR"/>
        </w:rPr>
      </w:pPr>
      <w:r w:rsidRPr="00960B3C">
        <w:rPr>
          <w:lang w:val="en" w:eastAsia="tr-TR"/>
        </w:rPr>
        <w:t>- The second and third paragraphs of Article 9 titled "Realization of capacity payments" regarding the capacity payment formulas have been repealed, the fifth paragraph has been changed as follows and the following paragraph has been added to the same article.</w:t>
      </w:r>
    </w:p>
    <w:p w:rsidR="00A32E5D" w:rsidRPr="00960B3C" w:rsidRDefault="00A32E5D" w:rsidP="00960B3C">
      <w:pPr>
        <w:rPr>
          <w:lang w:val="en" w:eastAsia="tr-TR"/>
        </w:rPr>
      </w:pPr>
      <w:r w:rsidRPr="00960B3C">
        <w:rPr>
          <w:lang w:val="en" w:eastAsia="tr-TR"/>
        </w:rPr>
        <w:t>"(5) In the case of electricity production using domestic coal or domestic natural gas in imported coal or natural gas-fired power plants, capacity payment is made in proportion to the production amount using domestic coal or domestic natural gas."</w:t>
      </w:r>
    </w:p>
    <w:p w:rsidR="00A32E5D" w:rsidRPr="00960B3C" w:rsidRDefault="00A32E5D" w:rsidP="00960B3C">
      <w:pPr>
        <w:rPr>
          <w:lang w:val="en" w:eastAsia="tr-TR"/>
        </w:rPr>
      </w:pPr>
      <w:r w:rsidRPr="00960B3C">
        <w:rPr>
          <w:lang w:val="en" w:eastAsia="tr-TR"/>
        </w:rPr>
        <w:t>“(6) While calculating the capacity payments to imported coal power plants, the relevant power plant; It is accepted as a domestic coal plant with an installed power proportional to the portion of the power plant production made using domestic resources. "</w:t>
      </w:r>
    </w:p>
    <w:p w:rsidR="00A32E5D" w:rsidRPr="00960B3C" w:rsidRDefault="00A32E5D" w:rsidP="00960B3C">
      <w:pPr>
        <w:rPr>
          <w:lang w:val="en" w:eastAsia="tr-TR"/>
        </w:rPr>
      </w:pPr>
      <w:r w:rsidRPr="00960B3C">
        <w:rPr>
          <w:lang w:val="en" w:eastAsia="tr-TR"/>
        </w:rPr>
        <w:t>- The phrase "and variable" in the title of Article 10 titled "fixed and variable cost components" and the phrase "variable cost component" following the phrase "fixed cost component" in the first paragraph and the third paragraph regarding the variable cost component have been repealed, paragraph has been changed as follows.</w:t>
      </w:r>
    </w:p>
    <w:p w:rsidR="00A32E5D" w:rsidRPr="004E7F7B" w:rsidRDefault="00A32E5D" w:rsidP="00960B3C">
      <w:pPr>
        <w:rPr>
          <w:lang w:val="en" w:eastAsia="tr-TR"/>
        </w:rPr>
      </w:pPr>
      <w:r w:rsidRPr="004E7F7B">
        <w:rPr>
          <w:lang w:val="en" w:eastAsia="tr-TR"/>
        </w:rPr>
        <w:t>“(4) The Board Decision determining the fixed cost component includes provisions regarding the updating of these costs. In updating the fixed cost component, changes in the parameters of exchange rate, inflation and capacity-dependent transmission costs are taken into account. The update is made according to the invoice periods. "</w:t>
      </w:r>
    </w:p>
    <w:p w:rsidR="00A32E5D" w:rsidRPr="004E7F7B" w:rsidRDefault="00A32E5D" w:rsidP="00960B3C">
      <w:pPr>
        <w:rPr>
          <w:lang w:val="en" w:eastAsia="tr-TR"/>
        </w:rPr>
      </w:pPr>
      <w:r w:rsidRPr="004E7F7B">
        <w:rPr>
          <w:lang w:val="en" w:eastAsia="tr-TR"/>
        </w:rPr>
        <w:t>- The following paragraph has been added to the Provisional Article 2 titled "Applications for 2019".</w:t>
      </w:r>
    </w:p>
    <w:p w:rsidR="00A32E5D" w:rsidRPr="004E7F7B" w:rsidRDefault="00A32E5D" w:rsidP="00960B3C">
      <w:pPr>
        <w:rPr>
          <w:lang w:val="en" w:eastAsia="tr-TR"/>
        </w:rPr>
      </w:pPr>
      <w:r w:rsidRPr="004E7F7B">
        <w:rPr>
          <w:lang w:val="en" w:eastAsia="tr-TR"/>
        </w:rPr>
        <w:t>“(3) Legal entities who want to benefit from the capacity mechanism for 2019 and meet the conditions of participation within the framework of subparagraph (g) and fourth paragraph of the second paragraph of Article 6 shall apply to the System Operator within 30 days from the date of publication of this article. The power plants of legal entities whose application is approved are added to the list of facilities that will benefit from the capacity mechanism, starting from the month following the date of their application to the System Operator within the first 15 days of the month, or from the second month following the date they apply to the System Operator and announced on the website.</w:t>
      </w:r>
    </w:p>
    <w:p w:rsidR="00A32E5D" w:rsidRPr="004E7F7B" w:rsidRDefault="00A32E5D" w:rsidP="00960B3C">
      <w:pPr>
        <w:rPr>
          <w:lang w:val="en" w:eastAsia="tr-TR"/>
        </w:rPr>
      </w:pPr>
      <w:r w:rsidRPr="004E7F7B">
        <w:rPr>
          <w:lang w:val="en"/>
        </w:rPr>
        <w:t>Amendments were made in the Regulation so that capacity payments made on fixed and variable costs before the amendment are made only on the fixed cost component after the amendment. The amendment made in this context includes capacity payment to the power plants included in the Capacity Mechanism in proportion to their installed power, taking into account the fixed cost components. In addition, a regulation has been made regarding power plants that can participate in the capacity mechanism. In this context, an arrangement has been made to ensure that power plants using domestic natural gas or domestic coal in addition to imported natural gas or imported coal can receive capacity payments in proportion to their installed power corresponding to the domestic fuel used, if they produce energy using domestic natural gas or coal with these fuels.</w:t>
      </w:r>
    </w:p>
    <w:p w:rsidR="00A32E5D" w:rsidRPr="004E7F7B" w:rsidRDefault="008B6BBF" w:rsidP="00960B3C">
      <w:pPr>
        <w:rPr>
          <w:lang w:val="en"/>
        </w:rPr>
      </w:pPr>
      <w:r w:rsidRPr="004E7F7B">
        <w:rPr>
          <w:lang w:val="en"/>
        </w:rPr>
        <w:t xml:space="preserve">With the Amending Regulation published in the Official Gazette dated 16.02.2019 and numbered 30688, subparagraph (k) was added to the first paragraph of Article 57 titled "Share transfers" of the Electricity Market Licensing Regulation. Until the said add-on license is obtained, except for the reasons of </w:t>
      </w:r>
      <w:r w:rsidRPr="004E7F7B">
        <w:rPr>
          <w:lang w:val="en"/>
        </w:rPr>
        <w:lastRenderedPageBreak/>
        <w:t>inheritance and bankruptcy, the provision that the partnership structure of the associate license holder cannot be directly or indirectly changed, the transfer of shares or the transfer of shares cannot be carried out, the provision that the associate license holder legal entity cannot be directly and / or indirectly It consists in adding the exception that it will not apply to structure changes.</w:t>
      </w:r>
    </w:p>
    <w:p w:rsidR="008B6BBF" w:rsidRPr="004E7F7B" w:rsidRDefault="008B6BBF" w:rsidP="00960B3C">
      <w:pPr>
        <w:rPr>
          <w:lang w:val="en"/>
        </w:rPr>
      </w:pPr>
      <w:r w:rsidRPr="004E7F7B">
        <w:rPr>
          <w:lang w:val="en"/>
        </w:rPr>
        <w:t>In the Official Gazette dated 12.05.2019 and numbered 30772, with the aim to meet the electricity needs of consumers from their own generation facility closest to the consumption point, to bring small-scale generation facilities to the country's economy in ensuring supply security, and to ensure the effective use of small-scale production resources. The Unlicensed Electricity Generation Regulation in the Electricity Market, which determines the procedures and principles to be applied to real or legal persons who can generate electricity without the obligation to obtain a license and establish a company in order to reduce the amount of losses, has been published and entered into force. With the published Regulation, only installations where the production and consumption facilities are located at the same measurement point are allowed in line with the purpose of unlicensed production. In this way, since electricity will be consumed at the place where it is produced, losses will be reduced, new connection investment costs will not arise because the connection is available, and the system costs will be reduced due to the payments under YEKDEM, since the systems to be installed will give the fastest return when the consumption amount is established. From the consumer point of view, there will be no consumption invoices, since the production facility will be established to meet the consumption and monthly offsetting (net production or net consumption will be applied by deducting the monthly production and monthly consumption total), and the discounts made on the distribution system usage fees determined by the Board Decision. less distribution fee will be paid.</w:t>
      </w:r>
    </w:p>
    <w:p w:rsidR="008B6BBF" w:rsidRPr="004E7F7B" w:rsidRDefault="008B6BBF" w:rsidP="00960B3C">
      <w:pPr>
        <w:rPr>
          <w:lang w:val="en"/>
        </w:rPr>
      </w:pPr>
      <w:r w:rsidRPr="004E7F7B">
        <w:rPr>
          <w:lang w:val="en"/>
        </w:rPr>
        <w:t>• Electricity Market Import and Export Regulation (Regulation) prepared within the scope of Article 12 of the Electricity Market Law No. 6446, entered into force after being published in the Official Gazette No. 29003 of 17.05.2014. With the Amendment Regulation published in the Official Gazette dated 15.06.2019 and numbered 30802, the Electricity Market Import and Export Regulation has been amended and within the scope of the amendment;</w:t>
      </w:r>
    </w:p>
    <w:p w:rsidR="008B6BBF" w:rsidRPr="004E7F7B" w:rsidRDefault="008B6BBF" w:rsidP="00960B3C">
      <w:pPr>
        <w:rPr>
          <w:lang w:val="en"/>
        </w:rPr>
      </w:pPr>
      <w:r w:rsidRPr="004E7F7B">
        <w:rPr>
          <w:lang w:val="en"/>
        </w:rPr>
        <w:t>- TETAŞ was abolished and included in EÜAŞ in accordance with the provision of Article 9 of the Decree Law (Decree Law) on Making Amendments to Certain Laws and Decree Laws for Compliance with the Amendments Made in the Constitution No.703 and all rights and obligations granted to TETAŞ have been transferred to EÜAŞ. In this context, the necessary arrangements have been made in the Regulation for the activities carried out by TETAŞ to be carried out by EÜAŞ from now on and EÜAŞ's electrical energy import and / or export activities in accordance with the electrical energy import or export agreements signed under intergovernmental agreements and import within the scope of electrical energy exchange. and that they can carry out export activities is stipulated.</w:t>
      </w:r>
    </w:p>
    <w:p w:rsidR="008B6BBF" w:rsidRPr="004E7F7B" w:rsidRDefault="008B6BBF" w:rsidP="00960B3C">
      <w:pPr>
        <w:rPr>
          <w:lang w:val="en"/>
        </w:rPr>
      </w:pPr>
      <w:r w:rsidRPr="004E7F7B">
        <w:rPr>
          <w:lang w:val="en"/>
        </w:rPr>
        <w:t xml:space="preserve">-By making amendments to the paragraphs 2 and 3 of Article 7 of the Regulation regulating the applications for import and / or export activities in synchronous parallel connections; For synchronous parallel connections, the amount allocated in the event that procurement license holders who want to operate for import / export by using the interconnection line capacity, and generation companies that want to operate in the direction of export can participate in the tenders for capacity allocations announced by the System Operator and are entitled to line capacity allocation. and for a period of time, electrical energy import and / or export activities were made. It has been regulated that the capacity to </w:t>
      </w:r>
      <w:r w:rsidRPr="004E7F7B">
        <w:rPr>
          <w:lang w:val="en"/>
        </w:rPr>
        <w:lastRenderedPageBreak/>
        <w:t>be allocated to companies holding a generation license cannot exceed the total installed power value of the relevant company in the enterprise.</w:t>
      </w:r>
    </w:p>
    <w:p w:rsidR="008B6BBF" w:rsidRPr="004E7F7B" w:rsidRDefault="008B6BBF" w:rsidP="00960B3C">
      <w:pPr>
        <w:rPr>
          <w:lang w:val="en"/>
        </w:rPr>
      </w:pPr>
      <w:r w:rsidRPr="004E7F7B">
        <w:rPr>
          <w:lang w:val="en"/>
        </w:rPr>
        <w:t>- According to the fourth paragraph of Article 7 of the Regulation, the license holders who want to import / export by using the interconnection line capacity for synchronous parallel connections and have this right will submit the letter of guarantee in the specified amount to the System Operator or to the international organizations to which the Law is a party pursuant to the fourth paragraph of Article 8. arrangement has been made.</w:t>
      </w:r>
    </w:p>
    <w:p w:rsidR="008B6BBF" w:rsidRPr="004E7F7B" w:rsidRDefault="008B6BBF" w:rsidP="00960B3C">
      <w:pPr>
        <w:rPr>
          <w:lang w:val="en"/>
        </w:rPr>
      </w:pPr>
      <w:r w:rsidRPr="004E7F7B">
        <w:rPr>
          <w:lang w:val="en"/>
        </w:rPr>
        <w:t>- With the amendment made in subparagraph (c) of the fourth paragraph of Article 8 of the Regulation, the phrase "and in case of a restriction" is added next to the phrase "there is more than one application for the same line", and if there is more than one application on the same line and a constraint in the system, the applications are in accordance with the provisions of the Regulation. The issue of notifying the System Operator to be finalized has been arranged.</w:t>
      </w:r>
    </w:p>
    <w:p w:rsidR="008B6BBF" w:rsidRPr="004E7F7B" w:rsidRDefault="008B6BBF" w:rsidP="00960B3C">
      <w:pPr>
        <w:rPr>
          <w:lang w:val="en"/>
        </w:rPr>
      </w:pPr>
      <w:r w:rsidRPr="004E7F7B">
        <w:rPr>
          <w:lang w:val="en"/>
        </w:rPr>
        <w:t>- In addition, the "Balancing and Reconciliation Procedures and Principles for Import and Export" published in the Official Gazette dated 17.07.2011 and numbered 27997 was abolished and the trade with neighboring countries was harmonized and in the interconnection agreement instead of meter data for non-parallel connections. It has been arranged that the delivery points are considered as the basis for settlement and withdrawal values.</w:t>
      </w:r>
    </w:p>
    <w:p w:rsidR="008B6BBF" w:rsidRPr="004E7F7B" w:rsidRDefault="008B6BBF" w:rsidP="00960B3C">
      <w:pPr>
        <w:rPr>
          <w:lang w:val="en"/>
        </w:rPr>
      </w:pPr>
      <w:r w:rsidRPr="004E7F7B">
        <w:rPr>
          <w:lang w:val="en"/>
        </w:rPr>
        <w:t>With the Amending Regulation published in the Official Gazette dated 09.07.2019 and numbered 30826 the following amendments were made to the Electricity Market Licensing Regulation;</w:t>
      </w:r>
    </w:p>
    <w:p w:rsidR="008B6BBF" w:rsidRPr="004E7F7B" w:rsidRDefault="008B6BBF" w:rsidP="00960B3C">
      <w:pPr>
        <w:rPr>
          <w:lang w:val="en"/>
        </w:rPr>
      </w:pPr>
      <w:r w:rsidRPr="004E7F7B">
        <w:rPr>
          <w:lang w:val="en"/>
        </w:rPr>
        <w:t>- Clauses (ppp) and (rrr) have been added to article 4 titled "Definitions and abbreviations". (ppp) clause "National Electronic Notification System (UETS): It refers to the electronic notification system to be made through the Postal and Telegraph Organization Co.Inc. (PTT) by the authorities and authorities authorized to issue notifications in accordance with the Notification Law No. 7201, dated 11/2/1959." , (rrr) is defined as "EMRA Application System: It refers to the system that enables electronic applications for all associate and license transactions carried out by the Authority." With the Electronic Notification Regulation, which entered into force on 1/1/2019, it is obligatory to make all kinds of notifications to be made by public institutions and organizations to the address of UETS via electronic means. In this context, the definition of National Electronic Notification System (UETS) has been added to the Electricity Market Licensing Regulation.</w:t>
      </w:r>
    </w:p>
    <w:p w:rsidR="008B6BBF" w:rsidRPr="004E7F7B" w:rsidRDefault="008B6BBF" w:rsidP="00960B3C">
      <w:pPr>
        <w:rPr>
          <w:lang w:val="en"/>
        </w:rPr>
      </w:pPr>
      <w:r w:rsidRPr="004E7F7B">
        <w:rPr>
          <w:lang w:val="en"/>
        </w:rPr>
        <w:t>- The first clause, second clause, clause (a) of the fifth clause and clause (c) of the seventh clause with the title of “Associate application procedure” have been amended and the clause has been added to the third clause of the same article. The changes made in the first and second paragraphs are related to the ability to apply for a pre-license in electronic environment. With this amendment, it is regulated that the pre-license applications to be made to the Authority will be received electronically by submitting the relevant documents through the EMRA Application System, and it is aimed to provide convenience and time savings in business / transactions and processes.</w:t>
      </w:r>
    </w:p>
    <w:p w:rsidR="008B6BBF" w:rsidRPr="00960B3C" w:rsidRDefault="008B6BBF" w:rsidP="00960B3C">
      <w:pPr>
        <w:rPr>
          <w:lang w:val="en"/>
        </w:rPr>
      </w:pPr>
      <w:r w:rsidRPr="004E7F7B">
        <w:rPr>
          <w:lang w:val="en"/>
        </w:rPr>
        <w:t xml:space="preserve">The amendment made in the fifth paragraph relates that the collateral required to be submitted in pre-license applications must be submitted to the Institution's documents within five working days from the date of application, if it is presented as a bank letter of guarantee. With the amendment made in the seventh paragraph, the requirement for wind or solar measurement in accordance with the standard obtained in the last five years has been increased from five years to eight years within the scope of this </w:t>
      </w:r>
      <w:r w:rsidRPr="004E7F7B">
        <w:rPr>
          <w:lang w:val="en"/>
        </w:rPr>
        <w:lastRenderedPageBreak/>
        <w:t xml:space="preserve">Regulation, which is sought in the pre-license applications to establish a wind-solar-based generation facility, excluding the applications to be made for YEKA. This amendment has been made in order to </w:t>
      </w:r>
      <w:r w:rsidRPr="00960B3C">
        <w:rPr>
          <w:lang w:val="en"/>
        </w:rPr>
        <w:t>comply with the amendment made in the fourth paragraph of Article 7 of the Electricity Market Law No.6446, and it is a regulation that retrospective wind or solar measurements for eight years will be valid in pre-license applications to the Authority. In this way, companies that have made wind or solar measurements in the last eight years as of the date of receipt of their pre-license applications will be able to apply for pre-license with the existing measurement data without having to make a new measurement. The clause added to the third paragraph is about legal persons subject to the provisions of private law who will apply for a pre-license to operate in the market, obtaining a notification address via UETS and keeping this address open.</w:t>
      </w:r>
    </w:p>
    <w:p w:rsidR="008B6BBF" w:rsidRPr="00960B3C" w:rsidRDefault="008B6BBF" w:rsidP="00960B3C">
      <w:pPr>
        <w:rPr>
          <w:lang w:val="en"/>
        </w:rPr>
      </w:pPr>
      <w:r w:rsidRPr="00960B3C">
        <w:rPr>
          <w:lang w:val="en"/>
        </w:rPr>
        <w:t>-The first, second and fifth paragraphs of Article 13 titled "Receiving and reviewing associate degree applications" have been amended. The amendments are related to arranging the associate license applications and the pre-license applications to be made for YEKA with expressions suitable for making electronically and removing the statement that the application has not been made from the text of the article.</w:t>
      </w:r>
    </w:p>
    <w:p w:rsidR="008B6BBF" w:rsidRPr="00960B3C" w:rsidRDefault="008B6BBF" w:rsidP="00960B3C">
      <w:pPr>
        <w:rPr>
          <w:lang w:val="en"/>
        </w:rPr>
      </w:pPr>
      <w:r w:rsidRPr="00960B3C">
        <w:rPr>
          <w:lang w:val="en"/>
        </w:rPr>
        <w:t>- Sub-clause (3) of sub-clause (g) of the first clause of Article 17 titled “The work and procedures to be completed within the pre-license period” has been changed. The amendment consists of adding the phrase "in case they are obliged" to the text of the WPP or GES contribution agreement signed with TEİAŞ for wind and solar energy based generation facilities related to the generation facility subject to preliminary license, after the phrase for their facilities.</w:t>
      </w:r>
    </w:p>
    <w:p w:rsidR="008B6BBF" w:rsidRPr="00960B3C" w:rsidRDefault="008B6BBF" w:rsidP="00960B3C">
      <w:pPr>
        <w:rPr>
          <w:lang w:val="en"/>
        </w:rPr>
      </w:pPr>
      <w:r w:rsidRPr="00960B3C">
        <w:rPr>
          <w:lang w:val="en"/>
        </w:rPr>
        <w:t>- The second paragraph of Article 18 titled "Amending the Associate Degree" has been amended. The amendment is about the regulation of the texts regarding the electronic amendment of the associate degree with appropriate expressions.</w:t>
      </w:r>
    </w:p>
    <w:p w:rsidR="008B6BBF" w:rsidRPr="00960B3C" w:rsidRDefault="008B6BBF" w:rsidP="00960B3C">
      <w:pPr>
        <w:rPr>
          <w:lang w:val="en"/>
        </w:rPr>
      </w:pPr>
      <w:r w:rsidRPr="00960B3C">
        <w:rPr>
          <w:lang w:val="en"/>
        </w:rPr>
        <w:t>- The first and third paragraphs of Article 19 titled “Termination and cancellation of pre-license” have been amended. The changes are related to the regulation of the texts regarding the termination and cancellation of the pre-license in electronic environment with appropriate expressions.</w:t>
      </w:r>
    </w:p>
    <w:p w:rsidR="008B6BBF" w:rsidRPr="00960B3C" w:rsidRDefault="00667BF4" w:rsidP="00960B3C">
      <w:pPr>
        <w:rPr>
          <w:lang w:val="en"/>
        </w:rPr>
      </w:pPr>
      <w:r w:rsidRPr="00960B3C">
        <w:rPr>
          <w:lang w:val="en"/>
        </w:rPr>
        <w:t>- The first and second paragraphs of the article 20 titled "License application" have been changed, the third paragraph has been added and the phrase "attached to the application petition" in the sixth paragraph has been repealed. The changes made in the first and second paragraphs are related to the regulation of the texts regarding the electronic license application. The clause added to the third paragraph is about the legal persons subject to the provisions of private law who will apply for a license to operate in the market, obtaining a notification address via UETS and keeping this address open.</w:t>
      </w:r>
    </w:p>
    <w:p w:rsidR="00667BF4" w:rsidRPr="00960B3C" w:rsidRDefault="00667BF4" w:rsidP="00960B3C">
      <w:pPr>
        <w:rPr>
          <w:lang w:val="en"/>
        </w:rPr>
      </w:pPr>
      <w:r w:rsidRPr="00960B3C">
        <w:rPr>
          <w:lang w:val="en"/>
        </w:rPr>
        <w:t>- Article 21 titled "Receiving and reviewing license applications", 24 titled "Examining, evaluating and finalizing license amendment applications", Article 26 titled "Termination of licenses", Article 40 titled "Starting wind and solar measurements", "Share transfers" 57th article titled and 59th article titled "Merger and Division" were changed. The amendments are related to the regulation of the texts for receiving associate and license applications electronically.</w:t>
      </w:r>
    </w:p>
    <w:p w:rsidR="00667BF4" w:rsidRPr="00960B3C" w:rsidRDefault="00667BF4" w:rsidP="00960B3C">
      <w:pPr>
        <w:rPr>
          <w:lang w:val="en"/>
        </w:rPr>
      </w:pPr>
      <w:r w:rsidRPr="00960B3C">
        <w:rPr>
          <w:lang w:val="en"/>
        </w:rPr>
        <w:t xml:space="preserve">- The first paragraph of Article 37 titled "Obligation regarding wind and solar measurements" has been amended. With the amendment made, the validity of the measurements made to establish a production facility based on wind or solar energy has been taken from three to eight years. In addition, an </w:t>
      </w:r>
      <w:r w:rsidRPr="00960B3C">
        <w:rPr>
          <w:lang w:val="en"/>
        </w:rPr>
        <w:lastRenderedPageBreak/>
        <w:t>arrangement was made stating that the report station installation report and measurement result report will be submitted to the Authority by MGM.</w:t>
      </w:r>
    </w:p>
    <w:p w:rsidR="00667BF4" w:rsidRPr="00960B3C" w:rsidRDefault="00667BF4" w:rsidP="00960B3C">
      <w:pPr>
        <w:rPr>
          <w:lang w:val="en"/>
        </w:rPr>
      </w:pPr>
      <w:r w:rsidRPr="00960B3C">
        <w:rPr>
          <w:lang w:val="en"/>
        </w:rPr>
        <w:t xml:space="preserve">- A clause has been added to Article 43 titled "License fees". Attached paragraph "For the amendment requests regarding the common provisions in associate licenses and / or licenses owned by a legal person, a single license amendment fee is charged, provided that it is made in the same application." </w:t>
      </w:r>
    </w:p>
    <w:p w:rsidR="00667BF4" w:rsidRPr="00960B3C" w:rsidRDefault="00667BF4" w:rsidP="00960B3C">
      <w:pPr>
        <w:rPr>
          <w:lang w:val="en"/>
        </w:rPr>
      </w:pPr>
      <w:r w:rsidRPr="00960B3C">
        <w:rPr>
          <w:lang w:val="en"/>
        </w:rPr>
        <w:t>• The Amending Regulation published in the Official Gazette dated 24.08.2019 and numbered 30868 the following amendments were made in the Electricity Market Balancing and Settlement Regulation;</w:t>
      </w:r>
    </w:p>
    <w:p w:rsidR="00667BF4" w:rsidRPr="00960B3C" w:rsidRDefault="00667BF4" w:rsidP="00960B3C">
      <w:pPr>
        <w:rPr>
          <w:lang w:val="en"/>
        </w:rPr>
      </w:pPr>
      <w:r w:rsidRPr="00960B3C">
        <w:rPr>
          <w:lang w:val="en"/>
        </w:rPr>
        <w:t>- Article 4 titled "Definitions" has been amended. With the amendment made, block purchase order, block sales offer, flexible sales offer, day ahead market offers, day ahead system purchase offers, lot definitions have been changed. Flexible purchase offer, offer period, offer time interval and market transaction definitions without a counterpart have been added to the article. The definition of unrequited market transaction as of 01.10.2019, other changed and added definitions are in effect as of 01.09.2019. The changing definitions in question and the final versions of the added definitions are as follows.</w:t>
      </w:r>
    </w:p>
    <w:p w:rsidR="00667BF4" w:rsidRPr="00960B3C" w:rsidRDefault="00667BF4" w:rsidP="00960B3C">
      <w:pPr>
        <w:rPr>
          <w:lang w:val="en"/>
        </w:rPr>
      </w:pPr>
      <w:r w:rsidRPr="00960B3C">
        <w:rPr>
          <w:rFonts w:eastAsia="Times New Roman"/>
          <w:noProof w:val="0"/>
          <w:lang w:val="en" w:eastAsia="tr-TR"/>
        </w:rPr>
        <w:t>“</w:t>
      </w:r>
      <w:r w:rsidRPr="00960B3C">
        <w:rPr>
          <w:lang w:val="en"/>
        </w:rPr>
        <w:t>ğ) Block purchase bid: Active electricity energy purchase offers of market participants participating in the day ahead market, which include variable amount information based on single price and settlement period during the specified time period,</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h) Block sale offer: Active electricity energy sales offers of market participants participating in the day ahead market, which include variable amount information on a single price and settlement period during the specified time period, "</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"ü) Flexible sales offer: Active electricity energy sales offers of market participants participating in the day ahead market, valid within the specified offer period, containing the variable amount information on a single price and settlement period during the offer period,"</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"gg) Day ahead market offers: Hourly buy-sell offers, block buy-sell offers and flexible buy-sell offers submitted by market participants participating in the day ahead market,"</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"kk) Day ahead system purchase offers: Hourly, block and flexible purchase offers submitted within the scope of day ahead balancing activities,"</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"jjjjj) Lot: The amount of energy equivalent to 0.1 MWh used to submit bids within the scope of bilateral agreements based on settlement, day ahead market and intraday market,"</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"Ppppp) Flexible purchase offer: Active electricity energy purchase offers of market participants participating in the day ahead market, valid within the specified bid period, containing the variable amount information on a single price and settlement period during the offer period,</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rrrrr) Offer period: The number of one or more consecutive settlement periods in which active electricity energy purchase and sale will take place within the offer time interval specified in a flexible offer,</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sssss) Offer time range: The time period defined by the start and end times, in which block and flexible bids are valid, "</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lastRenderedPageBreak/>
        <w:t>“Shşşşş) Unrequited Market Transaction: Within the framework of the provisions set out in the Method of Unrequited Market Transactions prepared by the market operator, the market transaction amounts of the market participants; Transactions that are found to exceed the amount calculated by using data on sales, purchases, imports, exports and their production, "</w:t>
      </w:r>
    </w:p>
    <w:p w:rsidR="00667BF4" w:rsidRPr="00960B3C" w:rsidRDefault="00667BF4" w:rsidP="00960B3C">
      <w:pPr>
        <w:rPr>
          <w:lang w:val="en"/>
        </w:rPr>
      </w:pPr>
      <w:r w:rsidRPr="00960B3C">
        <w:rPr>
          <w:lang w:val="en"/>
        </w:rPr>
        <w:t xml:space="preserve">- The clause has been added to the article 17 titled "The obligation of registration of market participants". The added clause Participation of the electrical energy produced in the pre-acceptance test period in the balancing mechanism and settlement practices of the nuclear power plants, the units or units of the said generation facility or generation facility, the Project and Acceptance Regulation of Nuclear Power Plants published in the Official Gazette dated 18/1/2019 and numbered 30659 It takes place following the completion of the pre-acceptance procedures made in accordance with its provisions. In order to make the settlement calculations of the unit / units that are in the test period in nuclear power plants and the unit / units that have entered into commercial operation separately, the said unit / units are registered as different categories under the same legal entity. All settlement procedures for the created categories are carried out separately. " </w:t>
      </w:r>
    </w:p>
    <w:p w:rsidR="00667BF4" w:rsidRPr="00960B3C" w:rsidRDefault="00667BF4" w:rsidP="00960B3C">
      <w:pPr>
        <w:rPr>
          <w:lang w:val="en"/>
        </w:rPr>
      </w:pPr>
      <w:r w:rsidRPr="00960B3C">
        <w:rPr>
          <w:rFonts w:eastAsia="Times New Roman"/>
          <w:noProof w:val="0"/>
          <w:lang w:val="en" w:eastAsia="tr-TR"/>
        </w:rPr>
        <w:t xml:space="preserve">- </w:t>
      </w:r>
      <w:r w:rsidRPr="00960B3C">
        <w:rPr>
          <w:lang w:val="en"/>
        </w:rPr>
        <w:t>The sixth paragraph of the 21st article titled "Conciliation-based grant-withdrawal units and registration rules" has been amended. The amendment consists of adding the phrase "in procedures and principles" instead of the phrase "Balancing and Reconciliation Procedures and Principles for Import and Export".</w:t>
      </w:r>
    </w:p>
    <w:p w:rsidR="00667BF4" w:rsidRPr="00960B3C" w:rsidRDefault="00667BF4" w:rsidP="00960B3C">
      <w:pPr>
        <w:rPr>
          <w:rFonts w:eastAsia="Times New Roman"/>
          <w:noProof w:val="0"/>
          <w:lang w:val="en" w:eastAsia="tr-TR"/>
        </w:rPr>
      </w:pPr>
      <w:r w:rsidRPr="00960B3C">
        <w:rPr>
          <w:rFonts w:eastAsia="Times New Roman"/>
          <w:noProof w:val="0"/>
          <w:lang w:val="en" w:eastAsia="tr-TR"/>
        </w:rPr>
        <w:t>- The third paragraph of the 53rd article titled "Day ahead market bids" has been changed. Adding the phrase "at least" instead of "at least" in the text of the amendment article, adding the phrase "bid time range" instead of the phrase "except for flexible bids" in the clause (c) It consists of adding the "Offer period for flexible offers" as item (f) to the information that should be included in the offers as a minimum. The amendment is effective as of 01.09.2019.</w:t>
      </w:r>
    </w:p>
    <w:p w:rsidR="00667BF4" w:rsidRPr="00960B3C" w:rsidRDefault="00667BF4" w:rsidP="00960B3C">
      <w:pPr>
        <w:rPr>
          <w:lang w:val="en"/>
        </w:rPr>
      </w:pPr>
      <w:r w:rsidRPr="00960B3C">
        <w:rPr>
          <w:lang w:val="en"/>
        </w:rPr>
        <w:t>- A clause has been added to Article 57 titled "Notification and confirmation of day ahead market offers". The attached paragraph “(6) The maximum purchase and sales quantities that can be notified to the day ahead market by the market participants are calculated in accordance with the Method for Unrequited Market Operations prepared by the Market Operator. In case the market participant submits offers exceeding these amounts, all bids of the market participant are canceled via MMS in accordance with the method in question. " It shaped. The change is in effect as of 01.10.2019.</w:t>
      </w:r>
    </w:p>
    <w:p w:rsidR="00667BF4" w:rsidRPr="00960B3C" w:rsidRDefault="00667BF4" w:rsidP="00960B3C">
      <w:pPr>
        <w:rPr>
          <w:lang w:val="en"/>
        </w:rPr>
      </w:pPr>
      <w:r w:rsidRPr="00960B3C">
        <w:rPr>
          <w:lang w:val="en"/>
        </w:rPr>
        <w:t>Article 57 / A titled "Market transactions with no return" has been added to the Regulation after the 57th articl</w:t>
      </w:r>
      <w:r w:rsidR="00850CB5" w:rsidRPr="00960B3C">
        <w:rPr>
          <w:lang w:val="en"/>
        </w:rPr>
        <w:t>e. The added item is as follows;</w:t>
      </w:r>
    </w:p>
    <w:p w:rsidR="00850CB5" w:rsidRPr="00960B3C" w:rsidRDefault="00850CB5" w:rsidP="00960B3C">
      <w:pPr>
        <w:rPr>
          <w:rFonts w:eastAsia="Times New Roman"/>
          <w:noProof w:val="0"/>
          <w:lang w:val="en" w:eastAsia="tr-TR"/>
        </w:rPr>
      </w:pPr>
      <w:r w:rsidRPr="00960B3C">
        <w:rPr>
          <w:lang w:val="en"/>
        </w:rPr>
        <w:t>“</w:t>
      </w:r>
      <w:r w:rsidRPr="00960B3C">
        <w:rPr>
          <w:rFonts w:eastAsia="Times New Roman"/>
          <w:noProof w:val="0"/>
          <w:lang w:val="en" w:eastAsia="tr-TR"/>
        </w:rPr>
        <w:t>ARTICLE 57 / A - (1) The issues regarding the blocking of advance receivables to be applied to market participants who are determined to have made unrequited market transactions by the Market Operator and other transactions are regulated in the Method of Unrequited Market Transactions.</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(2) The Method for Unpaid Market Transactions is prepared by the Market Operator and published on the website. The Market Operator completes the improvements and changes required in the Method referred by the Authority within the time allotted to him. " The change is in effect as of 01.10.2019.</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Clause (c) of the second paragraph of Article 63 titled "Commercial transaction approval" has been amended. The amendment consists of replacing the phrase "valid" with the phrase "accepted". This change is effective as of 01.09.2019.</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lastRenderedPageBreak/>
        <w:t>- The phrase "or suspends related contracts" has been added after the phrase "determines new periods" in the second paragraph of article 66 / G titled "MMS malfunction and maintenance procedures within the scope of the intra-day market".</w:t>
      </w:r>
    </w:p>
    <w:p w:rsidR="00850CB5" w:rsidRPr="00960B3C" w:rsidRDefault="00850CB5" w:rsidP="00960B3C">
      <w:pPr>
        <w:rPr>
          <w:lang w:val="en" w:eastAsia="tr-TR"/>
        </w:rPr>
      </w:pPr>
      <w:r w:rsidRPr="00960B3C">
        <w:rPr>
          <w:lang w:val="en" w:eastAsia="tr-TR"/>
        </w:rPr>
        <w:t>- Subparagraph (c) of the first paragraph of Article 67 titled "General principles regarding the functioning of the balancing power market" has been amended. The amendment consists of adding the phrase "within its scope" instead of the phrase "must be provided within the scope", adding the phrase "and secondary frequency control" after the phrase "primary frequency control" and adding the phrase "to its quantities" instead of "to its quantity".</w:t>
      </w:r>
    </w:p>
    <w:p w:rsidR="00850CB5" w:rsidRPr="00960B3C" w:rsidRDefault="00850CB5" w:rsidP="00960B3C">
      <w:pPr>
        <w:rPr>
          <w:rFonts w:ascii="Times New Roman" w:hAnsi="Times New Roman" w:cs="Times New Roman"/>
          <w:lang w:val="en" w:eastAsia="tr-TR"/>
        </w:rPr>
      </w:pPr>
      <w:r w:rsidRPr="00960B3C">
        <w:rPr>
          <w:rFonts w:ascii="Times New Roman" w:hAnsi="Times New Roman" w:cs="Times New Roman"/>
          <w:lang w:val="en" w:eastAsia="tr-TR"/>
        </w:rPr>
        <w:t>- The first paragraph of the article 70 titled “The structure and content of load taking and shedding offers offered within the scope of balancing power market” has been changed. The text of the amendment consists of adding the phrase "within its scope" instead of the phrase "must be provided within the scope", adding the phrase "and secondary frequency control" after the phrase "primary frequency control" and adding the phrase "to its quantities" instead of "to its quantity".</w:t>
      </w:r>
    </w:p>
    <w:p w:rsidR="00850CB5" w:rsidRPr="00960B3C" w:rsidRDefault="00850CB5" w:rsidP="00960B3C">
      <w:pPr>
        <w:rPr>
          <w:rFonts w:ascii="Times New Roman" w:hAnsi="Times New Roman" w:cs="Times New Roman"/>
          <w:lang w:val="en" w:eastAsia="tr-TR"/>
        </w:rPr>
      </w:pPr>
      <w:r w:rsidRPr="00960B3C">
        <w:rPr>
          <w:rFonts w:ascii="Times New Roman" w:hAnsi="Times New Roman" w:cs="Times New Roman"/>
          <w:lang w:val="en" w:eastAsia="tr-TR"/>
        </w:rPr>
        <w:t>- "Notifications within the scope of balancing power market", the phrase "of available capacities and minimum stable generation level values ​​for ancillary service units" has been added to come after the phrase "bids for loading and unloading" in paragraph (a) of the first paragraph of 77 titled "Notifications within the scope of the balancing power market".</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Article 79 titled "Information to be provided by the system operator for settlement" has been amended. The amendment consists of changing and clarifying some of the expressions in the article. The final version of the article "The System Operator has given and agreed upon the finalized day-ahead generation / consumption program for each settlement period within the said notification period, on the basis of the settlement-withdrawal unit in the nature of generation facility within the scope of balancing power market for settlement. it transmits the provided load and unload instructions, the label values ​​of these instructions, the bid prices and the system marginal prices calculated by the System Operator within the scope of the balancing power market and the data required to be used in YGSMF, KÜPST and other accounts to the Market Operator.</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xml:space="preserve">A clause has been added to Article 89 titled “Amendment of bilateral agreement notifications based on conciliation”. The attached paragraph "(2) The bilateral agreement notifications related to import-export can be updated in line with the amendment requests containing the agreed bilateral agreement notifications to be made separately by the System Operator and the relevant market participant to the Market Operator." </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Article 89 / A titled "Market transaction without a counterpart within the scope of bilateral agreement notifications" has been added to the Regulation after the 89th article. The attached paragraph is as follows. The article is in effect as of 01.10.2019.</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ARTICLE 89 / A - (1) Bilateral agreement notifications in the form of unrequited market transactions shall be canceled in accordance with the provisions of the Procedure Regarding Market Transactions Without Provision. "</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Subparagraph (c) of the first paragraph of Article 92 titled "Data requirements for the settlement of day ahead balancing activities" has been changed as follows.</w:t>
      </w:r>
    </w:p>
    <w:p w:rsidR="00850CB5" w:rsidRPr="00960B3C" w:rsidRDefault="00850CB5" w:rsidP="00960B3C">
      <w:pPr>
        <w:rPr>
          <w:rFonts w:ascii="Times New Roman" w:hAnsi="Times New Roman" w:cs="Times New Roman"/>
          <w:lang w:val="en" w:eastAsia="tr-TR"/>
        </w:rPr>
      </w:pPr>
      <w:r w:rsidRPr="00960B3C">
        <w:rPr>
          <w:rFonts w:ascii="Times New Roman" w:hAnsi="Times New Roman" w:cs="Times New Roman"/>
          <w:lang w:val="en" w:eastAsia="tr-TR"/>
        </w:rPr>
        <w:lastRenderedPageBreak/>
        <w:t>"C) Day ahead prices calculated for each bid zone by taking into account the offers of the market participants regarding the energy sale or purchase of energy from the system within the scope of day ahead balancing for each hour in an invoicing period through the related module of MMS,"</w:t>
      </w:r>
    </w:p>
    <w:p w:rsidR="00850CB5" w:rsidRPr="00960B3C" w:rsidRDefault="00850CB5" w:rsidP="00960B3C">
      <w:pPr>
        <w:rPr>
          <w:rFonts w:ascii="Times New Roman" w:hAnsi="Times New Roman" w:cs="Times New Roman"/>
          <w:lang w:val="en" w:eastAsia="tr-TR"/>
        </w:rPr>
      </w:pPr>
      <w:r w:rsidRPr="00960B3C">
        <w:rPr>
          <w:rFonts w:ascii="Times New Roman" w:hAnsi="Times New Roman" w:cs="Times New Roman"/>
          <w:lang w:val="en" w:eastAsia="tr-TR"/>
        </w:rPr>
        <w:t>- Article 94 titled "Determination of system sales prices" has been changed. The amendment is related to changing the formulas used in determining the system sales price.</w:t>
      </w:r>
    </w:p>
    <w:p w:rsidR="00850CB5" w:rsidRPr="00960B3C" w:rsidRDefault="00850CB5" w:rsidP="00960B3C">
      <w:pPr>
        <w:rPr>
          <w:lang w:val="en" w:eastAsia="tr-TR"/>
        </w:rPr>
      </w:pPr>
      <w:r w:rsidRPr="00960B3C">
        <w:rPr>
          <w:lang w:val="en" w:eastAsia="tr-TR"/>
        </w:rPr>
        <w:t>- Article 96 titled "Determination of system purchase prices" has been amended. The amendment is related to changing the formulas used in determining the system purchase price.</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The first paragraph of Article 132 titled "Advance payment notifications" has been changed. Changing the phrase "following the completion of day-ahead balancing activities" in the text of the amended article with the phrase "every working day" with the phrase "with" with the phrase "intermediary", "this notification is based on the intraday market activities carried out the day before the day it is published and the day it is published. It covers receivables and payables related to day-ahead balancing activities performed instead of “This notification covers the receivables and payables related to the intraday market and purchase and sales amounts within the scope of day-ahead balancing of the day before the day it is published. An advance payment notification is made on the first working day following the weekend or public holidays. " The phrase is related to its replacement. The change is in effect as of 01.10.2019.</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"The fifteenth day of the month following the invoicing period" in the first paragraph of Article 132 / A titled "Conciliation notifications", and "the working day following the end of the weekend or public holiday if the fifteenth day of the month coincides with the weekend or a public holiday" The phrase has been added.</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First, third and fourth paragraphs of article 132 / C titled "Invoicing" have been changed. The phrase "from the fifteenth day of the month in which the notification is made" in the text of the amendment paragraph has been removed, instead of the phrase "from the day when the final settlement notification is announced to the relevant market participants through MMS".</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In the event that the advance receivables of the market participants are blocked in accordance with the provisions of the Article 132 / Ç titled "Payments and Collection", "(15) Unpaid Market Transactions Method, the said net advance receivables will be cleared and offset by the market operator to the invoice debts of the relevant month." A paragraph has been added in the form. The addition made is in effect as of 01.10.2019.</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The phrase "and / or the money in the free current account of the market participant" to come after the phrase "cash collateral above the total collateral amount to be submitted" in the second paragraph of Article 132 / D titled "Making advance payments" means "the relevant amount in the third paragraph. The phrase "and / or the money in the free current account of the market participant" has been added to come after the phrase "the cash collateral above the participant's total collateral".</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t>- The provisions of this paragraph are not applicable for advance payments blocked in accordance with the provisions of the "Method for Unrequited Market Operations" at the end of the fifth paragraph of Article 132 / D titled "Making advance payments". sentence has been added as. This regulation is in effect as of 01.10.2019.</w:t>
      </w:r>
    </w:p>
    <w:p w:rsidR="00850CB5" w:rsidRPr="00960B3C" w:rsidRDefault="00850CB5" w:rsidP="00960B3C">
      <w:pPr>
        <w:rPr>
          <w:rFonts w:eastAsia="Times New Roman"/>
          <w:noProof w:val="0"/>
          <w:lang w:val="en" w:eastAsia="tr-TR"/>
        </w:rPr>
      </w:pPr>
      <w:r w:rsidRPr="00960B3C">
        <w:rPr>
          <w:rFonts w:eastAsia="Times New Roman"/>
          <w:noProof w:val="0"/>
          <w:lang w:val="en" w:eastAsia="tr-TR"/>
        </w:rPr>
        <w:lastRenderedPageBreak/>
        <w:t>- The phrase "and / or the money in the free current account of the market participant" has been added to come after the phrase "cash collateral above the total collateral amount to be provided" in the second paragraph of Article 132 / E titled "Not making invoice payments", and the fourth paragraph (c) has been changed and subparagraph (h) of the fifth paragraph has been repealed. The amendment made in the fourth paragraph concerns the removal of the words "planning, day ahead" and "market and balancing power" from the text of the paragraph. Subparagraph (h) of the fifth paragraph, which was abolished, states that "In the event that the remaining amount of the guarantee amount exceeding all its due debts as of the due date of the following invoicing period is cash guarantee and the relevant participant presents a letter of guarantee equivalent to the cash guarantee amount, the current cash amount will be returned to the participant."</w:t>
      </w:r>
    </w:p>
    <w:p w:rsidR="00850CB5" w:rsidRPr="00960B3C" w:rsidRDefault="00850CB5" w:rsidP="00960B3C">
      <w:pPr>
        <w:rPr>
          <w:lang w:val="en"/>
        </w:rPr>
      </w:pPr>
      <w:r w:rsidRPr="00960B3C">
        <w:rPr>
          <w:lang w:val="en"/>
        </w:rPr>
        <w:t>- Clause (b) of the third paragraph of Article 133 titled “Objections” has been repealed, and the fifth paragraph has been amended. The abolished clause "The applications for which the relevant units of TEIAS or the relevant distribution license holder have not been notified to the Market Operator within the specified period are assumed to be justified and evaluated in the calculations of Retrospective Correction Item." It shaped. The amendment made in the fifth paragraph, replacing the phrase "as of" with the phrase "as of", and the removal of the expression of objection applications concluded in accordance with subparagraph (b) in the third paragraph, and the corrections that cannot be made in accordance with the provisions of this Regulation regarding the differences in consumption. with invoices to be issued between."</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xml:space="preserve">• The seventh paragraph of Article 4 titled "Competition and capacity allocation" of the Competition Regulation on Associate Degree Applications for Establishing a Wind or Solar Energy Based Production Facility was amended by the Amendment Regulation published in the Official Gazette dated 23.08.2019 and numbered 30867. In the text of the amendment paragraph, "The Bid Price based on the allocation of connection capacity, instead of removing the phrase" of facilities, "the Contribution Share or Participation Fee promised to be paid in accordance with the abrogated provisions of the Law on the Organization and Duties of the Energy Market Regulatory Authority or the Electricity Market Law No. 6446 , production facilities ”has been introduced. The final version of the paragraph “(7) In the competition; The Contribution or Participation Fee promised to be paid pursuant to the abrogated provisions of the Law on the Organization and Duties of the Energy Market Regulatory Authority No. 4628 or the Electricity Market Law No. 6446 is also valid for capacity increases of generation facilities. </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With the Amending Regulation published in the Official Gazette dated 23.08.2019 and numbered 30867 the following amendments were made to the Regulation on Certification and Support of Renewable Energy Resources;</w:t>
      </w:r>
    </w:p>
    <w:p w:rsidR="00850CB5" w:rsidRPr="00960B3C" w:rsidRDefault="00850CB5" w:rsidP="00960B3C">
      <w:pPr>
        <w:rPr>
          <w:rFonts w:ascii="Times New Roman" w:hAnsi="Times New Roman" w:cs="Times New Roman"/>
          <w:lang w:val="en"/>
        </w:rPr>
      </w:pPr>
      <w:r w:rsidRPr="00960B3C">
        <w:rPr>
          <w:rFonts w:ascii="Times New Roman" w:hAnsi="Times New Roman" w:cs="Times New Roman"/>
          <w:lang w:val="en"/>
        </w:rPr>
        <w:t>- Article 2 titled "Basis" has been changed. The amendment consists of adding the phrase "dated 10.05.2005" in front of the phrase "Law No. 5346" and adding Article 6 / C of Law No. 5346 to the articles that form the basis of the Regulation.</w:t>
      </w:r>
    </w:p>
    <w:p w:rsidR="00B266CA" w:rsidRPr="00960B3C" w:rsidRDefault="00B266CA" w:rsidP="00960B3C">
      <w:pPr>
        <w:rPr>
          <w:rFonts w:ascii="Times New Roman" w:hAnsi="Times New Roman" w:cs="Times New Roman"/>
          <w:lang w:val="en"/>
        </w:rPr>
      </w:pPr>
      <w:r w:rsidRPr="00960B3C">
        <w:rPr>
          <w:rFonts w:ascii="Times New Roman" w:hAnsi="Times New Roman" w:cs="Times New Roman"/>
          <w:lang w:val="en"/>
        </w:rPr>
        <w:t xml:space="preserve">- Clauses (ı) and (t) of the first clause of the article 3 titled "Definitions" have been changed and the clause has been added to the same clause. Amended clause (ı) is about changing the expression of LUY from the Regulation on Unlicensed Electricity Generation in the Electricity Market to the Unlicensed Electricity Generation Regulation in the Electricity Market. The amendment made in clause (t) is to replace the phrase "persons" in the definition of the total cost of RES with the phrase "produced by someone" with the phrase "produced by someone" with the phrase "within the scope of the first paragraph of article 12" and the phrase "costs" with "prices It consists of replacing the sum of LÜYTOP with the phrase ”. With the </w:t>
      </w:r>
      <w:r w:rsidRPr="00960B3C">
        <w:rPr>
          <w:rFonts w:ascii="Times New Roman" w:hAnsi="Times New Roman" w:cs="Times New Roman"/>
          <w:lang w:val="en"/>
        </w:rPr>
        <w:lastRenderedPageBreak/>
        <w:t>new paragraph added to the article, the total price to be paid to unlicensed producers (LÜYTOP) has been defined. Accordingly, LÜYTOP: “Within the scope of the relevant legislation on unlicensed production; Hourly offsetting the applied plants in terms of the network to the surplus energy RES of the Law of Annex I as energy by multiplying the Located prices ruler system to the date that the Central Bank of Turkey foreign exchange buying out or declared by EMRA that their subscribers group retail single-time active energy fee In this context, it refers to the sum of the amount calculated in Turkish Lira by multiplying the energy supplied to the system, or the amount calculated in Turkish Lira by multiplying the energy supplied to the network with the retail one-time active energy cost of its subscriber group announced by EMRA for the facilities where monthly offset is applied. " (With the Unlicensed Electricity Generation Regulation in the Electricity Market published in the Official Gazette dated 12 May 2019, 'monthly offsetting' opportunity has been given to unlicensed generators, and in relation to this, with the President Decision No. 1044 published in the Official Gazette dated 10 May 2019, the excess energy produced in these production facilities A regulation has been made that it will be purchased at the cost of energy. Within the scope of all these, LÜYTOB is added under a separate heading, since the definition of YEKTOB includes only supports on the dollar rate; dollar exchange rate supported, TL-backed, which is deducted hourly in accordance with the Council of Ministers Decree published in the Official Gazette dated 21 June 2018, and lastly deducted monthly in accordance with the President's Decree No. 1044 published in the Official Gazette dated May 10, 2019.)</w:t>
      </w:r>
    </w:p>
    <w:p w:rsidR="00B266CA" w:rsidRPr="00960B3C" w:rsidRDefault="00B266CA" w:rsidP="00960B3C">
      <w:pPr>
        <w:rPr>
          <w:lang w:val="en"/>
        </w:rPr>
      </w:pPr>
      <w:r w:rsidRPr="00960B3C">
        <w:rPr>
          <w:lang w:val="en"/>
        </w:rPr>
        <w:t>- The first paragraph of Article 5 titled "Registration applications for YEKDEM" has been amended. The amendment consists of replacing the phrase "application" in the text of the paragraph with the phrase "application, without prejudice to the provisions of the first paragraph of Article 8".</w:t>
      </w:r>
    </w:p>
    <w:p w:rsidR="00B266CA" w:rsidRPr="00960B3C" w:rsidRDefault="00B266CA" w:rsidP="00960B3C">
      <w:pPr>
        <w:rPr>
          <w:lang w:val="en"/>
        </w:rPr>
      </w:pPr>
      <w:r w:rsidRPr="00960B3C">
        <w:rPr>
          <w:lang w:val="en"/>
        </w:rPr>
        <w:t xml:space="preserve">-The second paragraph of Article 7 titled "Conclusion of the applications for the YEK support mechanism" has been changed. Changing the phrase "information" in the text to "information" and at the end of the paragraph, the annual electrical energy included in the license before the date of 28/2/2019 in the production facilities whose capacity increase requests are approved on and after 28/2/2019 and the amendments have been made in this context. production capacities and annual production schedule information are included in the final YEK list. " </w:t>
      </w:r>
    </w:p>
    <w:p w:rsidR="00B266CA" w:rsidRPr="00960B3C" w:rsidRDefault="00B266CA" w:rsidP="00960B3C">
      <w:pPr>
        <w:rPr>
          <w:lang w:val="en"/>
        </w:rPr>
      </w:pPr>
      <w:r w:rsidRPr="00960B3C">
        <w:rPr>
          <w:lang w:val="en"/>
        </w:rPr>
        <w:t>- First paragraph of article 8 titled "Who can benefit from YEKDEM" has been changed. Adding the phrase "dated 18.11.2013 and numbered 2013/5625" instead of the phrase "relevant" in the date and number of the relevant Council of Ministers Decision referred to as amendments and adding "However, the installed power increase requests as of 28/2/2019 are approved by the Authority. and legal entities whose license amendments have been made in this context cannot benefit from YEKDEM for the said installed power increase. It consists of adding the phrase. In the capacity increase license amendments to be made for electricity generation licenses based on renewable energy resources, a regulation has been made in accordance with the provision added to the Law No.5346 that the RER Support Mechanism cannot be used for the said capacity increase.</w:t>
      </w:r>
    </w:p>
    <w:p w:rsidR="00B266CA" w:rsidRPr="00960B3C" w:rsidRDefault="00B266CA" w:rsidP="00960B3C">
      <w:pPr>
        <w:rPr>
          <w:lang w:val="en"/>
        </w:rPr>
      </w:pPr>
      <w:r w:rsidRPr="00960B3C">
        <w:rPr>
          <w:lang w:val="en"/>
        </w:rPr>
        <w:t>- The first paragraph of Article 12 titled "Calculation of the total cost of RES" has been changed and new paragraphs have been added to the article. The amendment made is related to the terms used in the formula calculation, and the added paragraphs are related to the new formulas to be used for the calculation.</w:t>
      </w:r>
    </w:p>
    <w:p w:rsidR="00B266CA" w:rsidRPr="00960B3C" w:rsidRDefault="00B266CA" w:rsidP="00960B3C">
      <w:pPr>
        <w:rPr>
          <w:lang w:val="en"/>
        </w:rPr>
      </w:pPr>
      <w:r w:rsidRPr="00960B3C">
        <w:rPr>
          <w:rFonts w:eastAsia="Times New Roman"/>
          <w:noProof w:val="0"/>
          <w:lang w:val="en" w:eastAsia="tr-TR"/>
        </w:rPr>
        <w:t xml:space="preserve">- </w:t>
      </w:r>
      <w:r w:rsidRPr="00960B3C">
        <w:rPr>
          <w:lang w:val="en"/>
        </w:rPr>
        <w:t>The second paragraph of Article 15 titled "Calculation and allocation of YEKDEM income" has been changed. The amendment is related to changes in terms in the formula.</w:t>
      </w:r>
    </w:p>
    <w:p w:rsidR="00B266CA" w:rsidRPr="00960B3C" w:rsidRDefault="00B266CA" w:rsidP="00960B3C">
      <w:pPr>
        <w:rPr>
          <w:rFonts w:eastAsia="Times New Roman"/>
          <w:noProof w:val="0"/>
          <w:lang w:val="en" w:eastAsia="tr-TR"/>
        </w:rPr>
      </w:pPr>
      <w:r w:rsidRPr="00960B3C">
        <w:rPr>
          <w:lang w:val="en"/>
        </w:rPr>
        <w:lastRenderedPageBreak/>
        <w:t>- Article 18 titled "Calculation</w:t>
      </w:r>
      <w:r w:rsidRPr="00960B3C">
        <w:rPr>
          <w:rFonts w:eastAsia="Times New Roman"/>
          <w:noProof w:val="0"/>
          <w:lang w:val="en" w:eastAsia="tr-TR"/>
        </w:rPr>
        <w:t xml:space="preserve"> of RES costs" has been amended. The change made is related to the change in the formula to be used in calculation.</w:t>
      </w:r>
    </w:p>
    <w:p w:rsidR="00B266CA" w:rsidRPr="00A46836" w:rsidRDefault="00B266CA" w:rsidP="00A46836">
      <w:pPr>
        <w:rPr>
          <w:b/>
          <w:lang w:val="en"/>
        </w:rPr>
      </w:pPr>
      <w:r w:rsidRPr="00A46836">
        <w:rPr>
          <w:b/>
          <w:lang w:val="en"/>
        </w:rPr>
        <w:t>* With the Amending  Regulation published in the Official Gazette dated 23.08.2019 and numbered 30867 the following amendments were made to the Electricity Market Licensing Regulation;</w:t>
      </w:r>
    </w:p>
    <w:p w:rsidR="00B266CA" w:rsidRPr="00A46836" w:rsidRDefault="00B266CA" w:rsidP="00A46836">
      <w:pPr>
        <w:rPr>
          <w:lang w:val="en"/>
        </w:rPr>
      </w:pPr>
      <w:r w:rsidRPr="00A46836">
        <w:rPr>
          <w:lang w:val="en"/>
        </w:rPr>
        <w:t xml:space="preserve">- Clauses (ee) and (ccc) of the first clause of the article 4 titled “Definitions” have been changed and the clause has been added to the same clause. It has been added to the scope of organized wholesale electricity markets included in the amended clause (ee) with the phrase "and other electricity markets that require future-dated physical delivery". In the amended clause (ccc), the phrase "delivery or" has been removed from the definition of derivatives markets. The final version of the derivative markets definition "Refers to the markets where electricity and / or capacity are traded from today to make cash settlement at a later date." It shaped. The added clause “(faq) Domestic Metal: IV. Of the second paragraph of Article 2 of the Mining Law dated 4/6/1985 and numbered 3213. It refers to the mines that are specified within the scope of sub-subparagraph (b) of the sub-clause titled Group Mines and which are extracted domestically. " </w:t>
      </w:r>
    </w:p>
    <w:p w:rsidR="00B266CA" w:rsidRPr="00A46836" w:rsidRDefault="00B266CA" w:rsidP="00A46836">
      <w:pPr>
        <w:rPr>
          <w:lang w:val="en"/>
        </w:rPr>
      </w:pPr>
      <w:r w:rsidRPr="00A46836">
        <w:rPr>
          <w:lang w:val="en"/>
        </w:rPr>
        <w:t>- Clause (d) and sixth clause of the fifth clause of Article 12 titled "Associate Degree Application Procedure" have been amended. The amendment made is an extension of the domestic mine definition made in Article 4.</w:t>
      </w:r>
    </w:p>
    <w:p w:rsidR="00B266CA" w:rsidRPr="00A46836" w:rsidRDefault="00B266CA" w:rsidP="00A46836">
      <w:pPr>
        <w:rPr>
          <w:lang w:val="en"/>
        </w:rPr>
      </w:pPr>
      <w:r w:rsidRPr="00A46836">
        <w:rPr>
          <w:lang w:val="en"/>
        </w:rPr>
        <w:t>- Clauses (a), (b), (e) of the first paragraph of Article 17 titled "Work and transactions that must be completed within the pre-license period", sub-clause (1) of sub-clause (g) has been changed, clause has been added to the same clause, the second clause ( Subparagraph a) has been changed and a paragraph has been added to the same article. The amendments made in subparagraph (a), (e) and (g) of the first paragraph and (a) of the second paragraph are related to the regulations made in the text due to the definition of domestic mineral. With the amendment made in subparagraph (b) of the first paragraph, the text of "Approval of the zoning plans for the production facility planned to be established" "Finalization of the master and implementation zoning plan approvals for the production facility planned to be established." text has been replaced with. The subparagraph added to the first paragraph "ı) Obtaining positive opinions on the Military Forbidden Zones and Security Zones Regulation and military shooting areas and exercise zones put into effect by the Council of Ministers Decision No. 83/5949, dated 17/1/1983, regarding the applications based on wind energy." It shaped. The paragraph added to the article is "(4) Without prejudice to the obligations in the other relevant legislation, the liability under item (f) of the first paragraph is not sought for production facilities based on hydraulic resources."</w:t>
      </w:r>
    </w:p>
    <w:p w:rsidR="008916F3" w:rsidRPr="00A46836" w:rsidRDefault="008916F3" w:rsidP="00A46836">
      <w:pPr>
        <w:rPr>
          <w:lang w:val="en"/>
        </w:rPr>
      </w:pPr>
      <w:r w:rsidRPr="00A46836">
        <w:rPr>
          <w:rFonts w:eastAsia="Times New Roman"/>
          <w:noProof w:val="0"/>
          <w:lang w:val="en" w:eastAsia="tr-TR"/>
        </w:rPr>
        <w:t xml:space="preserve">- </w:t>
      </w:r>
      <w:r w:rsidRPr="00A46836">
        <w:rPr>
          <w:lang w:val="en"/>
        </w:rPr>
        <w:t>The fourth, fifth, sixth, seventh, eighth, ninth and eleventh paragraphs of Article 18 titled "Amendment of the Associate Degree" have been amended. The changes made are sweeping changes.</w:t>
      </w:r>
    </w:p>
    <w:p w:rsidR="00B266CA" w:rsidRPr="00A46836" w:rsidRDefault="008916F3" w:rsidP="00A46836">
      <w:pPr>
        <w:rPr>
          <w:rFonts w:eastAsia="Times New Roman"/>
          <w:noProof w:val="0"/>
          <w:lang w:val="en" w:eastAsia="tr-TR"/>
        </w:rPr>
      </w:pPr>
      <w:r w:rsidRPr="00A46836">
        <w:rPr>
          <w:rFonts w:eastAsia="Times New Roman"/>
          <w:noProof w:val="0"/>
          <w:lang w:val="en" w:eastAsia="tr-TR"/>
        </w:rPr>
        <w:t>- The fourth, fifth, sixth and ninth paragraphs of Article 24 titled "Examination, evaluation and finalization of license amendment applications" have been amended. The changes made are related to the changes made in the article 18 and are comprehensive.</w:t>
      </w:r>
    </w:p>
    <w:p w:rsidR="008916F3" w:rsidRPr="00A46836" w:rsidRDefault="008916F3" w:rsidP="00A46836">
      <w:pPr>
        <w:rPr>
          <w:lang w:val="en"/>
        </w:rPr>
      </w:pPr>
      <w:r w:rsidRPr="00A46836">
        <w:rPr>
          <w:lang w:val="en"/>
        </w:rPr>
        <w:t xml:space="preserve">- Clause (ç) of the second paragraph of Article 30 titled "Rights and obligations of the production license holder" has been amended. The amendment consists of replacing the phrase "to the facility completion date written in the license" with the phrase "to the date on which the provisional acceptance of the entire production facility" in the paragraph. The last version of the clause "ç) To submit a progress report </w:t>
      </w:r>
      <w:r w:rsidRPr="00A46836">
        <w:rPr>
          <w:lang w:val="en"/>
        </w:rPr>
        <w:lastRenderedPageBreak/>
        <w:t>to the Authority duly within January and July of each year about the activities carried out until the date of provisional acceptance of the entire production facility,"</w:t>
      </w:r>
    </w:p>
    <w:p w:rsidR="008916F3" w:rsidRPr="00A46836" w:rsidRDefault="008916F3" w:rsidP="00A46836">
      <w:pPr>
        <w:rPr>
          <w:lang w:val="en"/>
        </w:rPr>
      </w:pPr>
      <w:r w:rsidRPr="00A46836">
        <w:rPr>
          <w:lang w:val="en"/>
        </w:rPr>
        <w:t>- Subparagraph (c) of the third paragraph of Article 32 titled "The rights and obligations of the market operating license holder" has been amended. With the amendment made, EPİAŞ has been given the duty to carry out the operation and financial settlement activities of organized wholesale electricity markets that require physical delivery with a future date.</w:t>
      </w:r>
    </w:p>
    <w:p w:rsidR="008916F3" w:rsidRPr="00A46836" w:rsidRDefault="008916F3" w:rsidP="00A46836">
      <w:pPr>
        <w:rPr>
          <w:lang w:val="en"/>
        </w:rPr>
      </w:pPr>
      <w:r w:rsidRPr="00A46836">
        <w:rPr>
          <w:lang w:val="en"/>
        </w:rPr>
        <w:t>- The fourth paragraph of Article 43 titled "License fees", paragraph (a) and tenth paragraph of the fifth paragraph have been amended. The amendment made in the fourth paragraph consists of replacing the phrase "following the license completion date added to the relevant licenses" with the phrase "from the date of the first provisional acceptance of the production facility". The amendment made in subparagraph (a) of the fifth paragraph consists of replacing the phrase "facility completion date" with the phrase "the date of the first provisional acceptance of the production facility". The amendment made in the tenth paragraph consists of adding the phrase "associate license and" to the text of the paragraph. The last version of the tenth paragraph is "(10) In the event that the associate and license applications that have been evaluated and the amendment applications of the aforementioned pre-license and licenses are rejected or the said applications are withdrawn, the pre-license or license fees and amendment fees paid to the Institution are not refunded.</w:t>
      </w:r>
    </w:p>
    <w:p w:rsidR="008916F3" w:rsidRPr="00A46836" w:rsidRDefault="008916F3" w:rsidP="00A46836">
      <w:pPr>
        <w:rPr>
          <w:lang w:val="en"/>
        </w:rPr>
      </w:pPr>
      <w:r w:rsidRPr="00A46836">
        <w:rPr>
          <w:rFonts w:eastAsia="Times New Roman"/>
          <w:noProof w:val="0"/>
          <w:lang w:val="en" w:eastAsia="tr-TR"/>
        </w:rPr>
        <w:t xml:space="preserve">- </w:t>
      </w:r>
      <w:r w:rsidRPr="00A46836">
        <w:rPr>
          <w:lang w:val="en"/>
        </w:rPr>
        <w:t>The second paragraph of Article 57 with the title "Share transfers" has been changed. The amendment is related to the fact that direct and indirect share changes that arise due to the preemptive right and do not change the control structure are not subject to approval and the figures in the paragraph text are removed.</w:t>
      </w:r>
    </w:p>
    <w:p w:rsidR="008916F3" w:rsidRPr="00A46836" w:rsidRDefault="008916F3" w:rsidP="00A46836">
      <w:pPr>
        <w:rPr>
          <w:rFonts w:eastAsia="Times New Roman"/>
          <w:noProof w:val="0"/>
          <w:lang w:val="en" w:eastAsia="tr-TR"/>
        </w:rPr>
      </w:pPr>
      <w:r w:rsidRPr="00A46836">
        <w:rPr>
          <w:rFonts w:eastAsia="Times New Roman"/>
          <w:noProof w:val="0"/>
          <w:lang w:val="en" w:eastAsia="tr-TR"/>
        </w:rPr>
        <w:t>- Provisional article 29 titled "Capacity increases approved before 28.02.2019" has been added to the Regulation. Added article "For those approved by the Authority before 28/2/2019 among the installed power increase requests within the scope of articles 18 and 24 of this Regulation, pre-license or license amendment procedures are carried out if the obligations specified in the said approval decision are fulfilled within due time."</w:t>
      </w:r>
    </w:p>
    <w:p w:rsidR="008916F3" w:rsidRPr="00A46836" w:rsidRDefault="00824419" w:rsidP="00A46836">
      <w:pPr>
        <w:rPr>
          <w:b/>
          <w:lang w:val="en"/>
        </w:rPr>
      </w:pPr>
      <w:r w:rsidRPr="00A46836">
        <w:rPr>
          <w:b/>
          <w:lang w:val="en"/>
        </w:rPr>
        <w:t>• With the Amending Regulation published in the Official Gazette dated 07.11.2019 and numbered 30941 the following amendments were made to the Electricity Market Capacity Mechanism Regulation;</w:t>
      </w:r>
    </w:p>
    <w:p w:rsidR="00824419" w:rsidRPr="00A46836" w:rsidRDefault="00824419" w:rsidP="00A46836">
      <w:pPr>
        <w:rPr>
          <w:lang w:val="en" w:eastAsia="tr-TR"/>
        </w:rPr>
      </w:pPr>
      <w:r w:rsidRPr="00A46836">
        <w:rPr>
          <w:lang w:val="en" w:eastAsia="tr-TR"/>
        </w:rPr>
        <w:t>- The phrase "organized and operated day-ahead market, intraday market" has been added to the definition of organized wholesale electricity markets in subparagraph (ı) of Article 4 titled "Definitions", with the phrase "and other electricity markets requiring future physical delivery".</w:t>
      </w:r>
    </w:p>
    <w:p w:rsidR="00824419" w:rsidRPr="00A46836" w:rsidRDefault="00824419" w:rsidP="00A46836">
      <w:pPr>
        <w:rPr>
          <w:lang w:val="en" w:eastAsia="tr-TR"/>
        </w:rPr>
      </w:pPr>
      <w:r w:rsidRPr="00A46836">
        <w:rPr>
          <w:lang w:val="en" w:eastAsia="tr-TR"/>
        </w:rPr>
        <w:t>- "(5) Mobile trailer power plants belonging to EÜAŞ can participate in the capacity mechanism regardless of the conditions within the scope of the second paragraph." A paragraph has been added in the form.</w:t>
      </w:r>
    </w:p>
    <w:p w:rsidR="00824419" w:rsidRPr="00A46836" w:rsidRDefault="00824419" w:rsidP="00A46836">
      <w:pPr>
        <w:rPr>
          <w:lang w:val="en" w:eastAsia="tr-TR"/>
        </w:rPr>
      </w:pPr>
      <w:r w:rsidRPr="00A46836">
        <w:rPr>
          <w:lang w:val="en" w:eastAsia="tr-TR"/>
        </w:rPr>
        <w:t>- According to the article 8 titled "Calculations based on capacity payments", "(5) The installed power of EÜAŞ mobile trailer power plants and natural gas-fired power plants will be set as 0 (zero) for the relevant month in case these power plants cannot be activated within the scope of the load taking instructions to be given by the system operator. ) acceptable." A paragraph has been added in the form.</w:t>
      </w:r>
    </w:p>
    <w:p w:rsidR="00824419" w:rsidRPr="00A46836" w:rsidRDefault="00824419" w:rsidP="00A46836">
      <w:pPr>
        <w:rPr>
          <w:lang w:val="en" w:eastAsia="tr-TR"/>
        </w:rPr>
      </w:pPr>
      <w:r w:rsidRPr="00A46836">
        <w:rPr>
          <w:lang w:val="en" w:eastAsia="tr-TR"/>
        </w:rPr>
        <w:lastRenderedPageBreak/>
        <w:t>- "Capacity utilization rate is not required for mobile trailer power plants belonging to EÜAŞ and natural gas-fired power plants" at the end of the fourth paragraph of Article 9, titled "Making capacity payments". sentence has been added.</w:t>
      </w:r>
    </w:p>
    <w:p w:rsidR="00824419" w:rsidRPr="00A46836" w:rsidRDefault="00824419" w:rsidP="00A46836">
      <w:pPr>
        <w:rPr>
          <w:lang w:val="en"/>
        </w:rPr>
      </w:pPr>
      <w:r w:rsidRPr="00A46836">
        <w:rPr>
          <w:lang w:val="en"/>
        </w:rPr>
        <w:t>- Provisional article 3 titled "Practices for the year 2020" has been added to the regulation. Article text "For mobile trailer power plants belonging to EÜAŞ and natural gas-fired power plants, an application can be made until 15/12/2019 in order to benefit from the capacity mechanism for 2020."</w:t>
      </w:r>
    </w:p>
    <w:p w:rsidR="00824419" w:rsidRPr="00A46836" w:rsidRDefault="00824419" w:rsidP="00A46836">
      <w:pPr>
        <w:rPr>
          <w:lang w:val="en"/>
        </w:rPr>
      </w:pPr>
      <w:r w:rsidRPr="00A46836">
        <w:rPr>
          <w:lang w:val="en"/>
        </w:rPr>
        <w:t>With this Regulation amendment, a regulation has been made to allow EÜAŞ mobile trailer power plants to participate in the capacity mechanism. In addition, it has been stipulated that the capacity utilization rate requirement is not required for natural gas power plants.</w:t>
      </w:r>
    </w:p>
    <w:p w:rsidR="00B266CA" w:rsidRPr="00A46836" w:rsidRDefault="00824419" w:rsidP="00A46836">
      <w:pPr>
        <w:rPr>
          <w:lang w:val="en"/>
        </w:rPr>
      </w:pPr>
      <w:r w:rsidRPr="00A46836">
        <w:rPr>
          <w:lang w:val="en"/>
        </w:rPr>
        <w:t>• With the Amending Regulation published in the Official Gazette dated 31.12.2019 and numbered 30995, the provisional article 26 titled "Preliminary project approval" of the Electricity Market Licensing Regulation has been amended. The amendment consists of changing the phrase "31/12/2019" in the article to "31/12/2020".</w:t>
      </w:r>
    </w:p>
    <w:p w:rsidR="00824419" w:rsidRPr="004E7F7B" w:rsidRDefault="00824419"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color w:val="222222"/>
          <w:lang w:val="en"/>
        </w:rPr>
      </w:pPr>
      <w:r w:rsidRPr="004E7F7B">
        <w:rPr>
          <w:rFonts w:ascii="Times New Roman" w:hAnsi="Times New Roman" w:cs="Times New Roman"/>
          <w:b/>
          <w:color w:val="222222"/>
          <w:lang w:val="en"/>
        </w:rPr>
        <w:t>2.1.4. Communiqués</w:t>
      </w:r>
    </w:p>
    <w:p w:rsidR="00824419" w:rsidRPr="00A46836" w:rsidRDefault="00824419" w:rsidP="00A46836">
      <w:pPr>
        <w:rPr>
          <w:lang w:val="en" w:eastAsia="tr-TR"/>
        </w:rPr>
      </w:pPr>
      <w:r w:rsidRPr="00A46836">
        <w:rPr>
          <w:lang w:val="en" w:eastAsia="tr-TR"/>
        </w:rPr>
        <w:t>In 2019, the following Communiqué studies were carried out in the electricity market:</w:t>
      </w:r>
    </w:p>
    <w:p w:rsidR="00824419" w:rsidRPr="00A46836" w:rsidRDefault="00824419" w:rsidP="00A46836">
      <w:pPr>
        <w:rPr>
          <w:lang w:val="en"/>
        </w:rPr>
      </w:pPr>
      <w:r w:rsidRPr="00A46836">
        <w:rPr>
          <w:lang w:val="en"/>
        </w:rPr>
        <w:t>• With the Amending Communiqué published in the Official Gazette dated 15.12.2019 and numbered 30979, the following amendments were made to the Communiqué on the Regulation of Market Operating Income;</w:t>
      </w:r>
    </w:p>
    <w:p w:rsidR="00824419" w:rsidRPr="00A46836" w:rsidRDefault="00824419" w:rsidP="00A46836">
      <w:pPr>
        <w:rPr>
          <w:lang w:val="en"/>
        </w:rPr>
      </w:pPr>
      <w:r w:rsidRPr="00A46836">
        <w:rPr>
          <w:lang w:val="en" w:eastAsia="tr-TR"/>
        </w:rPr>
        <w:t xml:space="preserve">- </w:t>
      </w:r>
      <w:r w:rsidRPr="00A46836">
        <w:rPr>
          <w:lang w:val="en"/>
        </w:rPr>
        <w:t>Article 1 titled "Purpose" has been amended. With the amendment, the purpose of the notification has been determined as determining the procedures and principles regarding</w:t>
      </w:r>
      <w:r w:rsidRPr="00A46836">
        <w:rPr>
          <w:lang w:val="en" w:eastAsia="tr-TR"/>
        </w:rPr>
        <w:t xml:space="preserve"> </w:t>
      </w:r>
      <w:r w:rsidRPr="00A46836">
        <w:rPr>
          <w:lang w:val="en"/>
        </w:rPr>
        <w:t>the income regulations of EPİAŞ.</w:t>
      </w:r>
    </w:p>
    <w:p w:rsidR="00824419" w:rsidRPr="00A46836" w:rsidRDefault="00824419" w:rsidP="00A46836">
      <w:pPr>
        <w:rPr>
          <w:lang w:val="en" w:eastAsia="tr-TR"/>
        </w:rPr>
      </w:pPr>
      <w:r w:rsidRPr="00A46836">
        <w:rPr>
          <w:lang w:val="en"/>
        </w:rPr>
        <w:t>- Clauses (ç), (e), (ğ), (h), (ı) and (i) of the first paragraph of Article 4 title</w:t>
      </w:r>
      <w:r w:rsidRPr="00A46836">
        <w:rPr>
          <w:lang w:val="en" w:eastAsia="tr-TR"/>
        </w:rPr>
        <w:t>d "Definitions" have been changed and clauses have been added to the same paragraph. The amended definitions are the opportunity cost rate in clause (ç), operating expense regulated in clause (e), market operating income cap in clause (ğ), tariff offer in clause (h), capital invested in clause (i), opportunity cost of invested capital in clause (i). Added paragraphs "k) Market operation fee: The price determined within the scope of meeting the income requirement required for the continuation of market operation activities" and "l) Method statement: The regulation submitted by EPİAŞ and entered into force with the approval of the Board to be applied during the relevant tariff period"</w:t>
      </w:r>
    </w:p>
    <w:p w:rsidR="00824419" w:rsidRPr="00A46836" w:rsidRDefault="00824419" w:rsidP="00A46836">
      <w:pPr>
        <w:rPr>
          <w:lang w:val="en" w:eastAsia="tr-TR"/>
        </w:rPr>
      </w:pPr>
      <w:r w:rsidRPr="00A46836">
        <w:rPr>
          <w:lang w:val="en" w:eastAsia="tr-TR"/>
        </w:rPr>
        <w:t>- Article 5 titled "Incomes of EPİAŞ" has been amended. The change is related to the formula used in calculating the market operating income cap (PIGT).</w:t>
      </w:r>
    </w:p>
    <w:p w:rsidR="00824419" w:rsidRPr="00A46836" w:rsidRDefault="00824419" w:rsidP="00A46836">
      <w:pPr>
        <w:rPr>
          <w:lang w:val="en" w:eastAsia="tr-TR"/>
        </w:rPr>
      </w:pPr>
      <w:r w:rsidRPr="00A46836">
        <w:rPr>
          <w:lang w:val="en" w:eastAsia="tr-TR"/>
        </w:rPr>
        <w:t>- The phrase "tariff proposal covering the fees and commissions to be applied and the procedures and principles of their implementation" in the first paragraph of Article 6 titled "Preparation and submission of a tariff proposal" has been changed to "tariff proposal", the phrase "compulsory" in the second paragraph is And the third paragraph has been changed. The amendment made in the third paragraph is related to the tariff offer of EPİAŞ.</w:t>
      </w:r>
    </w:p>
    <w:p w:rsidR="00824419" w:rsidRPr="00A46836" w:rsidRDefault="00824419" w:rsidP="00A46836">
      <w:pPr>
        <w:rPr>
          <w:lang w:val="en" w:eastAsia="tr-TR"/>
        </w:rPr>
      </w:pPr>
      <w:r w:rsidRPr="00A46836">
        <w:rPr>
          <w:lang w:val="en" w:eastAsia="tr-TR"/>
        </w:rPr>
        <w:t>- The phrase "mandatory" in the first paragraph of Article 7 titled "Evaluation and approval of the tariff proposal" has been changed to "required".</w:t>
      </w:r>
    </w:p>
    <w:p w:rsidR="00824419" w:rsidRPr="00A46836" w:rsidRDefault="00824419" w:rsidP="00A46836">
      <w:pPr>
        <w:rPr>
          <w:lang w:val="en"/>
        </w:rPr>
      </w:pPr>
      <w:r w:rsidRPr="00A46836">
        <w:rPr>
          <w:lang w:val="en"/>
        </w:rPr>
        <w:lastRenderedPageBreak/>
        <w:t>• The Communiqué on Fines to be Applied in 2020 in accordance with Article 16 of the Electricity Market Law No. 6446, published in the Official Gazette dated 31.12.2019 and numbered 30995 (4th Repeating), entered into force as of 01.01.2020.</w:t>
      </w:r>
    </w:p>
    <w:p w:rsidR="00824419" w:rsidRPr="004E7F7B" w:rsidRDefault="00824419"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color w:val="222222"/>
          <w:lang w:val="en"/>
        </w:rPr>
      </w:pPr>
      <w:r w:rsidRPr="004E7F7B">
        <w:rPr>
          <w:rFonts w:ascii="Times New Roman" w:hAnsi="Times New Roman" w:cs="Times New Roman"/>
          <w:b/>
          <w:color w:val="222222"/>
          <w:lang w:val="en"/>
        </w:rPr>
        <w:t>2.1.5. Board Decisions</w:t>
      </w:r>
    </w:p>
    <w:p w:rsidR="00824419" w:rsidRPr="00A46836" w:rsidRDefault="00824419" w:rsidP="00A46836">
      <w:pPr>
        <w:rPr>
          <w:lang w:val="en"/>
        </w:rPr>
      </w:pPr>
      <w:r w:rsidRPr="00A46836">
        <w:rPr>
          <w:lang w:val="en" w:eastAsia="tr-TR"/>
        </w:rPr>
        <w:t>In 2019, the following Board Resolutions were issued as a regulatory act in the electricity market:</w:t>
      </w:r>
    </w:p>
    <w:p w:rsidR="00667BF4" w:rsidRPr="00A46836" w:rsidRDefault="004A049C" w:rsidP="00A46836">
      <w:pPr>
        <w:rPr>
          <w:lang w:val="en"/>
        </w:rPr>
      </w:pPr>
      <w:r w:rsidRPr="00A46836">
        <w:rPr>
          <w:lang w:val="en"/>
        </w:rPr>
        <w:t>• With the Board Decision dated 26.12.2019 and numbered 9019 published in the Official Gazette dated 28.12.2019 and numbered 30992, subparagraph (b) of the sixth paragraph of Article 5 of the Law No. 4628 on the Organization and Duties of the Energy Market Regulatory Authority and Article 25 of the Electricity Market Consumer Services Regulation It has been decided to apply the free consumer limit for 2020 as 1.400 kWh. The theoretical market opening rate corresponding to this limit is calculated as 96.8%.</w:t>
      </w:r>
    </w:p>
    <w:p w:rsidR="004A049C" w:rsidRPr="00A46836" w:rsidRDefault="004A049C" w:rsidP="00A46836">
      <w:pPr>
        <w:rPr>
          <w:lang w:val="en" w:eastAsia="tr-TR"/>
        </w:rPr>
      </w:pPr>
      <w:r w:rsidRPr="00A46836">
        <w:rPr>
          <w:lang w:val="en"/>
        </w:rPr>
        <w:t>The change of eligible consumer limit in the electricity market by years is given in Table 2.1.</w:t>
      </w:r>
    </w:p>
    <w:p w:rsidR="00A32E5D" w:rsidRPr="004E7F7B" w:rsidRDefault="004A049C" w:rsidP="004E7F7B">
      <w:pPr>
        <w:spacing w:line="240" w:lineRule="auto"/>
        <w:ind w:left="720"/>
        <w:rPr>
          <w:rFonts w:ascii="Times New Roman" w:hAnsi="Times New Roman" w:cs="Times New Roman"/>
          <w:b/>
          <w:color w:val="222222"/>
          <w:lang w:val="en"/>
        </w:rPr>
      </w:pPr>
      <w:r w:rsidRPr="004E7F7B">
        <w:rPr>
          <w:rFonts w:ascii="Times New Roman" w:hAnsi="Times New Roman" w:cs="Times New Roman"/>
          <w:b/>
          <w:color w:val="222222"/>
          <w:lang w:val="en"/>
        </w:rPr>
        <w:t>Table 2.1: Change of Eligible Consumer Limit in the Electricity Market by Years (2003-2020)</w:t>
      </w:r>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21"/>
        <w:gridCol w:w="2221"/>
        <w:gridCol w:w="2221"/>
      </w:tblGrid>
      <w:tr w:rsidR="004A049C" w:rsidRPr="004E7F7B" w:rsidTr="00C50931">
        <w:trPr>
          <w:trHeight w:val="20"/>
          <w:jc w:val="center"/>
        </w:trPr>
        <w:tc>
          <w:tcPr>
            <w:tcW w:w="2221" w:type="dxa"/>
            <w:shd w:val="clear" w:color="auto" w:fill="6E9EC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b/>
                <w:color w:val="FFFFFF" w:themeColor="background1"/>
              </w:rPr>
            </w:pPr>
            <w:r w:rsidRPr="004E7F7B">
              <w:rPr>
                <w:rFonts w:ascii="Times New Roman" w:eastAsia="Times New Roman" w:hAnsi="Times New Roman" w:cs="Times New Roman"/>
                <w:b/>
                <w:bCs/>
                <w:color w:val="FFFFFF" w:themeColor="background1"/>
                <w:lang w:eastAsia="tr-TR"/>
              </w:rPr>
              <w:t>Year</w:t>
            </w:r>
          </w:p>
        </w:tc>
        <w:tc>
          <w:tcPr>
            <w:tcW w:w="2221" w:type="dxa"/>
            <w:shd w:val="clear" w:color="auto" w:fill="6E9ECA"/>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b/>
                <w:color w:val="FFFFFF" w:themeColor="background1"/>
              </w:rPr>
            </w:pPr>
            <w:r w:rsidRPr="004E7F7B">
              <w:rPr>
                <w:rFonts w:ascii="Times New Roman" w:hAnsi="Times New Roman" w:cs="Times New Roman"/>
                <w:b/>
                <w:color w:val="FFFFFF" w:themeColor="background1"/>
              </w:rPr>
              <w:t>Eligible Consumer Limit  (kWh)</w:t>
            </w:r>
          </w:p>
        </w:tc>
        <w:tc>
          <w:tcPr>
            <w:tcW w:w="2221" w:type="dxa"/>
            <w:shd w:val="clear" w:color="auto" w:fill="6E9ECA"/>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b/>
                <w:color w:val="FFFFFF" w:themeColor="background1"/>
              </w:rPr>
            </w:pPr>
            <w:r w:rsidRPr="004E7F7B">
              <w:rPr>
                <w:rFonts w:ascii="Times New Roman" w:hAnsi="Times New Roman" w:cs="Times New Roman"/>
                <w:b/>
                <w:color w:val="FFFFFF" w:themeColor="background1"/>
              </w:rPr>
              <w:t>Theoretical Market Opening Rate (%)</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2003</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9.000.000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2004</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7.800.000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27,8</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2005</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7.700.000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30</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2006</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6.000.000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32</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2007</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3.000.000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38,6</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2008</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1.200.000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41</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2009</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480.000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49,2</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100.000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63,3</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2011</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30.000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78</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2012</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25.000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83</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2013</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5.000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84</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2014</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4.500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85</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2015</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4.000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85,04</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2016</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3.600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85,8</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2017</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2.400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highlight w:val="yellow"/>
              </w:rPr>
            </w:pPr>
            <w:r w:rsidRPr="004E7F7B">
              <w:rPr>
                <w:rFonts w:ascii="Times New Roman" w:hAnsi="Times New Roman" w:cs="Times New Roman"/>
                <w:color w:val="000000" w:themeColor="text1"/>
              </w:rPr>
              <w:t>90</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2018</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92,6</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2019</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1.600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000000" w:themeColor="text1"/>
              </w:rPr>
            </w:pPr>
            <w:r w:rsidRPr="004E7F7B">
              <w:rPr>
                <w:rFonts w:ascii="Times New Roman" w:hAnsi="Times New Roman" w:cs="Times New Roman"/>
                <w:color w:val="000000" w:themeColor="text1"/>
              </w:rPr>
              <w:t>95,4</w:t>
            </w:r>
          </w:p>
        </w:tc>
      </w:tr>
      <w:tr w:rsidR="004A049C" w:rsidRPr="004E7F7B" w:rsidTr="00C50931">
        <w:trPr>
          <w:trHeight w:val="20"/>
          <w:jc w:val="center"/>
        </w:trPr>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rPr>
            </w:pPr>
            <w:r w:rsidRPr="004E7F7B">
              <w:rPr>
                <w:rFonts w:ascii="Times New Roman" w:hAnsi="Times New Roman" w:cs="Times New Roman"/>
              </w:rPr>
              <w:t>2020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rPr>
            </w:pPr>
            <w:r w:rsidRPr="004E7F7B">
              <w:rPr>
                <w:rFonts w:ascii="Times New Roman" w:hAnsi="Times New Roman" w:cs="Times New Roman"/>
              </w:rPr>
              <w:t>1.400</w:t>
            </w:r>
          </w:p>
        </w:tc>
        <w:tc>
          <w:tcPr>
            <w:tcW w:w="2221" w:type="dxa"/>
            <w:vAlign w:val="center"/>
          </w:tcPr>
          <w:p w:rsidR="004A049C" w:rsidRPr="004E7F7B" w:rsidRDefault="004A049C" w:rsidP="004E7F7B">
            <w:pPr>
              <w:pStyle w:val="ListeParagraf"/>
              <w:tabs>
                <w:tab w:val="left" w:pos="284"/>
                <w:tab w:val="left" w:pos="567"/>
                <w:tab w:val="left" w:pos="709"/>
                <w:tab w:val="left" w:pos="851"/>
              </w:tabs>
              <w:ind w:left="0"/>
              <w:rPr>
                <w:rFonts w:ascii="Times New Roman" w:hAnsi="Times New Roman" w:cs="Times New Roman"/>
                <w:color w:val="FF0000"/>
              </w:rPr>
            </w:pPr>
            <w:r w:rsidRPr="004E7F7B">
              <w:rPr>
                <w:rFonts w:ascii="Times New Roman" w:hAnsi="Times New Roman" w:cs="Times New Roman"/>
              </w:rPr>
              <w:t>96,8</w:t>
            </w:r>
          </w:p>
        </w:tc>
      </w:tr>
    </w:tbl>
    <w:p w:rsidR="004A049C" w:rsidRPr="004E7F7B" w:rsidRDefault="004A049C" w:rsidP="004E7F7B">
      <w:pPr>
        <w:spacing w:line="240" w:lineRule="auto"/>
        <w:ind w:left="720"/>
        <w:rPr>
          <w:rFonts w:ascii="Times New Roman" w:eastAsia="Times New Roman" w:hAnsi="Times New Roman" w:cs="Times New Roman"/>
          <w:noProof w:val="0"/>
          <w:color w:val="222222"/>
          <w:lang w:val="en" w:eastAsia="tr-TR"/>
        </w:rPr>
      </w:pPr>
    </w:p>
    <w:p w:rsidR="00FE7FEB" w:rsidRPr="00A46836" w:rsidRDefault="004A049C" w:rsidP="00A46836">
      <w:pPr>
        <w:rPr>
          <w:lang w:val="en"/>
        </w:rPr>
      </w:pPr>
      <w:r w:rsidRPr="00A46836">
        <w:rPr>
          <w:lang w:val="en"/>
        </w:rPr>
        <w:t xml:space="preserve">• With the Board Decision dated 07.03.2019 and numbered 8468, published in the Official Gazette dated 14.03.2019 and numbered 30714, the Procedures and Principles Regarding the Tariff Practices of the Distribution Licensee Legal Entities and the Supply Companies in Charge were amended. Any treatment facility established to treat potable water and / or liquid, gas and solid toxic and hazardous wastes supplied to the receiving environment in order to protect the environment and human health is within the scope of the industrial subscriber group, if the change is provided with the necessary measurement order and documented. Other facilities that are integrated into these facilities and cannot operate independently will be within the scope of the industrial subscriber group in the same way as the </w:t>
      </w:r>
      <w:r w:rsidRPr="00A46836">
        <w:rPr>
          <w:lang w:val="en"/>
        </w:rPr>
        <w:lastRenderedPageBreak/>
        <w:t>treatment facilities, and milk collection centers, cattle breeding enterprises, bovine dairy enterprises operating within the scope of the certificate received from the relevant units of the Ministry of Agriculture and Forestry, It is related to the fact that small cattle holdings, broiler chicken coops, layer chicken coops, breeder coops, hatchery enterprises and greenhouses are also included in the agricultural irrigation subscriber group.</w:t>
      </w:r>
    </w:p>
    <w:p w:rsidR="004A049C" w:rsidRPr="00A46836" w:rsidRDefault="004A049C" w:rsidP="00A46836">
      <w:pPr>
        <w:rPr>
          <w:lang w:val="en"/>
        </w:rPr>
      </w:pPr>
      <w:r w:rsidRPr="00A46836">
        <w:rPr>
          <w:lang w:val="en"/>
        </w:rPr>
        <w:t>• With the Board Decision dated 27.03.2019 and numbered 8505, published in the Official Gazette dated 10.04.2019 and numbered 30741;</w:t>
      </w:r>
    </w:p>
    <w:p w:rsidR="004A049C" w:rsidRPr="00A46836" w:rsidRDefault="004A049C" w:rsidP="00A46836">
      <w:pPr>
        <w:rPr>
          <w:rFonts w:eastAsia="Times New Roman"/>
          <w:noProof w:val="0"/>
          <w:lang w:val="en" w:eastAsia="tr-TR"/>
        </w:rPr>
      </w:pPr>
      <w:r w:rsidRPr="00A46836">
        <w:rPr>
          <w:rFonts w:eastAsia="Times New Roman"/>
          <w:noProof w:val="0"/>
          <w:lang w:val="en" w:eastAsia="tr-TR"/>
        </w:rPr>
        <w:t>- Regarding the implementation of YEKDEM in 2011 within the scope of Article 6 of the Law (Law) on the Use of Renewable Energy Resources for the Purpose of Generating Electricity No.5346; The facilities that entered into operation between 01.11.2010 and 21.08.2011 and are not included in the 2011 Final YEK List will be able to benefit from YEKDEM in the first calendar year following the last year of benefiting from YEKDEM,</w:t>
      </w:r>
    </w:p>
    <w:p w:rsidR="004A049C" w:rsidRPr="00A46836" w:rsidRDefault="004A049C" w:rsidP="00A46836">
      <w:pPr>
        <w:rPr>
          <w:rFonts w:eastAsia="Times New Roman"/>
          <w:noProof w:val="0"/>
          <w:lang w:val="en" w:eastAsia="tr-TR"/>
        </w:rPr>
      </w:pPr>
      <w:r w:rsidRPr="00A46836">
        <w:rPr>
          <w:rFonts w:eastAsia="Times New Roman"/>
          <w:noProof w:val="0"/>
          <w:lang w:val="en" w:eastAsia="tr-TR"/>
        </w:rPr>
        <w:t>- Regarding the implementation of YEKDEM in 2011 within the scope of Provisional Article 5 of the Law; It has been decided that the facilities that entered into operation between 01.11.2010 and 21.08.2011 and included in the "Final YEK List of 2011" can benefit from YEKDEM in 11 months of the first calendar year following the last year of benefiting from YEKDEM.</w:t>
      </w:r>
    </w:p>
    <w:p w:rsidR="004A049C" w:rsidRPr="00A46836" w:rsidRDefault="004A049C" w:rsidP="00A46836">
      <w:pPr>
        <w:rPr>
          <w:lang w:val="en" w:eastAsia="tr-TR"/>
        </w:rPr>
      </w:pPr>
      <w:r w:rsidRPr="00A46836">
        <w:rPr>
          <w:lang w:val="en" w:eastAsia="tr-TR"/>
        </w:rPr>
        <w:t>- Of the facilities that entered into operation between 01/11/2010 - 21/08/2011 and whose last utilization period was determined as 2020; At the end of 2011, it is aimed that the facilities benefiting from YEKDEM for a limited time will benefit from YEKDEM for a period that will complete the said limited period to 1 full year in 2021.</w:t>
      </w:r>
    </w:p>
    <w:p w:rsidR="004A049C" w:rsidRPr="00A46836" w:rsidRDefault="004A049C" w:rsidP="00A46836">
      <w:pPr>
        <w:rPr>
          <w:lang w:val="en"/>
        </w:rPr>
      </w:pPr>
      <w:r w:rsidRPr="00A46836">
        <w:rPr>
          <w:lang w:val="en"/>
        </w:rPr>
        <w:t>• With the Board Decision dated 16.05.2019 and numbered 8587, published in the Official Gazette dated 21.05.2019 and numbered 30780;</w:t>
      </w:r>
    </w:p>
    <w:p w:rsidR="004A049C" w:rsidRPr="00A46836" w:rsidRDefault="004A049C" w:rsidP="00A46836">
      <w:pPr>
        <w:rPr>
          <w:lang w:val="en" w:eastAsia="tr-TR"/>
        </w:rPr>
      </w:pPr>
      <w:r w:rsidRPr="00A46836">
        <w:rPr>
          <w:lang w:val="en" w:eastAsia="tr-TR"/>
        </w:rPr>
        <w:t>- List of Information and Documents to be Submitted in Unlicensed Production Applications,</w:t>
      </w:r>
    </w:p>
    <w:p w:rsidR="004A049C" w:rsidRPr="00A46836" w:rsidRDefault="004A049C" w:rsidP="00A46836">
      <w:pPr>
        <w:rPr>
          <w:lang w:val="en" w:eastAsia="tr-TR"/>
        </w:rPr>
      </w:pPr>
      <w:r w:rsidRPr="00A46836">
        <w:rPr>
          <w:lang w:val="en" w:eastAsia="tr-TR"/>
        </w:rPr>
        <w:t>- List of Information and Documents to be Submitted in Production Facility Transfer Applications,</w:t>
      </w:r>
    </w:p>
    <w:p w:rsidR="004A049C" w:rsidRPr="00A46836" w:rsidRDefault="004A049C" w:rsidP="00A46836">
      <w:pPr>
        <w:rPr>
          <w:lang w:val="en" w:eastAsia="tr-TR"/>
        </w:rPr>
      </w:pPr>
      <w:r w:rsidRPr="00A46836">
        <w:rPr>
          <w:lang w:val="en" w:eastAsia="tr-TR"/>
        </w:rPr>
        <w:t>- The List of Required Information and Documents to be Submitted in Applications for Share Transfer with Merger, Division, Title and Type have been accepted.</w:t>
      </w:r>
    </w:p>
    <w:p w:rsidR="004A049C" w:rsidRPr="00A46836" w:rsidRDefault="004A049C" w:rsidP="00A46836">
      <w:pPr>
        <w:rPr>
          <w:lang w:val="en" w:eastAsia="tr-TR"/>
        </w:rPr>
      </w:pPr>
      <w:r w:rsidRPr="00A46836">
        <w:rPr>
          <w:lang w:val="en" w:eastAsia="tr-TR"/>
        </w:rPr>
        <w:t>- In accordance with the unlicensed electricity generation regulation, the list of information and documents to be submitted to the relevant network operators in unlicensed electricity generation applications has been determined.</w:t>
      </w:r>
    </w:p>
    <w:p w:rsidR="004A049C" w:rsidRPr="00A46836" w:rsidRDefault="004A049C" w:rsidP="00A46836">
      <w:pPr>
        <w:rPr>
          <w:lang w:val="en"/>
        </w:rPr>
      </w:pPr>
      <w:r w:rsidRPr="00A46836">
        <w:rPr>
          <w:lang w:val="en"/>
        </w:rPr>
        <w:t>• With the Board Decision dated 23.05.2019 and numbered 8601-2, published in the Official Gazette dated 15.06.2019 and numbered 30802, the purpose of the "Electricity Reconciliation Procedures and Principles Regarding Imports and Exports in the Market ”has been accepted.</w:t>
      </w:r>
    </w:p>
    <w:p w:rsidR="004A049C" w:rsidRPr="00A46836" w:rsidRDefault="004A049C" w:rsidP="00A46836">
      <w:pPr>
        <w:rPr>
          <w:lang w:val="en"/>
        </w:rPr>
      </w:pPr>
      <w:r w:rsidRPr="00A46836">
        <w:rPr>
          <w:lang w:val="en"/>
        </w:rPr>
        <w:t>• With the Board Decision dated 20.06.2019 and numbered 8666, published in the Official Gazette dated 26.06.2019 and numbered 30813, clauses were added to Article 16 titled "Application of tariffs for production activity" of the Procedures and Principles Regarding the Tariff Implementations of the Distribution Licensees Legal Entities and Supply Companies in Charge. The added anecdotes are as follows.</w:t>
      </w:r>
    </w:p>
    <w:p w:rsidR="004A049C" w:rsidRPr="00A46836" w:rsidRDefault="004A049C" w:rsidP="00A46836">
      <w:pPr>
        <w:rPr>
          <w:lang w:val="en"/>
        </w:rPr>
      </w:pPr>
      <w:r w:rsidRPr="00A46836">
        <w:rPr>
          <w:lang w:val="en"/>
        </w:rPr>
        <w:lastRenderedPageBreak/>
        <w:t>"(5) Call for a connection agreement from generation facilities within the scope of subparagraph (c) of the first paragraph of Article 5 of the Regulation on Unlicensed Electricity Generation in the Electricity Market published in the Official Gazette dated 12/5/2019 and numbered 30772, as of 12/5/2019. Regarding the electrical energy consumed in the consumption facilities which are produced in unlicensed electricity generation facilities based on renewable energy sources and whose production and consumption are at the same measurement point, subject to the RES Support Mechanism, whose installed power is limited by the contractual power of the connection agreement, 50% discount is made in the consumer distribution tariff specific to the subscriber group of the consumption facility for the amount of production that meets the production amount, and a consumer distribution tariff specific to the relevant subscriber group is applied for the part of the consumption exceeding the production. In cases where the consumption is equal to the production or the consumption is more or less than the production, the distribution fee in the direction of delivery is applied with 100% discount for ten years from the date of establishment of the generation facility.</w:t>
      </w:r>
    </w:p>
    <w:p w:rsidR="004A049C" w:rsidRPr="00A46836" w:rsidRDefault="004A049C" w:rsidP="00A46836">
      <w:pPr>
        <w:rPr>
          <w:lang w:val="en"/>
        </w:rPr>
      </w:pPr>
      <w:r w:rsidRPr="00A46836">
        <w:rPr>
          <w:lang w:val="en"/>
        </w:rPr>
        <w:t>(6) The provision of the fifth paragraph to renewable energy resources up to 10 kW (including 10 kW) whose installed power is limited to the contract power of the connection agreement, which is entitled to receive a letter of invitation to the connection agreement as of 21/6/2018 and is at the same measurement point with the consumption facility. It is also applied for electricity generation facilities with roof and facade applications</w:t>
      </w:r>
    </w:p>
    <w:p w:rsidR="004A049C" w:rsidRPr="00A46836" w:rsidRDefault="004A049C" w:rsidP="00A46836">
      <w:pPr>
        <w:rPr>
          <w:lang w:val="en"/>
        </w:rPr>
      </w:pPr>
      <w:r w:rsidRPr="00A46836">
        <w:rPr>
          <w:lang w:val="en" w:eastAsia="tr-TR"/>
        </w:rPr>
        <w:t xml:space="preserve">• </w:t>
      </w:r>
      <w:r w:rsidRPr="00A46836">
        <w:rPr>
          <w:lang w:val="en"/>
        </w:rPr>
        <w:t>With the Board Decision dated 27.06.2019 and numbered 8674 published in the Official Gazette dated 06.07.2019 and numbered 30823</w:t>
      </w:r>
    </w:p>
    <w:p w:rsidR="004A049C" w:rsidRPr="00A46836" w:rsidRDefault="004A049C" w:rsidP="00A46836">
      <w:pPr>
        <w:rPr>
          <w:lang w:val="en"/>
        </w:rPr>
      </w:pPr>
      <w:r w:rsidRPr="00A46836">
        <w:rPr>
          <w:lang w:val="en"/>
        </w:rPr>
        <w:t>- The "List of Information and Documents to be Submitted in Applications Related to Pre-License and License Transactions" approved by the Board Decision dated 10.05.2018 and numbered 7828,</w:t>
      </w:r>
    </w:p>
    <w:p w:rsidR="004A049C" w:rsidRPr="00A46836" w:rsidRDefault="004A049C" w:rsidP="00A46836">
      <w:pPr>
        <w:rPr>
          <w:lang w:val="en" w:eastAsia="tr-TR"/>
        </w:rPr>
      </w:pPr>
      <w:r w:rsidRPr="00A46836">
        <w:rPr>
          <w:lang w:val="en" w:eastAsia="tr-TR"/>
        </w:rPr>
        <w:t>- Applications Regarding Pre-License and Licensing Procedures, whose purpose is to regulate the procedures and principles regarding the application, termination, amendment, facility transfer, legal person merger or division in electronic form or in writing regulated in the secondary legislation on the electricity market regarding pre-license and licenses. Related Procedures and Principles ”has been accepted.</w:t>
      </w:r>
    </w:p>
    <w:p w:rsidR="004A049C" w:rsidRPr="00A46836" w:rsidRDefault="004A049C" w:rsidP="00A46836">
      <w:pPr>
        <w:rPr>
          <w:lang w:val="en"/>
        </w:rPr>
      </w:pPr>
      <w:r w:rsidRPr="00A46836">
        <w:rPr>
          <w:lang w:val="en"/>
        </w:rPr>
        <w:t>• Structure of Day Ahead Market Offers and Procedures and Principles Regarding Evaluation of Offers were amended with the Board Decision dated 11.07.2019 and numbered 8706, published in the Official Gazette dated 09.08.2019 and numbered 30857.</w:t>
      </w:r>
    </w:p>
    <w:p w:rsidR="004A049C" w:rsidRPr="00A46836" w:rsidRDefault="004A049C" w:rsidP="00A46836">
      <w:pPr>
        <w:rPr>
          <w:lang w:val="en" w:eastAsia="tr-TR"/>
        </w:rPr>
      </w:pPr>
      <w:r w:rsidRPr="00A46836">
        <w:rPr>
          <w:lang w:val="en" w:eastAsia="tr-TR"/>
        </w:rPr>
        <w:t xml:space="preserve">• </w:t>
      </w:r>
      <w:r w:rsidRPr="00A46836">
        <w:rPr>
          <w:lang w:val="en"/>
        </w:rPr>
        <w:t>With the Board Decision dated 30.09.2019 and numbered 8861 published in the Official Gazette dated 01.10.2019 and numbered 30905, the issues regarding the limit in the third paragraph of Article 5 of the Communiqué on Regulation of the Last Resource Procurement Tariff were determined for 2020.</w:t>
      </w:r>
    </w:p>
    <w:p w:rsidR="004A049C" w:rsidRPr="00A46836" w:rsidRDefault="004A049C" w:rsidP="00A46836">
      <w:pPr>
        <w:rPr>
          <w:lang w:val="en" w:eastAsia="tr-TR"/>
        </w:rPr>
      </w:pPr>
      <w:r w:rsidRPr="00A46836">
        <w:rPr>
          <w:lang w:val="en" w:eastAsia="tr-TR"/>
        </w:rPr>
        <w:t>• With the Board Decision dated 10.10.2019 and numbered 8884-2, published in the Official Gazette dated 15.10.2019 and numbered 30919, the format of the RES List determined by the Board Decision dated 04.10.2018 and numbered 8103-48 was abolished and the new RES List was adopted. The format of the REC list has been aligned with the Regulation on Certification and Support of Renewable Energy Resources published in the Official Gazette dated 23.08.2019 and numbered 30867.</w:t>
      </w:r>
    </w:p>
    <w:p w:rsidR="004A049C" w:rsidRPr="00A46836" w:rsidRDefault="004A049C" w:rsidP="00A46836">
      <w:pPr>
        <w:rPr>
          <w:lang w:val="en" w:eastAsia="tr-TR"/>
        </w:rPr>
      </w:pPr>
      <w:r w:rsidRPr="00A46836">
        <w:rPr>
          <w:lang w:val="en" w:eastAsia="tr-TR"/>
        </w:rPr>
        <w:t xml:space="preserve">• With the Board Decision dated 19.12.2019 and numbered 8994 published in the Official Gazette dated 24.12.2019 and numbered 30988, the annual electricity generation amount registered to the license of a </w:t>
      </w:r>
      <w:r w:rsidRPr="00A46836">
        <w:rPr>
          <w:lang w:val="en" w:eastAsia="tr-TR"/>
        </w:rPr>
        <w:lastRenderedPageBreak/>
        <w:t>legal entity under the second paragraph of Provisional Article 7 of the Electricity Market Law numbered 6446 It has been decided to apply the rate at which it can be sold in the market as 40% for 2020.</w:t>
      </w:r>
    </w:p>
    <w:p w:rsidR="004A049C" w:rsidRPr="00A46836" w:rsidRDefault="004A049C" w:rsidP="00A46836">
      <w:pPr>
        <w:rPr>
          <w:lang w:val="en" w:eastAsia="tr-TR"/>
        </w:rPr>
      </w:pPr>
      <w:r w:rsidRPr="00A46836">
        <w:rPr>
          <w:lang w:val="en" w:eastAsia="tr-TR"/>
        </w:rPr>
        <w:t>• With the Board Decision dated 19.12.2019 and numbered 9006, published in the Official Gazette dated 24.12.2019 and numbered 30988, the Procedures and Principles Regarding the Tariff Implementations of Distribution Licensee Legal Entities and Supply Companies in Charge were amended. With the amendment, "Milk collection centers, cattle breeding establishments, bovine dairy enterprises, ovine enterprises, broiler chicken coop, layer chicken coop, breeder coop, commercial turkey coop, commercial goose coop, operating within the scope of the document obtained from the relevant units of the Ministry of Agriculture and Forestry, Commercial quail coops, commercial duck coops, aquaculture holdings, hatcheries and greenhouses are also included in this subscriber group.</w:t>
      </w:r>
    </w:p>
    <w:p w:rsidR="004E1EFE" w:rsidRPr="004E7F7B" w:rsidRDefault="004E1EFE" w:rsidP="004E7F7B">
      <w:pPr>
        <w:pStyle w:val="Balk2"/>
        <w:rPr>
          <w:rFonts w:ascii="Times New Roman" w:hAnsi="Times New Roman" w:cs="Times New Roman"/>
          <w:sz w:val="22"/>
          <w:szCs w:val="22"/>
        </w:rPr>
      </w:pPr>
      <w:bookmarkStart w:id="26" w:name="_Toc48817823"/>
      <w:r w:rsidRPr="004E7F7B">
        <w:rPr>
          <w:rFonts w:ascii="Times New Roman" w:hAnsi="Times New Roman" w:cs="Times New Roman"/>
          <w:sz w:val="22"/>
          <w:szCs w:val="22"/>
        </w:rPr>
        <w:t>2.2.Natural Gas Market Legislation</w:t>
      </w:r>
      <w:bookmarkEnd w:id="26"/>
    </w:p>
    <w:p w:rsidR="004E1EFE" w:rsidRPr="004E7F7B" w:rsidRDefault="004E1EFE" w:rsidP="004E7F7B">
      <w:pPr>
        <w:pStyle w:val="Balk3"/>
        <w:rPr>
          <w:rFonts w:ascii="Times New Roman" w:hAnsi="Times New Roman" w:cs="Times New Roman"/>
          <w:sz w:val="22"/>
          <w:szCs w:val="22"/>
        </w:rPr>
      </w:pPr>
      <w:bookmarkStart w:id="27" w:name="_Toc48817824"/>
      <w:r w:rsidRPr="004E7F7B">
        <w:rPr>
          <w:rFonts w:ascii="Times New Roman" w:hAnsi="Times New Roman" w:cs="Times New Roman"/>
          <w:sz w:val="22"/>
          <w:szCs w:val="22"/>
        </w:rPr>
        <w:t>2.2.1.Law</w:t>
      </w:r>
      <w:bookmarkEnd w:id="27"/>
    </w:p>
    <w:p w:rsidR="002A3D78" w:rsidRPr="004E7F7B" w:rsidRDefault="002A3D78" w:rsidP="002A3D78">
      <w:pPr>
        <w:rPr>
          <w:lang w:eastAsia="tr-TR"/>
        </w:rPr>
      </w:pPr>
      <w:r w:rsidRPr="002A3D78">
        <w:rPr>
          <w:lang w:eastAsia="tr-TR"/>
        </w:rPr>
        <w:t>In 2019, the Natural Gas Market Law No. 4646 was not amended.</w:t>
      </w:r>
    </w:p>
    <w:p w:rsidR="00220435" w:rsidRPr="004E7F7B" w:rsidRDefault="00220435" w:rsidP="007B4A7D">
      <w:pPr>
        <w:pStyle w:val="Balk3"/>
        <w:numPr>
          <w:ilvl w:val="2"/>
          <w:numId w:val="27"/>
        </w:numPr>
        <w:spacing w:before="200"/>
        <w:rPr>
          <w:rFonts w:ascii="Times New Roman" w:hAnsi="Times New Roman" w:cs="Times New Roman"/>
          <w:sz w:val="22"/>
          <w:szCs w:val="22"/>
        </w:rPr>
      </w:pPr>
      <w:bookmarkStart w:id="28" w:name="_Toc48817825"/>
      <w:r w:rsidRPr="004E7F7B">
        <w:rPr>
          <w:rFonts w:ascii="Times New Roman" w:hAnsi="Times New Roman" w:cs="Times New Roman"/>
          <w:sz w:val="22"/>
          <w:szCs w:val="22"/>
        </w:rPr>
        <w:t>Regulations</w:t>
      </w:r>
      <w:bookmarkEnd w:id="28"/>
    </w:p>
    <w:p w:rsidR="00B731BE" w:rsidRPr="00A46836" w:rsidRDefault="00B731BE" w:rsidP="00A46836">
      <w:pPr>
        <w:rPr>
          <w:rFonts w:eastAsia="Calibri"/>
        </w:rPr>
      </w:pPr>
      <w:r w:rsidRPr="00A46836">
        <w:t xml:space="preserve">In 2019, the following </w:t>
      </w:r>
      <w:r w:rsidR="00924C9D" w:rsidRPr="00A46836">
        <w:t>regulaton amendments were made;</w:t>
      </w:r>
    </w:p>
    <w:p w:rsidR="00B731BE" w:rsidRPr="00A46836" w:rsidRDefault="000D301E" w:rsidP="00A46836">
      <w:pPr>
        <w:rPr>
          <w:lang w:val="en"/>
        </w:rPr>
      </w:pPr>
      <w:r w:rsidRPr="00A46836">
        <w:rPr>
          <w:lang w:val="en"/>
        </w:rPr>
        <w:t>The following amendments were made with th</w:t>
      </w:r>
      <w:r w:rsidR="00924C9D" w:rsidRPr="00A46836">
        <w:rPr>
          <w:lang w:val="en"/>
        </w:rPr>
        <w:t>e Amending  Regulation published in the Official Gazette dated 0</w:t>
      </w:r>
      <w:r w:rsidRPr="00A46836">
        <w:rPr>
          <w:lang w:val="en"/>
        </w:rPr>
        <w:t>6.04.2019 and numbered 30737 to</w:t>
      </w:r>
      <w:r w:rsidR="00924C9D" w:rsidRPr="00A46836">
        <w:rPr>
          <w:lang w:val="en"/>
        </w:rPr>
        <w:t xml:space="preserve"> the Natural Gas Market Certificate Regulation</w:t>
      </w:r>
      <w:r w:rsidRPr="00A46836">
        <w:rPr>
          <w:lang w:val="en"/>
        </w:rPr>
        <w:t>;</w:t>
      </w:r>
    </w:p>
    <w:p w:rsidR="000D301E" w:rsidRPr="00A46836" w:rsidRDefault="000D301E" w:rsidP="00A46836">
      <w:pPr>
        <w:rPr>
          <w:lang w:val="en"/>
        </w:rPr>
      </w:pPr>
      <w:r w:rsidRPr="00A46836">
        <w:rPr>
          <w:lang w:val="en"/>
        </w:rPr>
        <w:t>-A paragraph has been added to come after the fourth paragraph of Article 9 titled "Certificate and authorization applications". The aforementioned clause relates that certificate applications can be made electronically and the information and documents to be requested will be submitted to the Authority electronically within the framework of the procedures and principles specified in the board decision regarding the issue.</w:t>
      </w:r>
    </w:p>
    <w:p w:rsidR="000D301E" w:rsidRPr="00A46836" w:rsidRDefault="000D301E" w:rsidP="00A46836">
      <w:pPr>
        <w:rPr>
          <w:lang w:val="en"/>
        </w:rPr>
      </w:pPr>
      <w:r w:rsidRPr="00A46836">
        <w:rPr>
          <w:lang w:val="en"/>
        </w:rPr>
        <w:t>- The last paragraph of Article 10 titled "Granting the certificate" has been changed. The amendment is related to keeping certificate records in electronic environment.</w:t>
      </w:r>
    </w:p>
    <w:p w:rsidR="000D301E" w:rsidRPr="00A46836" w:rsidRDefault="000D301E" w:rsidP="00A46836">
      <w:pPr>
        <w:rPr>
          <w:rFonts w:eastAsia="Times New Roman"/>
          <w:noProof w:val="0"/>
          <w:lang w:val="en" w:eastAsia="tr-TR"/>
        </w:rPr>
      </w:pPr>
      <w:r w:rsidRPr="00A46836">
        <w:rPr>
          <w:rFonts w:eastAsia="Times New Roman"/>
          <w:noProof w:val="0"/>
          <w:lang w:val="en" w:eastAsia="tr-TR"/>
        </w:rPr>
        <w:t>- The first paragraph of Article 17 titled "Termination of certificates" has been changed. The amendment in question consists of replacing the phrase "certificate" with the phrase "certificates" and "the bankruptcy of the owner" with the phrase "finalization of the bankruptcy decision on the owner".</w:t>
      </w:r>
    </w:p>
    <w:p w:rsidR="000D301E" w:rsidRPr="00A46836" w:rsidRDefault="00636D18" w:rsidP="00A46836">
      <w:pPr>
        <w:rPr>
          <w:lang w:val="en"/>
        </w:rPr>
      </w:pPr>
      <w:r w:rsidRPr="00A46836">
        <w:rPr>
          <w:lang w:val="en"/>
        </w:rPr>
        <w:t>The following amendments were made w</w:t>
      </w:r>
      <w:r w:rsidR="000D301E" w:rsidRPr="00A46836">
        <w:rPr>
          <w:lang w:val="en"/>
        </w:rPr>
        <w:t>th the Amending Regulation published in the Official Gazette dated 0</w:t>
      </w:r>
      <w:r w:rsidRPr="00A46836">
        <w:rPr>
          <w:lang w:val="en"/>
        </w:rPr>
        <w:t>6.04.2019 and numbered 30737 to</w:t>
      </w:r>
      <w:r w:rsidR="000D301E" w:rsidRPr="00A46836">
        <w:rPr>
          <w:lang w:val="en"/>
        </w:rPr>
        <w:t xml:space="preserve"> the Natural Gas Market Licensing Regulation</w:t>
      </w:r>
      <w:r w:rsidRPr="00A46836">
        <w:rPr>
          <w:lang w:val="en"/>
        </w:rPr>
        <w:t>;</w:t>
      </w:r>
    </w:p>
    <w:p w:rsidR="00636D18" w:rsidRPr="00A46836" w:rsidRDefault="00636D18" w:rsidP="00A46836">
      <w:pPr>
        <w:rPr>
          <w:lang w:val="en"/>
        </w:rPr>
      </w:pPr>
      <w:r w:rsidRPr="00A46836">
        <w:rPr>
          <w:lang w:val="en"/>
        </w:rPr>
        <w:t>-The sixth paragraph of Article 5 titled "License and license acquisition obligation" has been changed. The change is related to keeping license records electronically.</w:t>
      </w:r>
    </w:p>
    <w:p w:rsidR="00636D18" w:rsidRPr="00A46836" w:rsidRDefault="00636D18" w:rsidP="00A46836">
      <w:pPr>
        <w:rPr>
          <w:lang w:val="en"/>
        </w:rPr>
      </w:pPr>
      <w:r w:rsidRPr="00A46836">
        <w:rPr>
          <w:lang w:val="en"/>
        </w:rPr>
        <w:t>- A paragraph has been added at the end of Article 8 titled "License application". The attached paragraph relates that the license application can be made electronically, for which licenses electronic application is possible, and the information, documents and procedures to be requested will be determined by the Board Decision.</w:t>
      </w:r>
    </w:p>
    <w:p w:rsidR="00636D18" w:rsidRPr="00A46836" w:rsidRDefault="00636D18" w:rsidP="00A46836">
      <w:pPr>
        <w:rPr>
          <w:lang w:val="en"/>
        </w:rPr>
      </w:pPr>
      <w:r w:rsidRPr="00A46836">
        <w:rPr>
          <w:lang w:val="en"/>
        </w:rPr>
        <w:t xml:space="preserve">-The fourth and sixth paragraphs of the 15th article titled "Renewal of licenses" have been changed. The amendment in the fourth paragraph is to add the wholesale (OTOLNG) licenses to the renewal procedures to be carried out by the Authority; if the license renewal application is accepted, the </w:t>
      </w:r>
      <w:r w:rsidRPr="00A46836">
        <w:rPr>
          <w:lang w:val="en"/>
        </w:rPr>
        <w:lastRenderedPageBreak/>
        <w:t>document stating that the license renewal fee is deposited to the Authority's account and the document showing that the license holder has the minimum capital in the amount specified in the relevant legislation for the current year, for thirty days. not that it must submit to the Agency within ninety days. The amendment in the sixth paragraph is that the commercial title and the license type of the license holder of which license is renewed will be announced on the Authority's website without being published in the Official Gazette on the date the license is in effect, but the trade name and the license type of the legal person whose transmission, distribution and storage license is renewed will also be published in the Official Gazette.</w:t>
      </w:r>
    </w:p>
    <w:p w:rsidR="00636D18" w:rsidRPr="00A46836" w:rsidRDefault="00636D18" w:rsidP="00A46836">
      <w:pPr>
        <w:rPr>
          <w:lang w:val="en"/>
        </w:rPr>
      </w:pPr>
      <w:r w:rsidRPr="00A46836">
        <w:rPr>
          <w:rFonts w:eastAsia="Times New Roman"/>
          <w:noProof w:val="0"/>
          <w:lang w:val="en" w:eastAsia="tr-TR"/>
        </w:rPr>
        <w:t xml:space="preserve">- </w:t>
      </w:r>
      <w:r w:rsidRPr="00A46836">
        <w:rPr>
          <w:lang w:val="en"/>
        </w:rPr>
        <w:t>The first paragraph of Article 16 titled "Termination of licenses" has been changed. The amendment consists of replacing the phrase "owner's bankruptcy" with the phrase "finalization of the bankruptcy decision on the owner".</w:t>
      </w:r>
    </w:p>
    <w:p w:rsidR="00636D18" w:rsidRPr="00A46836" w:rsidRDefault="00636D18" w:rsidP="00A46836">
      <w:pPr>
        <w:rPr>
          <w:lang w:val="en"/>
        </w:rPr>
      </w:pPr>
      <w:r w:rsidRPr="00A46836">
        <w:rPr>
          <w:lang w:val="en"/>
        </w:rPr>
        <w:t xml:space="preserve">-In addition, with the amendment made in the temporary article 2 of the natural gas market law numbered 4646, the law on tax laws and some decree laws that entered into force by publishing the official newspaper dated 27/03/2018 and dated 30373, allowed the realization of spot pipe gas import. . In this context, the 8th paragraph of Article 19 of the regulation “The legal entities that will engage in the import of spot liquefied natural gas (LNG), spot pipe gas and compressed natural gas (CNG) must obtain an import (Spot) license. Companies that will engage in spot liquefied natural gas (LNG), spot pipe gas and compressed natural gas (CNG) import activities obtain a single import (Spot) license for the import connections subject to these activities. CNG procured from abroad under the import (Spot) license can be supplied to other licensees and consumers. Import (Spot) license holders may carry out their domestic CNG activities by obtaining the relevant CNG licenses or by purchasing services from legal entities holding these licenses. The application method for spot pipe gas imports and the application method for CNG imports are determined in the procedures and principles to be issued by the Board. Import (Spot) license holders are obliged to submit the amount, source (company / country that is the seller party) and delivery point information regarding their import activities to the Authority within the scope of the provisions of the Energy Market Notification Regulation published in the Official Gazette dated 27/5/2014 and numbered 29012. " </w:t>
      </w:r>
    </w:p>
    <w:p w:rsidR="00636D18" w:rsidRPr="00A46836" w:rsidRDefault="00636D18" w:rsidP="00A46836">
      <w:pPr>
        <w:rPr>
          <w:lang w:val="en"/>
        </w:rPr>
      </w:pPr>
      <w:r w:rsidRPr="00A46836">
        <w:rPr>
          <w:lang w:val="en"/>
        </w:rPr>
        <w:t>- The second paragraph of Article 25 titled "Rights and obligations of companies holding wholesale licenses" has been changed. The amendment consists of the addition of OtoCNG companies and wholesale (AutoLNG) companies to the license holders, where wholesale licensees can sell the gas they purchase throughout the country.</w:t>
      </w:r>
    </w:p>
    <w:p w:rsidR="00B731BE" w:rsidRPr="00A46836" w:rsidRDefault="00B731BE" w:rsidP="00A46836">
      <w:r w:rsidRPr="00A46836">
        <w:t xml:space="preserve">-An article is added to the end of “export license holder companies’ rights and obligations” titled </w:t>
      </w:r>
      <w:r w:rsidR="00636D18" w:rsidRPr="00A46836">
        <w:t>Art.30</w:t>
      </w:r>
      <w:r w:rsidRPr="00A46836">
        <w:t>. The added article states “It is essential that the country’s needs and the operation of the system are not interrupted due to export. The export activity to be carried out through the pipeline is carried out within the framework of the procedures and principles determined by the Committee for the use of export exit points and other issues, taking into account the technical capacity of the transmission network”.</w:t>
      </w:r>
    </w:p>
    <w:p w:rsidR="00B731BE" w:rsidRPr="00A46836" w:rsidRDefault="00B731BE" w:rsidP="00A46836">
      <w:r w:rsidRPr="00A46836">
        <w:t xml:space="preserve">-- Subparagraph (1) of the first paragraph of the </w:t>
      </w:r>
      <w:r w:rsidR="00636D18" w:rsidRPr="00A46836">
        <w:t>Art.31</w:t>
      </w:r>
      <w:r w:rsidRPr="00A46836">
        <w:t xml:space="preserve"> titled "Other liabilities of the licensed legal persons" has been changed. The trade names and license types of legal entities whose amendment license has expired or are canceled will be announced on the Authority website without being published in the Official Gazette, but the trade names and license types of the legal entities whose pipeline transmission, distribution and storage licenses are terminated or their license types will also be published in the Official Gazette.</w:t>
      </w:r>
    </w:p>
    <w:p w:rsidR="00B731BE" w:rsidRPr="00A46836" w:rsidRDefault="00B731BE" w:rsidP="00A46836">
      <w:r w:rsidRPr="00A46836">
        <w:lastRenderedPageBreak/>
        <w:t>- The ninth paragraph of Article 42 titled "Transfer of shares" has been changed. The amendment is related to the change in the text of the paragraph "in persons" to "persons" and the removal of the phrase "and if the new shareholders hold ten percent or more shares in the licensee legal entity, the information and documents of these persons specified in Article 7 of Annex 3 are submitted to the Authority". .</w:t>
      </w:r>
    </w:p>
    <w:p w:rsidR="00B731BE" w:rsidRPr="00A46836" w:rsidRDefault="00B731BE" w:rsidP="00A46836">
      <w:r w:rsidRPr="00A46836">
        <w:t>- Provisional Article 11 titled "Electronic notification address" has been added to the regulation. Article "Licensee legal entities are obliged to notify the Authority of the Electronic Notification Addresses that they will provide in accordance with the electronic notification legislation within three months from the effective date of this article." It shaped. In addition, Provisional Article 12 titled "Import (Spot LNG) license amendment procedures" has been added to the Regulation. Article "Import (Spot LNG) licenses are ex officio amended as Import (Spot) license within six months from the effective date of this article." It shaped.</w:t>
      </w:r>
    </w:p>
    <w:p w:rsidR="00B731BE" w:rsidRPr="00A46836" w:rsidRDefault="00B731BE" w:rsidP="00A46836">
      <w:r w:rsidRPr="00A46836">
        <w:t>- Annex 1 of the regulation titled "Undergraduate Application Letter" has been amended.</w:t>
      </w:r>
    </w:p>
    <w:p w:rsidR="00B731BE" w:rsidRPr="00A46836" w:rsidRDefault="00B731BE" w:rsidP="00A46836">
      <w:r w:rsidRPr="00A46836">
        <w:t>- The 5th note of the Annex-3 of the Regulation titled “Information and Documents Required to Submit by Legal Entities in License Application” has been changed as follows. "5-In import (Spot) license applications, the information and documents stipulated in the clause (a) of Article 10 of this Annex are not requested."</w:t>
      </w:r>
    </w:p>
    <w:p w:rsidR="00B731BE" w:rsidRPr="00A46836" w:rsidRDefault="00B731BE" w:rsidP="00A46836">
      <w:r w:rsidRPr="00A46836">
        <w:t>• The Amendment Regulation published in the Official Gazette dated 19.09.2019 and numbered 30893 and the Natural Gas Market Licensing Regulation</w:t>
      </w:r>
    </w:p>
    <w:p w:rsidR="00B731BE" w:rsidRPr="00A46836" w:rsidRDefault="00B731BE" w:rsidP="00A46836">
      <w:r w:rsidRPr="00A46836">
        <w:t>- Second paragraph of article 15 titled "Renewal of licenses" has been changed. The amendment made at the end of the paragraph “However, these periods; For import (Spot), wholesale, wholesale (AutoLNG), transmission (LNG) and CNG licenses, at the earliest one year and three months at the latest. " It consists of adding the phrase. The final version of the clause “License renewal request can be made at the earliest one year, at the latest nine months before the end of the current license period, upon the written application of the license holder to the Authority. However, these periods; For import (Spot), wholesale, wholesale (AutoLNG), transmission (LNG) and CNG licenses, at the earliest one year and three months at the latest. ".</w:t>
      </w:r>
    </w:p>
    <w:p w:rsidR="00B731BE" w:rsidRPr="00A46836" w:rsidRDefault="00B731BE" w:rsidP="00A46836">
      <w:r w:rsidRPr="00A46836">
        <w:t>- Temporary article 13 titled "License renewal procedures" has been added to the regulation. Article text "In the finalization of license renewal requests made to the Authority before the effective date of this article, the periods to be applied for each license type in Article 15 of this Regulation are taken as basis." It shaped.</w:t>
      </w:r>
    </w:p>
    <w:p w:rsidR="00B731BE" w:rsidRPr="00A46836" w:rsidRDefault="00B731BE" w:rsidP="00A46836">
      <w:r w:rsidRPr="00A46836">
        <w:t>• In the Amendment Regulation published in the Official Gazette dated 13.12.2019 and numbered 30977 and the Natural Gas Market Certificate Regulation;</w:t>
      </w:r>
    </w:p>
    <w:p w:rsidR="00B731BE" w:rsidRPr="00A46836" w:rsidRDefault="00B731BE" w:rsidP="00A46836">
      <w:r w:rsidRPr="00A46836">
        <w:t>- Clauses (i), (j), (k), (l) and (m) have been added to the following clause (ğ) and the second clause of the first paragraph of Article 11 titled “Rights and obligations of the certificate holder”. Added clauses ğ) The certificate holder receives a written declaration from the persons that will become partners in his own company and the personnel he will employ as employees related to his activities within the scope of the certificate, stating that there is no obstacle to be a partner in the certified company and / or to be employed in positions related to the activities within the scope of the certificate within the scope of Article 18 of this Regulation. .</w:t>
      </w:r>
    </w:p>
    <w:p w:rsidR="00B731BE" w:rsidRPr="00A46836" w:rsidRDefault="00B731BE" w:rsidP="00A46836">
      <w:r w:rsidRPr="00A46836">
        <w:lastRenderedPageBreak/>
        <w:t>“I) The certificate holder receives a written declaration from the persons who will become partners of his own company and from the personnel he will employ as employees related to the activities within the scope of the certificate, stating that there is no obstacle to be a partner in the certified company and / or to be employed in the staff related to the activities within the scope of the certificate within the scope of Article 18 of this Regulation.</w:t>
      </w:r>
    </w:p>
    <w:p w:rsidR="00B731BE" w:rsidRPr="00A46836" w:rsidRDefault="00B731BE" w:rsidP="00A46836">
      <w:r w:rsidRPr="00A46836">
        <w:t>j) Certificate owner and employees cannot interfere with gas lines without the permission of the relevant distribution company.</w:t>
      </w:r>
    </w:p>
    <w:p w:rsidR="00B731BE" w:rsidRPr="00A46836" w:rsidRDefault="00B731BE" w:rsidP="00A46836">
      <w:r w:rsidRPr="00A46836">
        <w:t>k) Certificate holder and its employees cannot interfere with the network / meter / installation and cause the customer's illegal use of natural gas.</w:t>
      </w:r>
    </w:p>
    <w:p w:rsidR="00B731BE" w:rsidRPr="00A46836" w:rsidRDefault="00B731BE" w:rsidP="00A46836">
      <w:r w:rsidRPr="00A46836">
        <w:t>l) The certificate holder cannot have non-certified real / legal persons have internal installation projects and construction works and / or cannot undertake the works performed by these persons.</w:t>
      </w:r>
    </w:p>
    <w:p w:rsidR="00B731BE" w:rsidRPr="00A46836" w:rsidRDefault="00B731BE" w:rsidP="00A46836">
      <w:r w:rsidRPr="00A46836">
        <w:t>m) Certificate holder and its employees cannot use non-standard materials and / or perform non-standard applications in interior installation production.”</w:t>
      </w:r>
    </w:p>
    <w:p w:rsidR="00B731BE" w:rsidRPr="00A46836" w:rsidRDefault="00B731BE" w:rsidP="00A46836">
      <w:r w:rsidRPr="00A46836">
        <w:t>- Paragraphs have been added to the article 18 titled “Cancellation of certificates” after the third paragraph. The added paragraphs are "Within the scope of the second paragraph of this article by the Board; In case the certificate is canceled as a result of operations such as intervening in gas lines without the permission of the relevant distribution company, causing illegal use of natural gas by intervening in the network / meter / installation, or establishing a transaction that endangers life safety by using non-standard materials; Certificate holders, real person partners and employees who are determined to be responsible for the act subject to certificate revocation are notified in writing to the relevant distribution company and other distribution companies by the Authority.</w:t>
      </w:r>
    </w:p>
    <w:p w:rsidR="00B731BE" w:rsidRPr="00A46836" w:rsidRDefault="00B731BE" w:rsidP="00A46836">
      <w:r w:rsidRPr="00A46836">
        <w:t>To the persons whose certificates have been revoked in this way, to other persons who are the owner / partner / employee of real persons who are the owner / partner of these persons, to persons who employ employees who are actually responsible for the revocation of the certificate, or to persons who are also owners / partners of these employees; A new certificate is not issued for one year from the date the certificate is revoked.</w:t>
      </w:r>
    </w:p>
    <w:p w:rsidR="00B731BE" w:rsidRPr="00A46836" w:rsidRDefault="00B731BE" w:rsidP="00A46836">
      <w:r w:rsidRPr="00A46836">
        <w:t>The real persons who are the owner / partner of the persons whose certificates are revoked in this way and / or the employees who have the actual responsibility subject to the certificate revocation cannot be a company owner or partner in another certificate holder company for one year from the date the certificate is revoked, they can be employed in positions related to the activities within the scope of the certificate. It cannot be on.</w:t>
      </w:r>
    </w:p>
    <w:p w:rsidR="00B731BE" w:rsidRPr="00A46836" w:rsidRDefault="00B731BE" w:rsidP="00A46836">
      <w:r w:rsidRPr="00A46836">
        <w:t>In the event that the real persons who are responsible for the revocation of the certificate are not the person whose certificate has been revoked within the scope of the second paragraph of this article but are already associated with a company that is already certified in terms of being a partner / owner / employee, the relevant certificate holder will These persons cannot operate within the scope of their duties in the certified company until the necessary information and documents regarding the issue are submitted to the relevant distribution company / Authority. These persons can operate under the control and supervision of the relevant distribution company, limited to the completion of the existing unfinished works in terms of not causing consumer grievance.</w:t>
      </w:r>
    </w:p>
    <w:p w:rsidR="00B731BE" w:rsidRPr="00A46836" w:rsidRDefault="00B731BE" w:rsidP="00A46836">
      <w:r w:rsidRPr="00A46836">
        <w:lastRenderedPageBreak/>
        <w:t>The provisions of this article are also applied in the event that the construction and service certificate is canceled by the Board due to the acts specified in this article within the scope of the service they provide to the license holders and consumers, and if action is taken against those who are not certified due to the actions listed in this article. "</w:t>
      </w:r>
    </w:p>
    <w:p w:rsidR="00B731BE" w:rsidRPr="00A46836" w:rsidRDefault="00B731BE" w:rsidP="00A46836">
      <w:r w:rsidRPr="00A46836">
        <w:t>- Annex-3 titled "Information and Documents to be Submitted in the Application for Construction and Service Certificate", Annex-4 titled "Application for Modification of the Construction and Service Certificate", Annex-5 titled "Construction and Service Certificate Visa Application", "Construction and Service Certificate Application" Appendix-6 titled “Service Certificate Renewal Application Petition” and Annex-9 titled “Information and Documents to be Submitted in the Application for Internal Installation and Service Lines Certificate” have been amended.</w:t>
      </w:r>
    </w:p>
    <w:p w:rsidR="00FE7FEB" w:rsidRPr="004E7F7B" w:rsidRDefault="004E1EFE" w:rsidP="004E7F7B">
      <w:pPr>
        <w:pStyle w:val="Balk3"/>
        <w:rPr>
          <w:rFonts w:ascii="Times New Roman" w:hAnsi="Times New Roman" w:cs="Times New Roman"/>
          <w:sz w:val="22"/>
          <w:szCs w:val="22"/>
        </w:rPr>
      </w:pPr>
      <w:bookmarkStart w:id="29" w:name="_Toc48817826"/>
      <w:r w:rsidRPr="004E7F7B">
        <w:rPr>
          <w:rFonts w:ascii="Times New Roman" w:hAnsi="Times New Roman" w:cs="Times New Roman"/>
          <w:sz w:val="22"/>
          <w:szCs w:val="22"/>
        </w:rPr>
        <w:t>2.2.3. Communiqués</w:t>
      </w:r>
      <w:bookmarkEnd w:id="29"/>
    </w:p>
    <w:p w:rsidR="00B731BE" w:rsidRPr="00A46836" w:rsidRDefault="00B731BE" w:rsidP="00A46836">
      <w:r w:rsidRPr="00A46836">
        <w:t>The following Communiqué studies were carried out in the natural gas market in 2019:</w:t>
      </w:r>
    </w:p>
    <w:p w:rsidR="00B731BE" w:rsidRPr="00A46836" w:rsidRDefault="00B731BE" w:rsidP="00A46836">
      <w:r w:rsidRPr="00A46836">
        <w:t>• The Communiqué on Fines to be Applied in 2020 in accordance with Article 9 of the Natural Gas Market Law No. 4646, published in the Official Gazette dated 31.12.2019 and numbered 30995 (4. Repeating), entered into force as of 01.01.2020.</w:t>
      </w:r>
    </w:p>
    <w:p w:rsidR="00B731BE" w:rsidRPr="004E7F7B" w:rsidRDefault="00B731BE" w:rsidP="004E7F7B">
      <w:pPr>
        <w:spacing w:line="240" w:lineRule="atLeast"/>
        <w:rPr>
          <w:rFonts w:ascii="Times New Roman" w:hAnsi="Times New Roman" w:cs="Times New Roman"/>
          <w:b/>
        </w:rPr>
      </w:pPr>
      <w:r w:rsidRPr="004E7F7B">
        <w:rPr>
          <w:rFonts w:ascii="Times New Roman" w:hAnsi="Times New Roman" w:cs="Times New Roman"/>
          <w:b/>
        </w:rPr>
        <w:t>2.2.4 Board Decisions</w:t>
      </w:r>
    </w:p>
    <w:p w:rsidR="00B731BE" w:rsidRPr="00A46836" w:rsidRDefault="00B731BE" w:rsidP="00A46836">
      <w:r w:rsidRPr="00A46836">
        <w:t>In 2019, the following Board Decision were issued as a regulatory act in the natural gas market:</w:t>
      </w:r>
    </w:p>
    <w:p w:rsidR="00B731BE" w:rsidRPr="00A46836" w:rsidRDefault="00B731BE" w:rsidP="00A46836">
      <w:r w:rsidRPr="00A46836">
        <w:t>• With the Board Decision dated 24.01.2019 and numbered 8391, published in the Official Gazette dated 26.01.2019 and numbered 30667, the national natural gas consumption forecast for 2019 was determined as 52.133.229.503 Sm3 (554.697.561.912 kWh) based on the upper calorific value of 9155 kcal / m3. The national natural gas consumption estimation and national natural gas consumption realizations made by the Authority by years are shown in Table 2.2.</w:t>
      </w:r>
    </w:p>
    <w:p w:rsidR="00FE7FEB" w:rsidRPr="004E7F7B" w:rsidRDefault="003B5E3C" w:rsidP="004E7F7B">
      <w:pPr>
        <w:pStyle w:val="Balk5"/>
        <w:jc w:val="both"/>
        <w:rPr>
          <w:rFonts w:ascii="Times New Roman" w:hAnsi="Times New Roman" w:cs="Times New Roman"/>
        </w:rPr>
      </w:pPr>
      <w:bookmarkStart w:id="30" w:name="_Toc512874126"/>
      <w:bookmarkStart w:id="31" w:name="_Toc48818013"/>
      <w:r w:rsidRPr="004E7F7B">
        <w:rPr>
          <w:rStyle w:val="Gl"/>
          <w:rFonts w:ascii="Times New Roman" w:hAnsi="Times New Roman" w:cs="Times New Roman"/>
          <w:b/>
          <w:bCs w:val="0"/>
        </w:rPr>
        <w:t xml:space="preserve">Table 2.3: Natural Gas Consumption Estimates and </w:t>
      </w:r>
      <w:r w:rsidR="00B731BE" w:rsidRPr="004E7F7B">
        <w:rPr>
          <w:rStyle w:val="Gl"/>
          <w:rFonts w:ascii="Times New Roman" w:hAnsi="Times New Roman" w:cs="Times New Roman"/>
          <w:b/>
          <w:bCs w:val="0"/>
        </w:rPr>
        <w:t>Realizations by years (2005-2019</w:t>
      </w:r>
      <w:r w:rsidRPr="004E7F7B">
        <w:rPr>
          <w:rStyle w:val="Gl"/>
          <w:rFonts w:ascii="Times New Roman" w:hAnsi="Times New Roman" w:cs="Times New Roman"/>
          <w:b/>
          <w:bCs w:val="0"/>
        </w:rPr>
        <w:t>)</w:t>
      </w:r>
      <w:bookmarkEnd w:id="30"/>
      <w:bookmarkEnd w:id="31"/>
    </w:p>
    <w:tbl>
      <w:tblPr>
        <w:tblW w:w="5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60"/>
        <w:gridCol w:w="1720"/>
        <w:gridCol w:w="1740"/>
        <w:gridCol w:w="1362"/>
      </w:tblGrid>
      <w:tr w:rsidR="00220435" w:rsidRPr="004E7F7B" w:rsidTr="00B2297C">
        <w:trPr>
          <w:trHeight w:val="227"/>
          <w:jc w:val="center"/>
        </w:trPr>
        <w:tc>
          <w:tcPr>
            <w:tcW w:w="960" w:type="dxa"/>
            <w:shd w:val="clear" w:color="auto" w:fill="6E9ECA"/>
            <w:noWrap/>
            <w:vAlign w:val="center"/>
            <w:hideMark/>
          </w:tcPr>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Years</w:t>
            </w:r>
          </w:p>
        </w:tc>
        <w:tc>
          <w:tcPr>
            <w:tcW w:w="1720" w:type="dxa"/>
            <w:shd w:val="clear" w:color="auto" w:fill="6E9ECA"/>
            <w:noWrap/>
            <w:vAlign w:val="center"/>
            <w:hideMark/>
          </w:tcPr>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Estimate</w:t>
            </w:r>
          </w:p>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(Sm</w:t>
            </w:r>
            <w:r w:rsidRPr="004E7F7B">
              <w:rPr>
                <w:rFonts w:ascii="Times New Roman" w:eastAsia="Times New Roman" w:hAnsi="Times New Roman" w:cs="Times New Roman"/>
                <w:b/>
                <w:bCs/>
                <w:vertAlign w:val="superscript"/>
                <w:lang w:eastAsia="tr-TR"/>
              </w:rPr>
              <w:t>3</w:t>
            </w:r>
            <w:r w:rsidRPr="004E7F7B">
              <w:rPr>
                <w:rFonts w:ascii="Times New Roman" w:eastAsia="Times New Roman" w:hAnsi="Times New Roman" w:cs="Times New Roman"/>
                <w:b/>
                <w:bCs/>
                <w:lang w:eastAsia="tr-TR"/>
              </w:rPr>
              <w:t>)</w:t>
            </w:r>
          </w:p>
        </w:tc>
        <w:tc>
          <w:tcPr>
            <w:tcW w:w="1740" w:type="dxa"/>
            <w:shd w:val="clear" w:color="auto" w:fill="6E9ECA"/>
            <w:noWrap/>
            <w:vAlign w:val="center"/>
            <w:hideMark/>
          </w:tcPr>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Realization</w:t>
            </w:r>
          </w:p>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(Sm</w:t>
            </w:r>
            <w:r w:rsidRPr="004E7F7B">
              <w:rPr>
                <w:rFonts w:ascii="Times New Roman" w:eastAsia="Times New Roman" w:hAnsi="Times New Roman" w:cs="Times New Roman"/>
                <w:b/>
                <w:bCs/>
                <w:vertAlign w:val="superscript"/>
                <w:lang w:eastAsia="tr-TR"/>
              </w:rPr>
              <w:t>3</w:t>
            </w:r>
            <w:r w:rsidRPr="004E7F7B">
              <w:rPr>
                <w:rFonts w:ascii="Times New Roman" w:eastAsia="Times New Roman" w:hAnsi="Times New Roman" w:cs="Times New Roman"/>
                <w:b/>
                <w:bCs/>
                <w:lang w:eastAsia="tr-TR"/>
              </w:rPr>
              <w:t>)</w:t>
            </w:r>
          </w:p>
        </w:tc>
        <w:tc>
          <w:tcPr>
            <w:tcW w:w="1362" w:type="dxa"/>
            <w:shd w:val="clear" w:color="auto" w:fill="6E9ECA"/>
            <w:noWrap/>
            <w:vAlign w:val="center"/>
            <w:hideMark/>
          </w:tcPr>
          <w:p w:rsidR="003B5E3C" w:rsidRPr="004E7F7B" w:rsidRDefault="003B5E3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Estimate and Realization Derivation (%)</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2005</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25.800.000.000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27.348.213.942</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2006</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30.100.000.000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30.982.063.980</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2,93</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2007</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36.200.000.000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35.394.878.230</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-2,22</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2008</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37.500.000.000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36.865.051.313</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-1,69</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2009</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35.000.000.000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35.218.839.390</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0,63</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2010</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37.000.000.000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37.411.118.370</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1,11</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2011</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39.000.000.000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43.697.409.192</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12,04</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2012</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48.500.000.000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45.241.762.899</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-6,72</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2013</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47.600.000.000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45.582.044.872</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-4,24</w:t>
            </w:r>
          </w:p>
        </w:tc>
      </w:tr>
      <w:tr w:rsidR="00220435" w:rsidRPr="004E7F7B" w:rsidTr="00B2297C">
        <w:trPr>
          <w:trHeight w:val="227"/>
          <w:jc w:val="center"/>
        </w:trPr>
        <w:tc>
          <w:tcPr>
            <w:tcW w:w="96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2014</w:t>
            </w:r>
          </w:p>
        </w:tc>
        <w:tc>
          <w:tcPr>
            <w:tcW w:w="172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46.500.000.000</w:t>
            </w:r>
          </w:p>
        </w:tc>
        <w:tc>
          <w:tcPr>
            <w:tcW w:w="1740"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lang w:eastAsia="tr-TR"/>
              </w:rPr>
              <w:t>48.717.179.257</w:t>
            </w:r>
          </w:p>
        </w:tc>
        <w:tc>
          <w:tcPr>
            <w:tcW w:w="1362" w:type="dxa"/>
            <w:shd w:val="clear" w:color="auto" w:fill="auto"/>
            <w:noWrap/>
            <w:vAlign w:val="center"/>
            <w:hideMark/>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4,77</w:t>
            </w:r>
          </w:p>
        </w:tc>
      </w:tr>
      <w:tr w:rsidR="00220435" w:rsidRPr="004E7F7B" w:rsidTr="00B2297C">
        <w:trPr>
          <w:trHeight w:val="227"/>
          <w:jc w:val="center"/>
        </w:trPr>
        <w:tc>
          <w:tcPr>
            <w:tcW w:w="960" w:type="dxa"/>
            <w:shd w:val="clear" w:color="auto" w:fill="auto"/>
            <w:noWrap/>
            <w:vAlign w:val="center"/>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2015</w:t>
            </w:r>
          </w:p>
        </w:tc>
        <w:tc>
          <w:tcPr>
            <w:tcW w:w="1720" w:type="dxa"/>
            <w:shd w:val="clear" w:color="auto" w:fill="auto"/>
            <w:noWrap/>
            <w:vAlign w:val="center"/>
          </w:tcPr>
          <w:p w:rsidR="003B5E3C" w:rsidRPr="004E7F7B" w:rsidRDefault="003B5E3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50.862.943.531</w:t>
            </w:r>
          </w:p>
        </w:tc>
        <w:tc>
          <w:tcPr>
            <w:tcW w:w="1740" w:type="dxa"/>
            <w:shd w:val="clear" w:color="auto" w:fill="auto"/>
            <w:noWrap/>
            <w:vAlign w:val="center"/>
          </w:tcPr>
          <w:p w:rsidR="003B5E3C" w:rsidRPr="004E7F7B" w:rsidRDefault="003B5E3C"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47.999.276.834</w:t>
            </w:r>
          </w:p>
        </w:tc>
        <w:tc>
          <w:tcPr>
            <w:tcW w:w="1362"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-5,63</w:t>
            </w:r>
          </w:p>
        </w:tc>
      </w:tr>
      <w:tr w:rsidR="00220435" w:rsidRPr="004E7F7B" w:rsidTr="00B2297C">
        <w:trPr>
          <w:trHeight w:val="227"/>
          <w:jc w:val="center"/>
        </w:trPr>
        <w:tc>
          <w:tcPr>
            <w:tcW w:w="960" w:type="dxa"/>
            <w:shd w:val="clear" w:color="auto" w:fill="auto"/>
            <w:noWrap/>
            <w:vAlign w:val="center"/>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2016</w:t>
            </w:r>
          </w:p>
        </w:tc>
        <w:tc>
          <w:tcPr>
            <w:tcW w:w="1720"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49.562.579.420</w:t>
            </w:r>
          </w:p>
        </w:tc>
        <w:tc>
          <w:tcPr>
            <w:tcW w:w="1740" w:type="dxa"/>
            <w:shd w:val="clear" w:color="auto" w:fill="auto"/>
            <w:noWrap/>
            <w:vAlign w:val="center"/>
          </w:tcPr>
          <w:p w:rsidR="003B5E3C" w:rsidRPr="004E7F7B" w:rsidRDefault="003B5E3C"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46.480.780.189</w:t>
            </w:r>
          </w:p>
        </w:tc>
        <w:tc>
          <w:tcPr>
            <w:tcW w:w="1362"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-6,22</w:t>
            </w:r>
          </w:p>
        </w:tc>
      </w:tr>
      <w:tr w:rsidR="00220435" w:rsidRPr="004E7F7B" w:rsidTr="00B2297C">
        <w:trPr>
          <w:trHeight w:val="227"/>
          <w:jc w:val="center"/>
        </w:trPr>
        <w:tc>
          <w:tcPr>
            <w:tcW w:w="960" w:type="dxa"/>
            <w:shd w:val="clear" w:color="auto" w:fill="auto"/>
            <w:noWrap/>
            <w:vAlign w:val="center"/>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2017</w:t>
            </w:r>
          </w:p>
        </w:tc>
        <w:tc>
          <w:tcPr>
            <w:tcW w:w="1720"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46.029.977.218</w:t>
            </w:r>
          </w:p>
        </w:tc>
        <w:tc>
          <w:tcPr>
            <w:tcW w:w="1740" w:type="dxa"/>
            <w:shd w:val="clear" w:color="auto" w:fill="auto"/>
            <w:noWrap/>
            <w:vAlign w:val="center"/>
          </w:tcPr>
          <w:p w:rsidR="003B5E3C" w:rsidRPr="004E7F7B" w:rsidRDefault="003B5E3C"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53.857.136.920</w:t>
            </w:r>
          </w:p>
        </w:tc>
        <w:tc>
          <w:tcPr>
            <w:tcW w:w="1362"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17,00</w:t>
            </w:r>
          </w:p>
        </w:tc>
      </w:tr>
      <w:tr w:rsidR="00220435" w:rsidRPr="004E7F7B" w:rsidTr="00B2297C">
        <w:trPr>
          <w:trHeight w:val="227"/>
          <w:jc w:val="center"/>
        </w:trPr>
        <w:tc>
          <w:tcPr>
            <w:tcW w:w="960" w:type="dxa"/>
            <w:shd w:val="clear" w:color="auto" w:fill="auto"/>
            <w:noWrap/>
            <w:vAlign w:val="center"/>
          </w:tcPr>
          <w:p w:rsidR="003B5E3C" w:rsidRPr="004E7F7B" w:rsidRDefault="003B5E3C"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2018</w:t>
            </w:r>
          </w:p>
        </w:tc>
        <w:tc>
          <w:tcPr>
            <w:tcW w:w="1720"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54.523.999.692</w:t>
            </w:r>
          </w:p>
        </w:tc>
        <w:tc>
          <w:tcPr>
            <w:tcW w:w="1740" w:type="dxa"/>
            <w:shd w:val="clear" w:color="auto" w:fill="auto"/>
            <w:noWrap/>
            <w:vAlign w:val="center"/>
          </w:tcPr>
          <w:p w:rsidR="003B5E3C" w:rsidRPr="004E7F7B" w:rsidRDefault="003B5E3C"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49.328.933.112</w:t>
            </w:r>
          </w:p>
        </w:tc>
        <w:tc>
          <w:tcPr>
            <w:tcW w:w="1362" w:type="dxa"/>
            <w:shd w:val="clear" w:color="auto" w:fill="auto"/>
            <w:noWrap/>
            <w:vAlign w:val="center"/>
          </w:tcPr>
          <w:p w:rsidR="003B5E3C" w:rsidRPr="004E7F7B" w:rsidRDefault="003B5E3C" w:rsidP="004E7F7B">
            <w:pPr>
              <w:spacing w:after="0" w:line="240" w:lineRule="auto"/>
              <w:rPr>
                <w:rFonts w:ascii="Times New Roman" w:hAnsi="Times New Roman" w:cs="Times New Roman"/>
              </w:rPr>
            </w:pPr>
            <w:r w:rsidRPr="004E7F7B">
              <w:rPr>
                <w:rFonts w:ascii="Times New Roman" w:hAnsi="Times New Roman" w:cs="Times New Roman"/>
              </w:rPr>
              <w:t>-9,52</w:t>
            </w:r>
          </w:p>
        </w:tc>
      </w:tr>
      <w:tr w:rsidR="00220435" w:rsidRPr="004E7F7B" w:rsidTr="00B2297C">
        <w:trPr>
          <w:trHeight w:val="227"/>
          <w:jc w:val="center"/>
        </w:trPr>
        <w:tc>
          <w:tcPr>
            <w:tcW w:w="960" w:type="dxa"/>
            <w:shd w:val="clear" w:color="auto" w:fill="auto"/>
            <w:noWrap/>
            <w:vAlign w:val="center"/>
          </w:tcPr>
          <w:p w:rsidR="00220435" w:rsidRPr="004E7F7B" w:rsidRDefault="00220435"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lastRenderedPageBreak/>
              <w:t>2019</w:t>
            </w:r>
          </w:p>
        </w:tc>
        <w:tc>
          <w:tcPr>
            <w:tcW w:w="1720" w:type="dxa"/>
            <w:shd w:val="clear" w:color="auto" w:fill="auto"/>
            <w:noWrap/>
            <w:vAlign w:val="center"/>
          </w:tcPr>
          <w:p w:rsidR="00220435" w:rsidRPr="004E7F7B" w:rsidRDefault="00220435" w:rsidP="004E7F7B">
            <w:pPr>
              <w:spacing w:after="0" w:line="240" w:lineRule="auto"/>
              <w:rPr>
                <w:rFonts w:ascii="Times New Roman" w:hAnsi="Times New Roman" w:cs="Times New Roman"/>
              </w:rPr>
            </w:pPr>
            <w:r w:rsidRPr="004E7F7B">
              <w:rPr>
                <w:rFonts w:ascii="Times New Roman" w:hAnsi="Times New Roman" w:cs="Times New Roman"/>
              </w:rPr>
              <w:t>52.133.229.503</w:t>
            </w:r>
          </w:p>
        </w:tc>
        <w:tc>
          <w:tcPr>
            <w:tcW w:w="1740" w:type="dxa"/>
            <w:shd w:val="clear" w:color="auto" w:fill="auto"/>
            <w:noWrap/>
            <w:vAlign w:val="bottom"/>
          </w:tcPr>
          <w:p w:rsidR="00220435" w:rsidRPr="004E7F7B" w:rsidRDefault="00220435"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45.577.826.190</w:t>
            </w:r>
          </w:p>
        </w:tc>
        <w:tc>
          <w:tcPr>
            <w:tcW w:w="1362" w:type="dxa"/>
            <w:shd w:val="clear" w:color="auto" w:fill="auto"/>
            <w:noWrap/>
            <w:vAlign w:val="center"/>
          </w:tcPr>
          <w:p w:rsidR="00220435" w:rsidRPr="004E7F7B" w:rsidRDefault="00220435" w:rsidP="004E7F7B">
            <w:pPr>
              <w:spacing w:after="0" w:line="240" w:lineRule="auto"/>
              <w:rPr>
                <w:rFonts w:ascii="Times New Roman" w:hAnsi="Times New Roman" w:cs="Times New Roman"/>
                <w:lang w:eastAsia="tr-TR"/>
              </w:rPr>
            </w:pPr>
            <w:r w:rsidRPr="004E7F7B">
              <w:rPr>
                <w:rFonts w:ascii="Times New Roman" w:hAnsi="Times New Roman" w:cs="Times New Roman"/>
                <w:lang w:eastAsia="tr-TR"/>
              </w:rPr>
              <w:t>-12,57</w:t>
            </w:r>
          </w:p>
        </w:tc>
      </w:tr>
    </w:tbl>
    <w:p w:rsidR="00FE7FEB" w:rsidRPr="004E7F7B" w:rsidRDefault="00FE7FEB" w:rsidP="004E7F7B">
      <w:pPr>
        <w:spacing w:line="240" w:lineRule="auto"/>
        <w:rPr>
          <w:rFonts w:ascii="Times New Roman" w:hAnsi="Times New Roman" w:cs="Times New Roman"/>
          <w:color w:val="FF0000"/>
        </w:rPr>
      </w:pPr>
    </w:p>
    <w:p w:rsidR="00B731BE" w:rsidRPr="00A46836" w:rsidRDefault="00B731BE" w:rsidP="00A46836">
      <w:r w:rsidRPr="00A46836">
        <w:t>• With the Board Decision dated 31.01.2019 and numbered 8402 published in the Official Gazette dated 02.02.2019 and numbered 30674, Article 5 of the Natural Gas Market Transmission Network Operation Regulation is in accordance with the provisions of Section 22 of the Basis and BOTAŞ Transmission Network Operation Regulations. Amendment has been made.</w:t>
      </w:r>
    </w:p>
    <w:p w:rsidR="00B731BE" w:rsidRPr="00A46836" w:rsidRDefault="00B731BE" w:rsidP="00A46836">
      <w:r w:rsidRPr="00A46836">
        <w:t>• With the Board Decision dated 04.04.2019 and numbered 8522, published in the Official Gazette dated 09.04.2019 and numbered 30740, the decision regarding the applications that can be made to the Authority in electronic environment by natural and legal persons who will operate in the natural gas market within the scope of the Natural Gas Market Law No.4646 and the relevant legislation. It was obtained. In the decision, the licenses that can be made electronically, application procedures and the information and documents to be requested are determined.</w:t>
      </w:r>
    </w:p>
    <w:p w:rsidR="00B731BE" w:rsidRPr="00A46836" w:rsidRDefault="00B731BE" w:rsidP="00A46836">
      <w:r w:rsidRPr="00A46836">
        <w:t>For the year 2019 with the Board Decision dated 30.05.2019 and numbered 8631-3 published in the Official Gazette dated 01.06.2019 and numbered 30791,</w:t>
      </w:r>
    </w:p>
    <w:p w:rsidR="00B731BE" w:rsidRPr="00A46836" w:rsidRDefault="00B731BE" w:rsidP="00A46836">
      <w:r w:rsidRPr="00A46836">
        <w:t>- For legal entities holding import licenses, the storage liability ratio determined by the Board Decision dated 03.11.2016 and numbered 6574-7 will be applied as 1%,</w:t>
      </w:r>
    </w:p>
    <w:p w:rsidR="00B731BE" w:rsidRPr="00A46836" w:rsidRDefault="00B731BE" w:rsidP="00A46836">
      <w:r w:rsidRPr="00A46836">
        <w:t>- For legal entities with wholesale licenses and import (Spot) licenses, which sell to distribution companies and eligible consumers, it has been decided to apply the storage liability ratio determined by the Board Decision No. 6574-8 dated 03.11.2016 as 1%.</w:t>
      </w:r>
    </w:p>
    <w:p w:rsidR="00B731BE" w:rsidRPr="00A46836" w:rsidRDefault="00B731BE" w:rsidP="00A46836">
      <w:r w:rsidRPr="00A46836">
        <w:t>% Of the 10% value referenced in the Board Decision dated 30.05.2019 and numbered 8647-2, published in the Official Gazette dated 01.06.2019 and numbered 30791, and the Board Decision dated 10.07.2014 and numbered 5120-1 published in the Official Gazette dated 07.08.2014 and numbered 29081. It was decided to be determined as 7.</w:t>
      </w:r>
    </w:p>
    <w:p w:rsidR="00B731BE" w:rsidRPr="00A46836" w:rsidRDefault="00B731BE" w:rsidP="00A46836">
      <w:r w:rsidRPr="00A46836">
        <w:t>• With the Board Decision dated 01.08.2019 and numbered 8764 published in the Official Gazette dated 06.08.2019 and numbered 30854, ETKİ FSRU Basic Usage Procedures and Principles (ETKİ KUE), in particular, regarding the freely determination of LNG storage tariffs between the parties and the issues related to ship change. and again, with the Board Decisions dated 01.08.2019 and numbered 8765, EGEGAZ UPP has been amended, particularly regarding the freely determination of LNG storage tariffs between the parties and the application dates.</w:t>
      </w:r>
    </w:p>
    <w:p w:rsidR="00B731BE" w:rsidRPr="00A46836" w:rsidRDefault="00B731BE" w:rsidP="00A46836">
      <w:r w:rsidRPr="00A46836">
        <w:t>• With the Board Decision dated 08/08/2019 and numbered 8777, published in the Official Gazette dated 10.08.2019 and numbered 30858, the Procedures and Principles for Feeding the Natural Gas Distribution Network with Liquefied Natural Gas (LNG) or Compressed Natural Gas (CNG) were amended.</w:t>
      </w:r>
    </w:p>
    <w:p w:rsidR="00B731BE" w:rsidRPr="00A46836" w:rsidRDefault="00B731BE" w:rsidP="00A46836">
      <w:r w:rsidRPr="00A46836">
        <w:t xml:space="preserve">• With the Board Decision dated 12.09.2019 and numbered 8828 published in the Official Gazette dated 19.09.2019 and numbered 30893, Additional Article 2 of the Law on the Organization and Duties of the Energy Market Regulatory Authority and Natural Gas dated 18/04/2001 and numbered 4646 Based on the Provisional Article 2 of the Law on the Market, the purpose of which is to determine the implementation methods and principles for the amount of spot natural gas imports to be made through the pipeline in a calendar year, transparent at entry points, without discrimination between equal parties, and in capacity reservations in a way to ensure efficient use of the system. The Procedures and </w:t>
      </w:r>
      <w:r w:rsidRPr="00A46836">
        <w:lastRenderedPageBreak/>
        <w:t>Principles for Determining the Spot Pipeline Gas Import Amount and Application Method have been published and entered into force.</w:t>
      </w:r>
    </w:p>
    <w:p w:rsidR="00B731BE" w:rsidRPr="00A46836" w:rsidRDefault="00B731BE" w:rsidP="00A46836">
      <w:r w:rsidRPr="00A46836">
        <w:t>• With the Board Decision dated 17.10.2019 and numbered 8889 published in the Official Gazette dated 23.10.2019 and numbered 30927, in accordance with the eighth paragraph of Article 19 of the Natural Gas Market Licensing Regulation, "Compressed Procedures and Principles Regarding Natural Gas (CNG) Import ”has been accepted.</w:t>
      </w:r>
    </w:p>
    <w:p w:rsidR="00B731BE" w:rsidRPr="00A46836" w:rsidRDefault="00B731BE" w:rsidP="00A46836">
      <w:r w:rsidRPr="00A46836">
        <w:t>• With the Board Decision dated 17.10.2019 and numbered 8890 published in the Official Gazette dated 23.10.2019 and numbered 30927, the prepaid meter with mechanical index and the index visible from outside, mechanical meters connected with the prepayment kit or electronic meters with invisible / absent mechanical indicators It has been decided to be applied in retrospective accrual transactions to be realized.</w:t>
      </w:r>
    </w:p>
    <w:p w:rsidR="00B731BE" w:rsidRPr="00A46836" w:rsidRDefault="00B731BE" w:rsidP="00A46836">
      <w:r w:rsidRPr="00A46836">
        <w:t>• With the Board Decision dated 31.10.2019 and numbered 8912, published in the Official Gazette dated 01.11.2019 and numbered 30935, the existence of uncertainties in terms of the transmission network Malkoçlar Entry Point and Kıyıköy Entry Point for the 2020 Gas Year and gas at the Maximum Separable Capacity (MAK) of the TANAP Seyitgazi Entry Point Regarding the demand calls to be made within the scope of the Procedures and Principles for Determining the Spot Pipeline Gas Import Amount and Application Method, due to the reason that a change is predicted within the year;</w:t>
      </w:r>
    </w:p>
    <w:p w:rsidR="00B731BE" w:rsidRPr="00A46836" w:rsidRDefault="00B731BE" w:rsidP="00A46836">
      <w:r w:rsidRPr="00A46836">
        <w:t>- No annual demand calls for the 2020 Gas Year,</w:t>
      </w:r>
    </w:p>
    <w:p w:rsidR="00B731BE" w:rsidRPr="00A46836" w:rsidRDefault="00B731BE" w:rsidP="00A46836">
      <w:r w:rsidRPr="00A46836">
        <w:t>- Making the first demand call, which is foreseen to be made until 1 November at the latest before the gas year, in December, only for 2020 Gas Year,</w:t>
      </w:r>
    </w:p>
    <w:p w:rsidR="00B731BE" w:rsidRPr="00A46836" w:rsidRDefault="00B731BE" w:rsidP="00A46836">
      <w:r w:rsidRPr="00A46836">
        <w:t>- It has been decided to determine the type of capacity product (s) (Quarterly and / or Monthly) to be subject to the demand calls for the 2020 Gas Year in the Board Decision regarding the relevant call for demand.</w:t>
      </w:r>
    </w:p>
    <w:p w:rsidR="00B731BE" w:rsidRPr="00A46836" w:rsidRDefault="00B731BE" w:rsidP="00A46836">
      <w:r w:rsidRPr="00A46836">
        <w:t>• With the Board Decision dated 12.12.2019 and numbered 8982 published in the Official Gazette dated 14.12.2019 and numbered 30978, new definitions were added to the BOTAŞ Transmission Network Operation Arrangements (ŞİD) within the scope of the Procedures and Principles Regarding the Determination of Spot Piping Gas Import Amount and Application Method. and the elaboration of provisions regarding allocation transactions at multiple entry points.</w:t>
      </w:r>
    </w:p>
    <w:p w:rsidR="00B731BE" w:rsidRPr="00A46836" w:rsidRDefault="00B731BE" w:rsidP="00A46836">
      <w:r w:rsidRPr="00A46836">
        <w:t>Regarding the demand calls to be made for the 2020 Gas Year within the scope of the Procedures and Principles for Determining the Spot Pipeline Gas Import Amount and Application Method (Procedures and Principles) with the Board Decision dated 12.12.2019 and numbered 8981 published in the Official Gazette dated 17.12.2019 and numbered 30981 ;</w:t>
      </w:r>
    </w:p>
    <w:p w:rsidR="00B731BE" w:rsidRPr="00A46836" w:rsidRDefault="00B731BE" w:rsidP="00A46836">
      <w:r w:rsidRPr="00A46836">
        <w:t>- The period specified in Article 6.1 of the Procedures and Principles shall not be applied for the first quarter (Q1) and first month (A1) of the Gas Year 2020 for demand building / competitions,</w:t>
      </w:r>
    </w:p>
    <w:p w:rsidR="00B731BE" w:rsidRPr="00A46836" w:rsidRDefault="00B731BE" w:rsidP="00A46836">
      <w:r w:rsidRPr="00A46836">
        <w:t>- The first demand collection / competition to be made after the announcement of the first call for demand (2020/1) on the website of the Authority, to be carried out on the electronic platform established and operated by the Authority on 20 December 2019,</w:t>
      </w:r>
    </w:p>
    <w:p w:rsidR="00B731BE" w:rsidRPr="00A46836" w:rsidRDefault="00B731BE" w:rsidP="00A46836">
      <w:r w:rsidRPr="00A46836">
        <w:lastRenderedPageBreak/>
        <w:t>- Determining the monthly fee of participation in demand collection as 15.000,00 TL (Fifteen Thousand Turkish Liras),</w:t>
      </w:r>
    </w:p>
    <w:p w:rsidR="00B731BE" w:rsidRPr="00A46836" w:rsidRDefault="00B731BE" w:rsidP="00A46836">
      <w:r w:rsidRPr="00A46836">
        <w:t>- In the event that the demand collection stage is passed to the competition stage, the license holders who did not offer a price for the amount reported in the demand building stage when the competition stage started, it is accepted that they submitted 1 TL bid for each unit capacity and action should be taken accordingly.</w:t>
      </w:r>
    </w:p>
    <w:p w:rsidR="00B731BE" w:rsidRPr="00A46836" w:rsidRDefault="00B731BE" w:rsidP="00A46836">
      <w:r w:rsidRPr="00A46836">
        <w:t>- It was decided to approve the text of the call for demand, which is an annex to this Decision and the Decision.</w:t>
      </w:r>
    </w:p>
    <w:p w:rsidR="00B731BE" w:rsidRPr="00A46836" w:rsidRDefault="00B731BE" w:rsidP="00A46836">
      <w:r w:rsidRPr="00A46836">
        <w:t>• With the Board Decision dated 26.12.2019 and numbered 9024 published in the Official Gazette dated 29.12. “Board Decision No. 8522 dated 04/04/2019 has been amended. With the amendment, the first sentence of the first paragraph of Article 2 of the Board Decision numbered 8522 has been changed as "The applications specified in Article 1 continue to be received in writing until 31/12/2020." In addition, "Annex-4 Information and Documents Requested in the Application for Construction and Service Certificate", "Annex-5 Information and Documents Requested in the Application for Construction and Service Certificate Amendment", "Annex-6 Information and Service Certificate Requested in the Visa Application and Documents ”and“ Annex-7 Information and Documents Requested in the Application for Construction and Service Certificate Renewal ”have been changed.</w:t>
      </w:r>
    </w:p>
    <w:p w:rsidR="00B731BE" w:rsidRPr="00A46836" w:rsidRDefault="00B731BE" w:rsidP="00A46836"/>
    <w:p w:rsidR="00B731BE" w:rsidRPr="00A46836" w:rsidRDefault="00B731BE" w:rsidP="00A46836">
      <w:r w:rsidRPr="00A46836">
        <w:t>• With the Board Decision dated 19.12.2019 and numbered 8996, published in the Official Gazette dated 24.12.2019 and numbered 30988, it was decided to continue to apply the Decree No.5362 dated 18.12.2014 to be implemented throughout 2015 regarding the limit of being an eligible consumer throughout 2020. . The change in the eligible consumer limit in the natural gas market over the years is given in Table 2.3.</w:t>
      </w:r>
    </w:p>
    <w:p w:rsidR="00C522EA" w:rsidRPr="004E7F7B" w:rsidRDefault="00B731BE" w:rsidP="004E7F7B">
      <w:pPr>
        <w:pStyle w:val="Balk5"/>
        <w:jc w:val="both"/>
        <w:rPr>
          <w:rStyle w:val="Gl"/>
          <w:rFonts w:ascii="Times New Roman" w:hAnsi="Times New Roman" w:cs="Times New Roman"/>
          <w:b/>
          <w:bCs w:val="0"/>
        </w:rPr>
      </w:pPr>
      <w:bookmarkStart w:id="32" w:name="_Toc416447572"/>
      <w:bookmarkStart w:id="33" w:name="_Toc442441728"/>
      <w:bookmarkStart w:id="34" w:name="_Toc512874127"/>
      <w:bookmarkStart w:id="35" w:name="_Toc6684337"/>
      <w:bookmarkStart w:id="36" w:name="_Toc48818014"/>
      <w:r w:rsidRPr="004E7F7B">
        <w:rPr>
          <w:rStyle w:val="Gl"/>
          <w:rFonts w:ascii="Times New Roman" w:hAnsi="Times New Roman" w:cs="Times New Roman"/>
          <w:b/>
          <w:bCs w:val="0"/>
        </w:rPr>
        <w:t>Table 2.3</w:t>
      </w:r>
      <w:r w:rsidR="003B5E3C" w:rsidRPr="004E7F7B">
        <w:rPr>
          <w:rStyle w:val="Gl"/>
          <w:rFonts w:ascii="Times New Roman" w:hAnsi="Times New Roman" w:cs="Times New Roman"/>
          <w:b/>
          <w:bCs w:val="0"/>
        </w:rPr>
        <w:t xml:space="preserve">: The evolution of eligible consumer limit in natural gas market by years </w:t>
      </w:r>
      <w:r w:rsidR="00C522EA" w:rsidRPr="004E7F7B">
        <w:rPr>
          <w:rStyle w:val="Gl"/>
          <w:rFonts w:ascii="Times New Roman" w:hAnsi="Times New Roman" w:cs="Times New Roman"/>
          <w:b/>
          <w:bCs w:val="0"/>
        </w:rPr>
        <w:t>(2005-2019)</w:t>
      </w:r>
      <w:bookmarkEnd w:id="32"/>
      <w:bookmarkEnd w:id="33"/>
      <w:bookmarkEnd w:id="34"/>
      <w:bookmarkEnd w:id="35"/>
      <w:bookmarkEnd w:id="3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14"/>
        <w:gridCol w:w="2026"/>
        <w:gridCol w:w="3270"/>
        <w:gridCol w:w="2936"/>
      </w:tblGrid>
      <w:tr w:rsidR="00056CD3" w:rsidRPr="00A46836" w:rsidTr="00A46836">
        <w:trPr>
          <w:trHeight w:val="20"/>
          <w:tblHeader/>
        </w:trPr>
        <w:tc>
          <w:tcPr>
            <w:tcW w:w="688" w:type="pct"/>
            <w:vMerge w:val="restart"/>
            <w:shd w:val="clear" w:color="auto" w:fill="6E9ECA"/>
            <w:vAlign w:val="center"/>
            <w:hideMark/>
          </w:tcPr>
          <w:p w:rsidR="00C522EA" w:rsidRPr="00A46836" w:rsidRDefault="003B5E3C" w:rsidP="004E7F7B">
            <w:pPr>
              <w:spacing w:after="0" w:line="240" w:lineRule="auto"/>
              <w:rPr>
                <w:rFonts w:ascii="Times New Roman" w:eastAsia="Times New Roman" w:hAnsi="Times New Roman" w:cs="Times New Roman"/>
                <w:b/>
                <w:bCs/>
                <w:sz w:val="20"/>
                <w:szCs w:val="20"/>
                <w:lang w:eastAsia="tr-TR"/>
              </w:rPr>
            </w:pPr>
            <w:r w:rsidRPr="00A46836">
              <w:rPr>
                <w:rFonts w:ascii="Times New Roman" w:eastAsia="Times New Roman" w:hAnsi="Times New Roman" w:cs="Times New Roman"/>
                <w:b/>
                <w:bCs/>
                <w:sz w:val="20"/>
                <w:szCs w:val="20"/>
                <w:lang w:eastAsia="tr-TR"/>
              </w:rPr>
              <w:t>Year</w:t>
            </w:r>
          </w:p>
        </w:tc>
        <w:tc>
          <w:tcPr>
            <w:tcW w:w="1061" w:type="pct"/>
            <w:vMerge w:val="restart"/>
            <w:shd w:val="clear" w:color="auto" w:fill="6E9ECA"/>
            <w:vAlign w:val="center"/>
            <w:hideMark/>
          </w:tcPr>
          <w:p w:rsidR="00C522EA" w:rsidRPr="00A46836" w:rsidRDefault="003B5E3C" w:rsidP="004E7F7B">
            <w:pPr>
              <w:spacing w:after="0" w:line="240" w:lineRule="auto"/>
              <w:rPr>
                <w:rFonts w:ascii="Times New Roman" w:eastAsia="Times New Roman" w:hAnsi="Times New Roman" w:cs="Times New Roman"/>
                <w:b/>
                <w:bCs/>
                <w:sz w:val="20"/>
                <w:szCs w:val="20"/>
                <w:lang w:eastAsia="tr-TR"/>
              </w:rPr>
            </w:pPr>
            <w:r w:rsidRPr="00A46836">
              <w:rPr>
                <w:rFonts w:ascii="Times New Roman" w:eastAsia="Times New Roman" w:hAnsi="Times New Roman" w:cs="Times New Roman"/>
                <w:b/>
                <w:bCs/>
                <w:sz w:val="20"/>
                <w:szCs w:val="20"/>
                <w:lang w:eastAsia="tr-TR"/>
              </w:rPr>
              <w:t>No of Board Decisions</w:t>
            </w:r>
          </w:p>
        </w:tc>
        <w:tc>
          <w:tcPr>
            <w:tcW w:w="3252" w:type="pct"/>
            <w:gridSpan w:val="2"/>
            <w:shd w:val="clear" w:color="auto" w:fill="6E9ECA"/>
            <w:vAlign w:val="bottom"/>
            <w:hideMark/>
          </w:tcPr>
          <w:p w:rsidR="00C522EA" w:rsidRPr="00A46836" w:rsidRDefault="003B5E3C" w:rsidP="004E7F7B">
            <w:pPr>
              <w:spacing w:after="0" w:line="240" w:lineRule="auto"/>
              <w:rPr>
                <w:rFonts w:ascii="Times New Roman" w:eastAsia="Times New Roman" w:hAnsi="Times New Roman" w:cs="Times New Roman"/>
                <w:b/>
                <w:bCs/>
                <w:sz w:val="20"/>
                <w:szCs w:val="20"/>
                <w:lang w:eastAsia="tr-TR"/>
              </w:rPr>
            </w:pPr>
            <w:r w:rsidRPr="00A46836">
              <w:rPr>
                <w:rFonts w:ascii="Times New Roman" w:eastAsia="Times New Roman" w:hAnsi="Times New Roman" w:cs="Times New Roman"/>
                <w:b/>
                <w:bCs/>
                <w:sz w:val="20"/>
                <w:szCs w:val="20"/>
                <w:lang w:eastAsia="tr-TR"/>
              </w:rPr>
              <w:t>Eligible Consumer Limit(m</w:t>
            </w:r>
            <w:r w:rsidRPr="00A46836">
              <w:rPr>
                <w:rFonts w:ascii="Times New Roman" w:eastAsia="Times New Roman" w:hAnsi="Times New Roman" w:cs="Times New Roman"/>
                <w:b/>
                <w:bCs/>
                <w:sz w:val="20"/>
                <w:szCs w:val="20"/>
                <w:vertAlign w:val="superscript"/>
                <w:lang w:eastAsia="tr-TR"/>
              </w:rPr>
              <w:t>3</w:t>
            </w:r>
            <w:r w:rsidRPr="00A46836">
              <w:rPr>
                <w:rFonts w:ascii="Times New Roman" w:eastAsia="Times New Roman" w:hAnsi="Times New Roman" w:cs="Times New Roman"/>
                <w:b/>
                <w:bCs/>
                <w:sz w:val="20"/>
                <w:szCs w:val="20"/>
                <w:lang w:eastAsia="tr-TR"/>
              </w:rPr>
              <w:t>)</w:t>
            </w:r>
          </w:p>
        </w:tc>
      </w:tr>
      <w:tr w:rsidR="00220435" w:rsidRPr="00A46836" w:rsidTr="00A46836">
        <w:trPr>
          <w:trHeight w:val="20"/>
          <w:tblHeader/>
        </w:trPr>
        <w:tc>
          <w:tcPr>
            <w:tcW w:w="688" w:type="pct"/>
            <w:vMerge/>
            <w:shd w:val="clear" w:color="auto" w:fill="6E9ECA"/>
            <w:vAlign w:val="center"/>
            <w:hideMark/>
          </w:tcPr>
          <w:p w:rsidR="00C522EA" w:rsidRPr="00A46836" w:rsidRDefault="00C522EA" w:rsidP="004E7F7B">
            <w:pPr>
              <w:spacing w:after="0" w:line="240" w:lineRule="auto"/>
              <w:rPr>
                <w:rFonts w:ascii="Times New Roman" w:eastAsia="Times New Roman" w:hAnsi="Times New Roman" w:cs="Times New Roman"/>
                <w:b/>
                <w:bCs/>
                <w:sz w:val="20"/>
                <w:szCs w:val="20"/>
                <w:lang w:eastAsia="tr-TR"/>
              </w:rPr>
            </w:pPr>
          </w:p>
        </w:tc>
        <w:tc>
          <w:tcPr>
            <w:tcW w:w="1061" w:type="pct"/>
            <w:vMerge/>
            <w:shd w:val="clear" w:color="auto" w:fill="6E9ECA"/>
            <w:vAlign w:val="center"/>
            <w:hideMark/>
          </w:tcPr>
          <w:p w:rsidR="00C522EA" w:rsidRPr="00A46836" w:rsidRDefault="00C522EA" w:rsidP="004E7F7B">
            <w:pPr>
              <w:spacing w:after="0" w:line="240" w:lineRule="auto"/>
              <w:rPr>
                <w:rFonts w:ascii="Times New Roman" w:eastAsia="Times New Roman" w:hAnsi="Times New Roman" w:cs="Times New Roman"/>
                <w:b/>
                <w:bCs/>
                <w:sz w:val="20"/>
                <w:szCs w:val="20"/>
                <w:lang w:eastAsia="tr-TR"/>
              </w:rPr>
            </w:pPr>
          </w:p>
        </w:tc>
        <w:tc>
          <w:tcPr>
            <w:tcW w:w="1713" w:type="pct"/>
            <w:shd w:val="clear" w:color="auto" w:fill="6E9ECA"/>
            <w:vAlign w:val="center"/>
            <w:hideMark/>
          </w:tcPr>
          <w:p w:rsidR="00C522EA" w:rsidRPr="00A46836" w:rsidRDefault="003B5E3C" w:rsidP="004E7F7B">
            <w:pPr>
              <w:spacing w:after="0" w:line="240" w:lineRule="auto"/>
              <w:rPr>
                <w:rFonts w:ascii="Times New Roman" w:eastAsia="Times New Roman" w:hAnsi="Times New Roman" w:cs="Times New Roman"/>
                <w:b/>
                <w:bCs/>
                <w:sz w:val="20"/>
                <w:szCs w:val="20"/>
                <w:lang w:eastAsia="tr-TR"/>
              </w:rPr>
            </w:pPr>
            <w:r w:rsidRPr="00A46836">
              <w:rPr>
                <w:rFonts w:ascii="Times New Roman" w:eastAsia="Times New Roman" w:hAnsi="Times New Roman" w:cs="Times New Roman"/>
                <w:b/>
                <w:bCs/>
                <w:sz w:val="20"/>
                <w:szCs w:val="20"/>
                <w:lang w:eastAsia="tr-TR"/>
              </w:rPr>
              <w:t>Current companies and successful tenderers completing 5 years as of the date of effectiveness of the</w:t>
            </w:r>
          </w:p>
        </w:tc>
        <w:tc>
          <w:tcPr>
            <w:tcW w:w="1538" w:type="pct"/>
            <w:shd w:val="clear" w:color="auto" w:fill="6E9ECA"/>
            <w:vAlign w:val="center"/>
            <w:hideMark/>
          </w:tcPr>
          <w:p w:rsidR="00C522EA" w:rsidRPr="00A46836" w:rsidRDefault="003B5E3C" w:rsidP="004E7F7B">
            <w:pPr>
              <w:spacing w:after="0" w:line="240" w:lineRule="auto"/>
              <w:rPr>
                <w:rFonts w:ascii="Times New Roman" w:eastAsia="Times New Roman" w:hAnsi="Times New Roman" w:cs="Times New Roman"/>
                <w:b/>
                <w:bCs/>
                <w:sz w:val="20"/>
                <w:szCs w:val="20"/>
                <w:lang w:eastAsia="tr-TR"/>
              </w:rPr>
            </w:pPr>
            <w:r w:rsidRPr="00A46836">
              <w:rPr>
                <w:rFonts w:ascii="Times New Roman" w:eastAsia="Times New Roman" w:hAnsi="Times New Roman" w:cs="Times New Roman"/>
                <w:b/>
                <w:bCs/>
                <w:sz w:val="20"/>
                <w:szCs w:val="20"/>
                <w:lang w:eastAsia="tr-TR"/>
              </w:rPr>
              <w:t>Other companies granted licenses upon tenders</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2005</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408</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1.000.000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2006</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629</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1.000.000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2007</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1032</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1.000.000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2008</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1438 ve 1808/1</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1.000.000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2009</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1896/1</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1.000.000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2010</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2378</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800.000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2011</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2966</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700.000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2012</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3600</w:t>
            </w:r>
          </w:p>
        </w:tc>
        <w:tc>
          <w:tcPr>
            <w:tcW w:w="1713"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300.000 </w:t>
            </w:r>
          </w:p>
        </w:tc>
        <w:tc>
          <w:tcPr>
            <w:tcW w:w="1538" w:type="pct"/>
            <w:shd w:val="clear" w:color="auto" w:fill="auto"/>
            <w:noWrap/>
            <w:vAlign w:val="bottom"/>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 xml:space="preserve">15.000.000 </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2013</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4168</w:t>
            </w:r>
          </w:p>
        </w:tc>
        <w:tc>
          <w:tcPr>
            <w:tcW w:w="1713" w:type="pct"/>
            <w:shd w:val="clear" w:color="auto" w:fill="auto"/>
            <w:vAlign w:val="bottom"/>
            <w:hideMark/>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300.000 m</w:t>
            </w:r>
            <w:r w:rsidRPr="00A46836">
              <w:rPr>
                <w:rFonts w:ascii="Times New Roman" w:eastAsia="Times New Roman" w:hAnsi="Times New Roman" w:cs="Times New Roman"/>
                <w:sz w:val="20"/>
                <w:szCs w:val="20"/>
                <w:vertAlign w:val="superscript"/>
                <w:lang w:eastAsia="tr-TR"/>
              </w:rPr>
              <w:t>3</w:t>
            </w:r>
            <w:r w:rsidRPr="00A46836">
              <w:rPr>
                <w:rFonts w:ascii="Times New Roman" w:eastAsia="Times New Roman" w:hAnsi="Times New Roman" w:cs="Times New Roman"/>
                <w:sz w:val="20"/>
                <w:szCs w:val="20"/>
                <w:lang w:eastAsia="tr-TR"/>
              </w:rPr>
              <w:t xml:space="preserve"> consumption (households) are eligible consumers*</w:t>
            </w:r>
          </w:p>
        </w:tc>
        <w:tc>
          <w:tcPr>
            <w:tcW w:w="1538" w:type="pct"/>
            <w:shd w:val="clear" w:color="auto" w:fill="auto"/>
            <w:vAlign w:val="center"/>
            <w:hideMark/>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2014</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4793</w:t>
            </w:r>
          </w:p>
        </w:tc>
        <w:tc>
          <w:tcPr>
            <w:tcW w:w="1713" w:type="pct"/>
            <w:shd w:val="clear" w:color="auto" w:fill="auto"/>
            <w:vAlign w:val="bottom"/>
            <w:hideMark/>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100.000 m3 consumption (households) are eligible consumers*</w:t>
            </w:r>
          </w:p>
        </w:tc>
        <w:tc>
          <w:tcPr>
            <w:tcW w:w="1538" w:type="pct"/>
            <w:shd w:val="clear" w:color="auto" w:fill="auto"/>
            <w:vAlign w:val="center"/>
            <w:hideMark/>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220435" w:rsidRPr="00A46836" w:rsidTr="00A46836">
        <w:trPr>
          <w:trHeight w:val="20"/>
        </w:trPr>
        <w:tc>
          <w:tcPr>
            <w:tcW w:w="688"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2015</w:t>
            </w:r>
          </w:p>
        </w:tc>
        <w:tc>
          <w:tcPr>
            <w:tcW w:w="1061" w:type="pct"/>
            <w:shd w:val="clear" w:color="auto" w:fill="auto"/>
            <w:noWrap/>
            <w:vAlign w:val="center"/>
            <w:hideMark/>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5362</w:t>
            </w:r>
          </w:p>
        </w:tc>
        <w:tc>
          <w:tcPr>
            <w:tcW w:w="1713" w:type="pct"/>
            <w:shd w:val="clear" w:color="auto" w:fill="auto"/>
            <w:vAlign w:val="bottom"/>
            <w:hideMark/>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75.000 m3 consumption (households) are eligible consumers*</w:t>
            </w:r>
          </w:p>
        </w:tc>
        <w:tc>
          <w:tcPr>
            <w:tcW w:w="1538" w:type="pct"/>
            <w:shd w:val="clear" w:color="auto" w:fill="auto"/>
            <w:vAlign w:val="center"/>
            <w:hideMark/>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3125EA" w:rsidRPr="00A46836" w:rsidTr="00A46836">
        <w:trPr>
          <w:trHeight w:val="20"/>
        </w:trPr>
        <w:tc>
          <w:tcPr>
            <w:tcW w:w="688"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lastRenderedPageBreak/>
              <w:t>2016</w:t>
            </w:r>
          </w:p>
        </w:tc>
        <w:tc>
          <w:tcPr>
            <w:tcW w:w="1061"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5920</w:t>
            </w:r>
          </w:p>
        </w:tc>
        <w:tc>
          <w:tcPr>
            <w:tcW w:w="1713" w:type="pct"/>
            <w:shd w:val="clear" w:color="auto" w:fill="auto"/>
            <w:vAlign w:val="bottom"/>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75.000 m3 consumption (households) are eligible consumers*</w:t>
            </w:r>
          </w:p>
        </w:tc>
        <w:tc>
          <w:tcPr>
            <w:tcW w:w="1538" w:type="pct"/>
            <w:shd w:val="clear" w:color="auto" w:fill="auto"/>
            <w:vAlign w:val="center"/>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3125EA" w:rsidRPr="00A46836" w:rsidTr="00A46836">
        <w:trPr>
          <w:trHeight w:val="20"/>
        </w:trPr>
        <w:tc>
          <w:tcPr>
            <w:tcW w:w="688"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2017</w:t>
            </w:r>
          </w:p>
        </w:tc>
        <w:tc>
          <w:tcPr>
            <w:tcW w:w="1061"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6778</w:t>
            </w:r>
          </w:p>
        </w:tc>
        <w:tc>
          <w:tcPr>
            <w:tcW w:w="1713" w:type="pct"/>
            <w:shd w:val="clear" w:color="auto" w:fill="auto"/>
            <w:vAlign w:val="bottom"/>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75.000 m3 consumption (households) are eligible consumers*</w:t>
            </w:r>
          </w:p>
        </w:tc>
        <w:tc>
          <w:tcPr>
            <w:tcW w:w="1538" w:type="pct"/>
            <w:shd w:val="clear" w:color="auto" w:fill="auto"/>
            <w:vAlign w:val="center"/>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3125EA" w:rsidRPr="00A46836" w:rsidTr="00A46836">
        <w:trPr>
          <w:trHeight w:val="20"/>
        </w:trPr>
        <w:tc>
          <w:tcPr>
            <w:tcW w:w="688"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2018</w:t>
            </w:r>
          </w:p>
        </w:tc>
        <w:tc>
          <w:tcPr>
            <w:tcW w:w="1061"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7537</w:t>
            </w:r>
          </w:p>
        </w:tc>
        <w:tc>
          <w:tcPr>
            <w:tcW w:w="1713" w:type="pct"/>
            <w:shd w:val="clear" w:color="auto" w:fill="auto"/>
            <w:vAlign w:val="bottom"/>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75.000 m3 consumption (households) are eligible consumers*</w:t>
            </w:r>
          </w:p>
        </w:tc>
        <w:tc>
          <w:tcPr>
            <w:tcW w:w="1538" w:type="pct"/>
            <w:shd w:val="clear" w:color="auto" w:fill="auto"/>
            <w:vAlign w:val="center"/>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r w:rsidR="003125EA" w:rsidRPr="00A46836" w:rsidTr="00A46836">
        <w:trPr>
          <w:trHeight w:val="20"/>
        </w:trPr>
        <w:tc>
          <w:tcPr>
            <w:tcW w:w="688"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2019</w:t>
            </w:r>
          </w:p>
        </w:tc>
        <w:tc>
          <w:tcPr>
            <w:tcW w:w="1061" w:type="pct"/>
            <w:shd w:val="clear" w:color="auto" w:fill="auto"/>
            <w:noWrap/>
            <w:vAlign w:val="center"/>
          </w:tcPr>
          <w:p w:rsidR="00C522EA" w:rsidRPr="00A46836" w:rsidRDefault="00C522EA"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8265</w:t>
            </w:r>
          </w:p>
        </w:tc>
        <w:tc>
          <w:tcPr>
            <w:tcW w:w="1713" w:type="pct"/>
            <w:shd w:val="clear" w:color="auto" w:fill="auto"/>
            <w:vAlign w:val="bottom"/>
          </w:tcPr>
          <w:p w:rsidR="00C522EA" w:rsidRPr="00A46836" w:rsidRDefault="003B5E3C" w:rsidP="004E7F7B">
            <w:pPr>
              <w:spacing w:after="0" w:line="240" w:lineRule="auto"/>
              <w:rPr>
                <w:rFonts w:ascii="Times New Roman" w:eastAsia="Times New Roman" w:hAnsi="Times New Roman" w:cs="Times New Roman"/>
                <w:sz w:val="20"/>
                <w:szCs w:val="20"/>
                <w:lang w:eastAsia="tr-TR"/>
              </w:rPr>
            </w:pPr>
            <w:r w:rsidRPr="00A46836">
              <w:rPr>
                <w:rFonts w:ascii="Times New Roman" w:eastAsia="Times New Roman" w:hAnsi="Times New Roman" w:cs="Times New Roman"/>
                <w:sz w:val="20"/>
                <w:szCs w:val="20"/>
                <w:lang w:eastAsia="tr-TR"/>
              </w:rPr>
              <w:t>All consumers except the ones with less than 75.000 m3 consumption (households) are eligible consumers*</w:t>
            </w:r>
          </w:p>
        </w:tc>
        <w:tc>
          <w:tcPr>
            <w:tcW w:w="1538" w:type="pct"/>
            <w:shd w:val="clear" w:color="auto" w:fill="auto"/>
            <w:vAlign w:val="center"/>
          </w:tcPr>
          <w:p w:rsidR="00C522EA" w:rsidRPr="00A46836" w:rsidRDefault="003B5E3C" w:rsidP="004E7F7B">
            <w:pPr>
              <w:spacing w:after="0" w:line="240" w:lineRule="auto"/>
              <w:rPr>
                <w:rFonts w:ascii="Times New Roman" w:eastAsia="Times New Roman" w:hAnsi="Times New Roman" w:cs="Times New Roman"/>
                <w:sz w:val="20"/>
                <w:szCs w:val="20"/>
                <w:lang w:val="en-GB" w:eastAsia="tr-TR"/>
              </w:rPr>
            </w:pPr>
            <w:r w:rsidRPr="00A46836">
              <w:rPr>
                <w:rFonts w:ascii="Times New Roman" w:eastAsia="Times New Roman" w:hAnsi="Times New Roman" w:cs="Times New Roman"/>
                <w:sz w:val="20"/>
                <w:szCs w:val="20"/>
                <w:lang w:eastAsia="tr-TR"/>
              </w:rPr>
              <w:t>Stated in the tender notice and the license.</w:t>
            </w:r>
          </w:p>
        </w:tc>
      </w:tr>
    </w:tbl>
    <w:p w:rsidR="005F5E6A" w:rsidRPr="004E7F7B" w:rsidRDefault="003B5E3C" w:rsidP="00A46836">
      <w:pPr>
        <w:spacing w:line="240" w:lineRule="auto"/>
        <w:rPr>
          <w:rFonts w:ascii="Times New Roman" w:hAnsi="Times New Roman" w:cs="Times New Roman"/>
        </w:rPr>
      </w:pPr>
      <w:r w:rsidRPr="004E7F7B">
        <w:rPr>
          <w:rFonts w:ascii="Times New Roman" w:hAnsi="Times New Roman" w:cs="Times New Roman"/>
          <w:color w:val="FF0000"/>
          <w:lang w:val="en-GB"/>
        </w:rPr>
        <w:t xml:space="preserve"> </w:t>
      </w:r>
      <w:r w:rsidR="005F5E6A" w:rsidRPr="00B2297C">
        <w:rPr>
          <w:rFonts w:ascii="Times New Roman" w:hAnsi="Times New Roman" w:cs="Times New Roman"/>
        </w:rPr>
        <w:t>*</w:t>
      </w:r>
      <w:r w:rsidR="005F5E6A" w:rsidRPr="004E7F7B">
        <w:rPr>
          <w:rFonts w:ascii="Times New Roman" w:hAnsi="Times New Roman" w:cs="Times New Roman"/>
          <w:color w:val="FF0000"/>
        </w:rPr>
        <w:t xml:space="preserve"> </w:t>
      </w:r>
      <w:r w:rsidR="00C50925" w:rsidRPr="004E7F7B">
        <w:rPr>
          <w:rFonts w:ascii="Times New Roman" w:hAnsi="Times New Roman" w:cs="Times New Roman"/>
        </w:rPr>
        <w:t>Consumption measured from a single meter is taken into</w:t>
      </w:r>
      <w:r w:rsidR="00B731BE" w:rsidRPr="004E7F7B">
        <w:rPr>
          <w:rFonts w:ascii="Times New Roman" w:hAnsi="Times New Roman" w:cs="Times New Roman"/>
        </w:rPr>
        <w:t xml:space="preserve"> account in calculating the eligible</w:t>
      </w:r>
      <w:r w:rsidR="00C50925" w:rsidRPr="004E7F7B">
        <w:rPr>
          <w:rFonts w:ascii="Times New Roman" w:hAnsi="Times New Roman" w:cs="Times New Roman"/>
        </w:rPr>
        <w:t xml:space="preserve"> consumer limit for residential consumers.</w:t>
      </w:r>
    </w:p>
    <w:p w:rsidR="00B731BE" w:rsidRPr="00A46836" w:rsidRDefault="00B731BE" w:rsidP="00A46836">
      <w:r w:rsidRPr="00A46836">
        <w:t>The Board Decision dated 08/08/2019 and numbered 8777 in the Procedures and Principles for Feeding the Natural Gas Distribution Network with Liquefied Natural Gas (LNG) or Compressed Natural Gas (CNG) published in the Official Gazette dated 13/06/2017 and numbered 30095. and the duration of the direct procurement method in emergencies was increased to six months according to the needs of the sector and the ambiguities in the methods of the procurement tenders to be made were eliminated.</w:t>
      </w:r>
    </w:p>
    <w:p w:rsidR="00B731BE" w:rsidRPr="00A46836" w:rsidRDefault="00B731BE" w:rsidP="00A46836">
      <w:r w:rsidRPr="00A46836">
        <w:t>• Within the scope of Article 70 of the Natural Gas Market Distribution and Customer Services Regulation, the companies authorized / to be authorized by the Board Decision dated 29/01/2009 and numbered 1955-1, in order to ensure the examination of the term liabilities of the cities included in the distribution region through expansion of natural gas distribution companies, The Board Decision dated 24/10/2019 and numbered 8900 was taken regarding the examination of the matters covered by the decision and the evaluation of the audit reports to be prepared by the Natural Gas Market Department.</w:t>
      </w:r>
    </w:p>
    <w:p w:rsidR="00B731BE" w:rsidRPr="00A46836" w:rsidRDefault="00B731BE" w:rsidP="00A46836">
      <w:r w:rsidRPr="00A46836">
        <w:t>Information on Natural Gas Distribution License Tenders;</w:t>
      </w:r>
    </w:p>
    <w:p w:rsidR="00B731BE" w:rsidRPr="00A46836" w:rsidRDefault="00B731BE" w:rsidP="00A46836">
      <w:r w:rsidRPr="00A46836">
        <w:t>• In the period from 2001, when the Natural Gas Market Law No. 4646 was published, through the in-city natural gas distribution license tenders held within the framework of the Law and the provisions of the secondary legislation, it was ensured that natural gas was expanded and the natural gas distribution activity was carried out by the private sector.</w:t>
      </w:r>
    </w:p>
    <w:p w:rsidR="00B731BE" w:rsidRPr="00A46836" w:rsidRDefault="00B731BE" w:rsidP="00A46836">
      <w:r w:rsidRPr="00A46836">
        <w:t>• As per the law, the local natural gas distribution service is carried out by the company that won the tender held by EMRA and received the distribution license. The bids submitted by the companies are evaluated on the basis of the unit service and depreciation fee given as a single price for the supply of one kWh natural gas, according to the procedures and principles specified in the relevant legislation.</w:t>
      </w:r>
    </w:p>
    <w:p w:rsidR="00B731BE" w:rsidRPr="00A46836" w:rsidRDefault="00B731BE" w:rsidP="00A46836">
      <w:r w:rsidRPr="00A46836">
        <w:t xml:space="preserve">• As a result of the tenders made by EMRA within the scope of the Natural Gas Market Law No. 4646 and distribution licenses given before the Law, we have already started using natural gas in 81 provinces and 495 districts. In line with the goal of spreading the use of natural gas throughout the country, the tenders held to deliver natural gas to our provinces of Artvin, Hakkari and Şırnak, which were unsuccessful in previous years, were held in March 2017 and were concluded successfully. Currently, licensing </w:t>
      </w:r>
      <w:r w:rsidRPr="00A46836">
        <w:lastRenderedPageBreak/>
        <w:t>procedures have been completed and natural gas supply has been realized in these provinces in 2018. Thus, it is possible to use Natural Gas in 81 provinces currently.</w:t>
      </w:r>
    </w:p>
    <w:p w:rsidR="00B731BE" w:rsidRPr="00A46836" w:rsidRDefault="00B731BE" w:rsidP="00A46836">
      <w:r w:rsidRPr="00A46836">
        <w:t>• In line with the goal of expanding the use of natural gas throughout the country, necessary studies are carried out within the scope of the Council of Ministers Decisions to deliver natural gas to our districts with a central population of 10 thousand and more than 20 thousand, which are outside the scope of the current natural gas distribution region license, and to include these districts in the scope of natural gas distribution regions. Operations and investment processes are followed. A total of 72 "Natural Gas Distribution Licenses" have already been granted within the framework of the relevant legislation, together with 7 distribution companies performing their activities before the Law No. 4646 and 65 distribution companies licensed as a result of tenders made by our Authority.</w:t>
      </w:r>
    </w:p>
    <w:p w:rsidR="00B731BE" w:rsidRPr="00A46836" w:rsidRDefault="00B731BE" w:rsidP="00A46836">
      <w:r w:rsidRPr="00A46836">
        <w:t>• Natural gas distribution is carried out by the private sector in all distribution regions except Istanbul Gaz Dağıtım Sanayi ve Ticaret Anonim Şirketi (İGDAŞ).</w:t>
      </w:r>
    </w:p>
    <w:p w:rsidR="00C522EA" w:rsidRPr="004E7F7B" w:rsidRDefault="00C522EA" w:rsidP="004E7F7B">
      <w:pPr>
        <w:pStyle w:val="Balk2"/>
        <w:rPr>
          <w:rFonts w:ascii="Times New Roman" w:hAnsi="Times New Roman" w:cs="Times New Roman"/>
          <w:sz w:val="22"/>
          <w:szCs w:val="22"/>
        </w:rPr>
      </w:pPr>
      <w:bookmarkStart w:id="37" w:name="_Toc442431242"/>
      <w:bookmarkStart w:id="38" w:name="_Toc514251619"/>
      <w:bookmarkStart w:id="39" w:name="_Toc48817827"/>
      <w:r w:rsidRPr="004E7F7B">
        <w:rPr>
          <w:rFonts w:ascii="Times New Roman" w:hAnsi="Times New Roman" w:cs="Times New Roman"/>
          <w:sz w:val="22"/>
          <w:szCs w:val="22"/>
        </w:rPr>
        <w:t xml:space="preserve">2.3.Petroleum Market </w:t>
      </w:r>
      <w:bookmarkEnd w:id="37"/>
      <w:bookmarkEnd w:id="38"/>
      <w:r w:rsidRPr="004E7F7B">
        <w:rPr>
          <w:rFonts w:ascii="Times New Roman" w:hAnsi="Times New Roman" w:cs="Times New Roman"/>
          <w:sz w:val="22"/>
          <w:szCs w:val="22"/>
        </w:rPr>
        <w:t>Legislation</w:t>
      </w:r>
      <w:bookmarkEnd w:id="39"/>
    </w:p>
    <w:p w:rsidR="00C522EA" w:rsidRPr="004E7F7B" w:rsidRDefault="00C522EA" w:rsidP="004E7F7B">
      <w:pPr>
        <w:pStyle w:val="Balk3"/>
        <w:rPr>
          <w:rFonts w:ascii="Times New Roman" w:hAnsi="Times New Roman" w:cs="Times New Roman"/>
          <w:color w:val="FF0000"/>
          <w:sz w:val="22"/>
          <w:szCs w:val="22"/>
        </w:rPr>
      </w:pPr>
      <w:bookmarkStart w:id="40" w:name="_Toc48817828"/>
      <w:r w:rsidRPr="004E7F7B">
        <w:rPr>
          <w:rFonts w:ascii="Times New Roman" w:hAnsi="Times New Roman" w:cs="Times New Roman"/>
          <w:sz w:val="22"/>
          <w:szCs w:val="22"/>
        </w:rPr>
        <w:t>2.3.1.Law</w:t>
      </w:r>
      <w:bookmarkEnd w:id="40"/>
    </w:p>
    <w:p w:rsidR="003125EA" w:rsidRPr="00A46836" w:rsidRDefault="003125EA" w:rsidP="00A46836">
      <w:r w:rsidRPr="00A46836">
        <w:t>The following amendments were made to the Petroleum Market Law No. 5015 in 2019.</w:t>
      </w:r>
    </w:p>
    <w:p w:rsidR="003125EA" w:rsidRPr="00A46836" w:rsidRDefault="003125EA" w:rsidP="00A46836">
      <w:r w:rsidRPr="00A46836">
        <w:t xml:space="preserve"> Article 13 of the Law No. 7166 on Social Services and Some Laws published in the Official Gazette dated 22.02.2019 and numbered 30694 and the second sentence of the third paragraph of Article 16 of the Petroleum Market Law No. 5015, titled "Petroleum stocks", have been repealed and  The phrase "license holders and free users" in the sixth paragraph has been changed to "license holders".  With the abolished sentence, the stock holding obligation of free user license holders has been removed.</w:t>
      </w:r>
    </w:p>
    <w:p w:rsidR="003125EA" w:rsidRPr="00A46836" w:rsidRDefault="003125EA" w:rsidP="00A46836">
      <w:r w:rsidRPr="00A46836">
        <w:t>Articles 30 to 34 of the Law on Amending the Mining Law No. 7164, Some Laws and Statutory Decrees, published in the Official Gazette dated 28.02.2019 and numbered 30700, and the Petroleum Market Law No. 5015;</w:t>
      </w:r>
    </w:p>
    <w:p w:rsidR="003125EA" w:rsidRPr="00A46836" w:rsidRDefault="003125EA" w:rsidP="00A46836">
      <w:r w:rsidRPr="00A46836">
        <w:t xml:space="preserve"> In the second sentence of the third paragraph of Article 3 titled “Procedures and principles to which licenses will be subject”, the phrase “no limitation in numerical quantities in terms of the number of dealers, storage capacity (except business stock capacity)” has been removed from the article text and the following paragraph has been added to the article.</w:t>
      </w:r>
    </w:p>
    <w:p w:rsidR="003125EA" w:rsidRPr="00A46836" w:rsidRDefault="003125EA" w:rsidP="00A46836">
      <w:r w:rsidRPr="00A46836">
        <w:t xml:space="preserve"> “The Authority may request a letter of guarantee from the license holders for the issues to be determined by the Board in order to collect their financial obligations under this Law.  The license types for which a letter of guarantee will be obtained, the amount and type of the letter of guarantee, the conditions under which it will be converted into money and other issues are determined by the regulations to be made by the Authority. “</w:t>
      </w:r>
    </w:p>
    <w:p w:rsidR="003125EA" w:rsidRPr="00A46836" w:rsidRDefault="003125EA" w:rsidP="00A46836">
      <w:r w:rsidRPr="00A46836">
        <w:t>The phrase “half of it” in the second paragraph of Article 10 titled “Price formation” is in the form of “all”, “excluding tolls” as “including tolls”, “Ras Gharib (21.5 API)” in the third clause “Arab Heavy  (27.5 API) ”has been changed.  The changes made refer to the calculation of the market price, including all transportation costs and the pipeline toll fee, and that Arab Heavy (27.5 API) oil, not Ras Gharip (21.5 API) oil, will be taken as basis for oil heavier than 26 API, which will be equivalent to the crude oil produced.</w:t>
      </w:r>
    </w:p>
    <w:p w:rsidR="003125EA" w:rsidRPr="00A46836" w:rsidRDefault="003125EA" w:rsidP="00A46836">
      <w:r w:rsidRPr="00A46836">
        <w:lastRenderedPageBreak/>
        <w:t xml:space="preserve"> Article 19 titled “Administrative fines” has been amended.  The change made is quite extensive and the final version of the article is as follows.</w:t>
      </w:r>
    </w:p>
    <w:p w:rsidR="003125EA" w:rsidRPr="00A46836" w:rsidRDefault="003125EA" w:rsidP="00A46836">
      <w:r w:rsidRPr="00A46836">
        <w:t xml:space="preserve"> “ARTICLE 19 – In the event of acts contrary to this Law or the relevant legislation, the following administrative fines will be imposed by the Board on those responsible:</w:t>
      </w:r>
    </w:p>
    <w:p w:rsidR="003125EA" w:rsidRPr="00A46836" w:rsidRDefault="003125EA" w:rsidP="00A46836">
      <w:r w:rsidRPr="00A46836">
        <w:t xml:space="preserve"> a) In the following cases, an administrative fine of fourteen per thousand of the net sales revenue obtained from the petroleum market activity subject to the relevant license shall be imposed in the year preceding the date of the act, not less than two million Turkish Liras and not exceeding ten million Turkish Liras:</w:t>
      </w:r>
    </w:p>
    <w:p w:rsidR="003125EA" w:rsidRPr="00A46836" w:rsidRDefault="003125EA" w:rsidP="00A46836">
      <w:r w:rsidRPr="00A46836">
        <w:t xml:space="preserve"> 1) Refinery, distributor, transportation, bunker, processing, storage, transmission, mineral oil production and activities within the scope of free user license without obtaining a license.</w:t>
      </w:r>
    </w:p>
    <w:p w:rsidR="003125EA" w:rsidRPr="00A46836" w:rsidRDefault="003125EA" w:rsidP="00A46836">
      <w:r w:rsidRPr="00A46836">
        <w:t xml:space="preserve"> 2) Violation of Article 18.</w:t>
      </w:r>
    </w:p>
    <w:p w:rsidR="003125EA" w:rsidRPr="00A46836" w:rsidRDefault="003125EA" w:rsidP="00A46836">
      <w:r w:rsidRPr="00A46836">
        <w:t xml:space="preserve"> 3) Violation of item (1) of the fourth paragraph of Article 4.</w:t>
      </w:r>
    </w:p>
    <w:p w:rsidR="003125EA" w:rsidRPr="00A46836" w:rsidRDefault="003125EA" w:rsidP="00A46836">
      <w:r w:rsidRPr="00A46836">
        <w:t xml:space="preserve"> 4) Violation of item (b) of the second paragraph of Article 8.</w:t>
      </w:r>
    </w:p>
    <w:p w:rsidR="003125EA" w:rsidRPr="00A46836" w:rsidRDefault="003125EA" w:rsidP="00A46836">
      <w:r w:rsidRPr="00A46836">
        <w:t xml:space="preserve"> b) Half of the penalties specified in subparagraph (a) are applied for dealership license holders.</w:t>
      </w:r>
    </w:p>
    <w:p w:rsidR="003125EA" w:rsidRPr="00A46836" w:rsidRDefault="003125EA" w:rsidP="00A46836">
      <w:r w:rsidRPr="00A46836">
        <w:t xml:space="preserve"> c) In the event that independent surveillance firms authorized to supervise the national marker addition procedures fail to fulfill their obligations, one fourth of the penalty imposed on the license holder pursuant to subparagraph (a) shall be imposed on the national marker.</w:t>
      </w:r>
    </w:p>
    <w:p w:rsidR="003125EA" w:rsidRPr="00A46836" w:rsidRDefault="003125EA" w:rsidP="00A46836">
      <w:r w:rsidRPr="00A46836">
        <w:t>Ç) Except for those who are engaged in dealership activities, in the following cases, the responsible persons, not less than one million two hundred fifty thousand Turkish Liras and not exceeding six million two hundred and fifty thousand Turkish Liras, in one thousandth of the net sales revenue related to the petroleum market activity subject to the relevant license in the year before the act was committed.  Administrative fines of twelve are imposed:</w:t>
      </w:r>
    </w:p>
    <w:p w:rsidR="003125EA" w:rsidRPr="00A46836" w:rsidRDefault="003125EA" w:rsidP="00A46836">
      <w:r w:rsidRPr="00A46836">
        <w:t xml:space="preserve"> 1) Failure to comply with the restrictions in article 9 (except for the seventh paragraph).</w:t>
      </w:r>
    </w:p>
    <w:p w:rsidR="003125EA" w:rsidRPr="00A46836" w:rsidRDefault="003125EA" w:rsidP="00A46836">
      <w:r w:rsidRPr="00A46836">
        <w:t xml:space="preserve"> 2) Violation of Articles 5, 6 and 7.</w:t>
      </w:r>
    </w:p>
    <w:p w:rsidR="003125EA" w:rsidRPr="00A46836" w:rsidRDefault="003125EA" w:rsidP="00A46836">
      <w:r w:rsidRPr="00A46836">
        <w:t xml:space="preserve"> 3) Direct or indirect blocking or attempting to prevent the practices made by the Institution pursuant to Article 10.</w:t>
      </w:r>
    </w:p>
    <w:p w:rsidR="003125EA" w:rsidRPr="00A46836" w:rsidRDefault="003125EA" w:rsidP="00A46836">
      <w:r w:rsidRPr="00A46836">
        <w:t xml:space="preserve"> d) In the following cases, an administrative fine of less than five hundred and fifty thousand Turkish Liras and not exceeding two million seven hundred and fifty thousand Turkish Liras shall be applied in the year preceding the commission of the act, at the rate of one thousandth of the net sales revenue related to the petroleum market activity subject to the relevant license:</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Violation of the third paragraph of Article 4.</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Violation of the provisions of the third paragraph of Article 4 and the provisions of the fourth paragraph other than sub-clause (d) and (l), excluding those engaged in dealership activities.</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To operate outside of the rights granted by the license owned, except for those who are engaged in dealership activities.</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Prevention of access to transmission and storage facilities, directly or indirectly, within the scope of provisions in Article 12.</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lastRenderedPageBreak/>
        <w:t>Violation of Article 17.</w:t>
      </w:r>
    </w:p>
    <w:p w:rsidR="003125EA" w:rsidRPr="00A46836" w:rsidRDefault="003125EA" w:rsidP="00A46836">
      <w:r w:rsidRPr="00A46836">
        <w:t xml:space="preserve"> e) In the event that the acts listed in subparagraph (d) are committed by the free user license holders, administrative money at the rate of five per thousand of the net sales revenue related to the petroleum market activity subject to the relevant license in the year before the date of the act, not less than fifty thousand Turkish Liras and not exceeding one hundred thousand Turkish Liras.  Penalty applies.</w:t>
      </w:r>
    </w:p>
    <w:p w:rsidR="003125EA" w:rsidRPr="00A46836" w:rsidRDefault="003125EA" w:rsidP="00A46836">
      <w:r w:rsidRPr="00A46836">
        <w:t xml:space="preserve"> f) In the following cases, an administrative fine of less than one hundred and twenty-five thousand Turkish Liras and not exceeding six hundred twenty five thousand Turkish Liras is applied to the responsible persons in the year preceding the date of the act, ten thousandth of the net sales revenue related to the petroleum market activity subject to the relevant license:</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t>1) Performing dealership activities without obtaining a license.</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t xml:space="preserve"> 2) Violation of the seventh paragraph of Article 9.</w:t>
      </w:r>
    </w:p>
    <w:p w:rsidR="003125EA" w:rsidRPr="004E7F7B" w:rsidRDefault="003125EA" w:rsidP="004E7F7B">
      <w:pPr>
        <w:rPr>
          <w:rFonts w:ascii="Times New Roman" w:hAnsi="Times New Roman" w:cs="Times New Roman"/>
        </w:rPr>
      </w:pPr>
      <w:r w:rsidRPr="004E7F7B">
        <w:rPr>
          <w:rFonts w:ascii="Times New Roman" w:hAnsi="Times New Roman" w:cs="Times New Roman"/>
        </w:rPr>
        <w:t xml:space="preserve"> </w:t>
      </w:r>
      <w:r w:rsidR="00A46836">
        <w:rPr>
          <w:rFonts w:ascii="Times New Roman" w:hAnsi="Times New Roman" w:cs="Times New Roman"/>
        </w:rPr>
        <w:tab/>
      </w:r>
      <w:r w:rsidRPr="004E7F7B">
        <w:rPr>
          <w:rFonts w:ascii="Times New Roman" w:hAnsi="Times New Roman" w:cs="Times New Roman"/>
        </w:rPr>
        <w:t>3) Violation of Article 8 (excluding item (b) of the second paragraph of Article 8).</w:t>
      </w:r>
    </w:p>
    <w:p w:rsidR="003125EA" w:rsidRPr="004E7F7B" w:rsidRDefault="003125EA" w:rsidP="004E7F7B">
      <w:pPr>
        <w:rPr>
          <w:rFonts w:ascii="Times New Roman" w:hAnsi="Times New Roman" w:cs="Times New Roman"/>
        </w:rPr>
      </w:pPr>
      <w:r w:rsidRPr="004E7F7B">
        <w:rPr>
          <w:rFonts w:ascii="Times New Roman" w:hAnsi="Times New Roman" w:cs="Times New Roman"/>
        </w:rPr>
        <w:t xml:space="preserve"> </w:t>
      </w:r>
      <w:r w:rsidR="00A46836">
        <w:rPr>
          <w:rFonts w:ascii="Times New Roman" w:hAnsi="Times New Roman" w:cs="Times New Roman"/>
        </w:rPr>
        <w:tab/>
      </w:r>
      <w:r w:rsidRPr="004E7F7B">
        <w:rPr>
          <w:rFonts w:ascii="Times New Roman" w:hAnsi="Times New Roman" w:cs="Times New Roman"/>
        </w:rPr>
        <w:t>4) Operating by franchise license holders other than the rights granted by the license.</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Violation of the provisions of the third and fourth paragraphs of Article 4, other than subparagraphs (d) and (l), by dealership license holders.</w:t>
      </w:r>
    </w:p>
    <w:p w:rsidR="003125EA" w:rsidRPr="004E7F7B" w:rsidRDefault="003125EA" w:rsidP="007B4A7D">
      <w:pPr>
        <w:pStyle w:val="ListeParagraf"/>
        <w:numPr>
          <w:ilvl w:val="0"/>
          <w:numId w:val="23"/>
        </w:numPr>
        <w:rPr>
          <w:rFonts w:ascii="Times New Roman" w:hAnsi="Times New Roman" w:cs="Times New Roman"/>
        </w:rPr>
      </w:pPr>
      <w:r w:rsidRPr="004E7F7B">
        <w:rPr>
          <w:rFonts w:ascii="Times New Roman" w:hAnsi="Times New Roman" w:cs="Times New Roman"/>
        </w:rPr>
        <w:t>Violation of Article 10 by dealership license owners.</w:t>
      </w:r>
    </w:p>
    <w:p w:rsidR="003125EA" w:rsidRPr="00A46836" w:rsidRDefault="003125EA" w:rsidP="00A46836">
      <w:r w:rsidRPr="00A46836">
        <w:t xml:space="preserve"> g) License holders, who are obliged to keep national petroleum stock pursuant to Article 16 of the Law, are fined two hundred and fifty Turkish Liras for each ton of product missing at the date of detection.  Ton fraction is not taken into account in the calculation of the missing stock amount.  The administrative fine applied under this paragraph is used for financing the complementary part of the national oil stock.</w:t>
      </w:r>
    </w:p>
    <w:p w:rsidR="003125EA" w:rsidRPr="00A46836" w:rsidRDefault="003125EA" w:rsidP="00A46836">
      <w:r w:rsidRPr="00A46836">
        <w:t>ğ) In accordance with the regulations made by the Authority, license holders who are obliged to blend biodiesel, ethanol and similar are imposed an administrative fine of two hundred and fifty Turkish Liras for each cubic meter of product blended incompletely.</w:t>
      </w:r>
    </w:p>
    <w:p w:rsidR="003125EA" w:rsidRPr="00A46836" w:rsidRDefault="003125EA" w:rsidP="00A46836">
      <w:r w:rsidRPr="00A46836">
        <w:t xml:space="preserve"> h) Those who do not comply with the obligations of this Law, the secondary legislation or license provisions, and the decisions of the Board other than those stated above, shall not be less than one hundred and ten thousand Turkish Liras and not exceed five hundred and fifty thousand Turkish Liras.  an administrative fine of eight per thousand of the related net sales revenue.</w:t>
      </w:r>
    </w:p>
    <w:p w:rsidR="003125EA" w:rsidRPr="00A46836" w:rsidRDefault="003125EA" w:rsidP="00A46836">
      <w:r w:rsidRPr="00A46836">
        <w:t xml:space="preserve"> In the event that an act of penalty is committed again by the same person within two years, administrative fines are applied twice.</w:t>
      </w:r>
    </w:p>
    <w:p w:rsidR="003125EA" w:rsidRPr="00A46836" w:rsidRDefault="003125EA" w:rsidP="00A46836">
      <w:r w:rsidRPr="00A46836">
        <w:t xml:space="preserve"> Administrative procedures carried out in accordance with Article 20 of this Law and the provisions of this article are notified to the electronic notification address notified by the licensee to the Agency.  In the event that the notification cannot be made to the electronic notification address notified to the Authority due to a compulsory reason, the notification made to the address notified to the Authority shall replace the notification.</w:t>
      </w:r>
    </w:p>
    <w:p w:rsidR="003125EA" w:rsidRPr="00A46836" w:rsidRDefault="003125EA" w:rsidP="00A46836">
      <w:r w:rsidRPr="00A46836">
        <w:t>Administrative fines imposed under this Law are paid within one month from the date of notification.  Administrative fines not paid on time are sent to the relevant tax office to be collected in accordance with the provisions of the Law on the Procedure for the Collection of Public Receivables, dated 21/7/1953 and numbered 6183.</w:t>
      </w:r>
    </w:p>
    <w:p w:rsidR="003125EA" w:rsidRPr="00A46836" w:rsidRDefault="003125EA" w:rsidP="00A46836">
      <w:r w:rsidRPr="00A46836">
        <w:lastRenderedPageBreak/>
        <w:t xml:space="preserve"> Applying for a judicial remedy against administrative fines imposed under this Law does not cease collection transactions, except for the case where a bank letter of guarantee is given to the relevant tax office.  The amount and type of the letter of guarantee, the conditions under which it will be converted into money and other issues are determined by the regulations to be made by the Authority.</w:t>
      </w:r>
    </w:p>
    <w:p w:rsidR="003125EA" w:rsidRPr="00A46836" w:rsidRDefault="003125EA" w:rsidP="00A46836">
      <w:r w:rsidRPr="00A46836">
        <w:t xml:space="preserve"> In the event that there is no net sales revenue obtained from the petroleum market activity subject to license or cannot be determined in the year preceding the commitment of the acts specified in this article, the Board, based on the fuel supply or sale and similar evidences to be determined, the rates determined in the relevant paragraphs of this article and the minimum  within the maximum limit, and in the event that no determination can be made, the penalty shall be determined based on the net sales revenue obtained from the petroleum market activity, which can be a precedent for the petroleum market activity of the person who performs the act contrary to the legislation.</w:t>
      </w:r>
    </w:p>
    <w:p w:rsidR="003125EA" w:rsidRPr="00A46836" w:rsidRDefault="003125EA" w:rsidP="00A46836">
      <w:r w:rsidRPr="00A46836">
        <w:t xml:space="preserve"> Article 20 titled "Administrative sanctions" has been changed.  The change made is quite extensive and the final version of the article is as follows.</w:t>
      </w:r>
    </w:p>
    <w:p w:rsidR="003125EA" w:rsidRPr="00A46836" w:rsidRDefault="003125EA" w:rsidP="00A46836">
      <w:r w:rsidRPr="00A46836">
        <w:t xml:space="preserve"> “ARTICLE 20 - Administrative sanctions;  measures include license cancellations and administrative fines.  According to this Law, the implementation of administrative fines, measures and license cancellations does not prevent the implementation of the other provisions of this Law.  Administrative fines imposed pursuant to this Law, measures taken and license cancellations do not prevent transactions to be made pursuant to other laws.</w:t>
      </w:r>
    </w:p>
    <w:p w:rsidR="003125EA" w:rsidRPr="00A46836" w:rsidRDefault="003125EA" w:rsidP="00A46836">
      <w:r w:rsidRPr="00A46836">
        <w:t xml:space="preserve"> According to this Law, administrative sanctions are carried out in the following manner:</w:t>
      </w:r>
    </w:p>
    <w:p w:rsidR="003125EA" w:rsidRPr="004E7F7B" w:rsidRDefault="003125EA" w:rsidP="007B4A7D">
      <w:pPr>
        <w:pStyle w:val="ListeParagraf"/>
        <w:numPr>
          <w:ilvl w:val="0"/>
          <w:numId w:val="24"/>
        </w:numPr>
        <w:rPr>
          <w:rFonts w:ascii="Times New Roman" w:hAnsi="Times New Roman" w:cs="Times New Roman"/>
        </w:rPr>
      </w:pPr>
      <w:r w:rsidRPr="004E7F7B">
        <w:rPr>
          <w:rFonts w:ascii="Times New Roman" w:hAnsi="Times New Roman" w:cs="Times New Roman"/>
        </w:rPr>
        <w:t>In case of violation of this Law, secondary legislation or license provisions and Board decisions about the licensees;  For the acts that have the possibility of correction in terms of the nature determined by the Board, the relevant person is warned by the Institution or the institutions authorized by the Authority to remedy the violation within thirty days, otherwise a temporary suspension may be made.  At the end of the warning period, the relevant market activity of those who continue to be against the legislation is temporarily suspended for sixty days.  In case the act, which has the possibility of correction due to its nature, is repeated within two years from the date of detection, the relevant market activity is temporarily suspended for sixty days without any warning.  During the temporary suspension, no market activities can be carried out, except for the prevention of dangerous action or bad faith or damage to the products and the elimination of the situation that caused the cessation of the activity.  If the detected violations are not resolved at the end of the temporary suspension period, the investigation is initiated by continuing to suspend the activity and the necessary administrative sanctions are applied.  License cancellations are decided according to the result of the investigation to be made by the Authority.  In the event that the situation contrary to the legislation is eliminated after the temporary suspension, the temporary suspension is terminated.</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t>b) In case of violation of this Law, secondary legislation or license provisions, Board decisions, acts that cannot be corrected due to their nature and acts related to fuel smuggling specified in Law No. 5607, a direct administrative investigation is initiated by the Authority and necessary sanctions are applied.  It may be suspended temporarily by the Authority due to the acts of the license holder that cannot be corrected due to the nature of the relevant market activity, resulting in malicious intent or dangerous action.</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lastRenderedPageBreak/>
        <w:t xml:space="preserve"> c) All activities subject to license in any facility, except the refinery, which is determined to have committed smuggling acts specified in Law No.5607, are suspended temporarily by the Authority until the decision that there is no need for prosecution or the court decision is finalized, and within this period, another natural or legal person is also  license is not granted.  According to the final court decision, the license of the license holders is canceled.  No license is granted for the facility subject to the license without paying the administrative fine imposed on the license holder.</w:t>
      </w:r>
    </w:p>
    <w:p w:rsidR="003125EA" w:rsidRPr="004E7F7B" w:rsidRDefault="00A46836" w:rsidP="00A46836">
      <w:pPr>
        <w:ind w:firstLine="720"/>
        <w:rPr>
          <w:rFonts w:ascii="Times New Roman" w:hAnsi="Times New Roman" w:cs="Times New Roman"/>
        </w:rPr>
      </w:pPr>
      <w:r>
        <w:rPr>
          <w:rFonts w:ascii="Times New Roman" w:hAnsi="Times New Roman" w:cs="Times New Roman"/>
        </w:rPr>
        <w:t xml:space="preserve"> ç</w:t>
      </w:r>
      <w:r w:rsidR="003125EA" w:rsidRPr="004E7F7B">
        <w:rPr>
          <w:rFonts w:ascii="Times New Roman" w:hAnsi="Times New Roman" w:cs="Times New Roman"/>
        </w:rPr>
        <w:t>) If the act of smuggling is only related to the national marker level, the temporary suspension decision is made according to the accredited laboratory analysis result.  Administrative measures to prevent smuggled fuel sales are taken by the Authority until the notification of the accredited laboratory analysis result.  In the event that the national marker control result made with the mobile control device is invalid, the sample taken is delivered to the laboratory within five working days at the latest.  The laboratory conducts the analyzes required to be made within fifteen days without changing the specimen properties, and reports the result to the Agency and the concerned parties within three working days at the latest.</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t xml:space="preserve"> d) If it is determined that a licensed activity is performed without obtaining a license, the facilities are sealed and an investigation is initiated against those concerned until the license is obtained or they are made to operate that does not require a license according to this Law.  The procedures and principles regarding sealing are regulated by a regulation issued by the Authority.</w:t>
      </w:r>
    </w:p>
    <w:p w:rsidR="003125EA" w:rsidRPr="004E7F7B" w:rsidRDefault="003125EA" w:rsidP="004E7F7B">
      <w:pPr>
        <w:rPr>
          <w:rFonts w:ascii="Times New Roman" w:hAnsi="Times New Roman" w:cs="Times New Roman"/>
        </w:rPr>
      </w:pPr>
      <w:r w:rsidRPr="004E7F7B">
        <w:rPr>
          <w:rFonts w:ascii="Times New Roman" w:hAnsi="Times New Roman" w:cs="Times New Roman"/>
        </w:rPr>
        <w:t xml:space="preserve"> </w:t>
      </w:r>
      <w:r w:rsidR="00A46836">
        <w:rPr>
          <w:rFonts w:ascii="Times New Roman" w:hAnsi="Times New Roman" w:cs="Times New Roman"/>
        </w:rPr>
        <w:tab/>
      </w:r>
      <w:r w:rsidRPr="004E7F7B">
        <w:rPr>
          <w:rFonts w:ascii="Times New Roman" w:hAnsi="Times New Roman" w:cs="Times New Roman"/>
        </w:rPr>
        <w:t>e) The license shall be canceled if it is determined that there has been fraudulent or fraudulent declaration against the law in the requests or transactions made in accordance with this Law.</w:t>
      </w:r>
    </w:p>
    <w:p w:rsidR="003125EA" w:rsidRPr="004E7F7B" w:rsidRDefault="003125EA" w:rsidP="00A46836">
      <w:pPr>
        <w:ind w:firstLine="720"/>
        <w:rPr>
          <w:rFonts w:ascii="Times New Roman" w:hAnsi="Times New Roman" w:cs="Times New Roman"/>
        </w:rPr>
      </w:pPr>
      <w:r w:rsidRPr="004E7F7B">
        <w:rPr>
          <w:rFonts w:ascii="Times New Roman" w:hAnsi="Times New Roman" w:cs="Times New Roman"/>
        </w:rPr>
        <w:t>f) The license of those who supply illegal products is canceled.  Those who supply products that do not comply with technical regulations are obliged to compensate the damage.  The compensation of the damages and damages caused to the user due to the fuel supply that does not comply with the technical regulations is included in the licenses and contracts of the real and legal persons holding a license.  The procedures and principles regarding the implementation are determined by the regulation.</w:t>
      </w:r>
    </w:p>
    <w:p w:rsidR="003125EA" w:rsidRPr="00A46836" w:rsidRDefault="003125EA" w:rsidP="00A46836">
      <w:r w:rsidRPr="00A46836">
        <w:t xml:space="preserve"> Provisions of Article 203 of the Turkish Penal Code No. 5237, dated 26/9/2004, are applied to the real persons who continue their activities despite sealing and the officials of the legal persons who participate in the commission of the crime. “</w:t>
      </w:r>
    </w:p>
    <w:p w:rsidR="003125EA" w:rsidRPr="00A46836" w:rsidRDefault="003125EA" w:rsidP="00A46836">
      <w:r w:rsidRPr="00A46836">
        <w:t xml:space="preserve"> The following temporary articles have also been added to the law.</w:t>
      </w:r>
    </w:p>
    <w:p w:rsidR="003125EA" w:rsidRPr="00A46836" w:rsidRDefault="003125EA" w:rsidP="00A46836">
      <w:r w:rsidRPr="00A46836">
        <w:t xml:space="preserve"> “PROVISIONAL ARTICLE 6 – For the actions that have not been imposed by the Board before the effective date of this article and have the possibility of correction due to the nature determined by the Board, after the warning specified in sub-clause (a) of the second paragraph of Article 20, administrative investigation is initiated and sanctions are applied if necessary.  .  No administrative action is taken for acts that have the possibility of correction regarding those whose licenses were terminated or canceled before the effective date of this article.</w:t>
      </w:r>
    </w:p>
    <w:p w:rsidR="003125EA" w:rsidRPr="00A46836" w:rsidRDefault="003125EA" w:rsidP="00A46836">
      <w:r w:rsidRPr="00A46836">
        <w:t xml:space="preserve"> Administrative fines that have been decided by the Board as of the effective date of this article, but whose collection has not been completed, shall be collected from the minimum fixed amount determined by the relevant tax office in the relevant sub-paragraphs of Article 19, if a lower administrative fine is stipulated for the act committed with this Law.  Administrative fines collected in whole or in part are not refundable.</w:t>
      </w:r>
    </w:p>
    <w:p w:rsidR="003125EA" w:rsidRPr="00A46836" w:rsidRDefault="003125EA" w:rsidP="00A46836">
      <w:r w:rsidRPr="00A46836">
        <w:lastRenderedPageBreak/>
        <w:t>PROVISIONAL ARTICLE 7 – Item (c) of the second paragraph of Article 20, in the facilities where the right of use has been transferred before 11/4/2013 and the right of use has been transferred and licensed in the name of the transferee, in case of committing smuggling acts specified in the Law numbered 5607, before the specified date  Provided that the holders of real rights transferring the right of use are not suspect, accused or convicted of such acts, and if an application is made to the Authority for a new license within three months from the effective date of this article, it does not apply to the facility in question.  The current temporary suspension state, if any, is lifted only if a new license is issued. “</w:t>
      </w:r>
    </w:p>
    <w:p w:rsidR="00C522EA" w:rsidRPr="004E7F7B" w:rsidRDefault="00C522EA" w:rsidP="004E7F7B">
      <w:pPr>
        <w:pStyle w:val="Balk3"/>
        <w:rPr>
          <w:rFonts w:ascii="Times New Roman" w:hAnsi="Times New Roman" w:cs="Times New Roman"/>
          <w:sz w:val="22"/>
          <w:szCs w:val="22"/>
        </w:rPr>
      </w:pPr>
      <w:bookmarkStart w:id="41" w:name="_Toc48817829"/>
      <w:r w:rsidRPr="004E7F7B">
        <w:rPr>
          <w:rFonts w:ascii="Times New Roman" w:hAnsi="Times New Roman" w:cs="Times New Roman"/>
          <w:sz w:val="22"/>
          <w:szCs w:val="22"/>
        </w:rPr>
        <w:t>2.3.2.Regulations</w:t>
      </w:r>
      <w:bookmarkEnd w:id="41"/>
    </w:p>
    <w:p w:rsidR="003125EA" w:rsidRPr="00A46836" w:rsidRDefault="003125EA" w:rsidP="00A46836">
      <w:r w:rsidRPr="00A46836">
        <w:t>In 2019, the following Regulation studies were carried out in the petroleum market:</w:t>
      </w:r>
    </w:p>
    <w:p w:rsidR="003125EA" w:rsidRPr="00A46836" w:rsidRDefault="003125EA" w:rsidP="00A46836">
      <w:r w:rsidRPr="00A46836">
        <w:t xml:space="preserve"> The Amending Regulation published in the Official Gazette dated 21.06.2019 and numbered 30808 and the Regulation on the Procedures and Principles to be Followed in the Inspections to be Made in the Petroleum Market and Preliminary Investigations and Investigations</w:t>
      </w:r>
    </w:p>
    <w:p w:rsidR="003125EA" w:rsidRPr="00A46836" w:rsidRDefault="003125EA" w:rsidP="00A46836">
      <w:r w:rsidRPr="00A46836">
        <w:t xml:space="preserve"> Clauses were added to come after clauses (d) and (f) of the first clause of the first clause of article 4 titled “Definitions”, and other clauses were sequenced accordingly.  In subparagraph (e) added, a temporary suspension is defined as “If the violation of the legislation is not remedied despite the warning or the action subject to the warning is repeated within 2 years or the actions that require the cessation of the activity are determined, it means the suspension of the activity”, and in the clause (ğ), “  The term “warning” is defined as the notification of the correction or non-repetition of the violation of the legislation, which has the possibility of correction due to its determined nature, to the relevant person.</w:t>
      </w:r>
    </w:p>
    <w:p w:rsidR="003125EA" w:rsidRPr="00A46836" w:rsidRDefault="003125EA" w:rsidP="00A46836">
      <w:r w:rsidRPr="00A46836">
        <w:t xml:space="preserve"> Item (a) of the first paragraph of Article 8 titled “Authorities of the personnel of the auditing institution” has been amended.  With the amendment, the staff of the institution was given the authority to warn and remove the seals that were defined with the change, and non-important word corrections were made in the text.</w:t>
      </w:r>
    </w:p>
    <w:p w:rsidR="003125EA" w:rsidRPr="00A46836" w:rsidRDefault="003125EA" w:rsidP="00A46836">
      <w:r w:rsidRPr="00A46836">
        <w:t xml:space="preserve"> The ninth paragraph of Article 17 titled “Sealing” has been changed.  The amendment is replaced by removing the text “In the event that it is determined that the dealership activities carried out within the scope of the fuel station are in violation of the relevant legislation, the fuel supply at the said station is temporarily stopped by sealing” and replaces “The acts of the license holder that require the cessation of the activity due to the nature of the relevant market activity or cause bad faith or dangerous action.  İt may be suspended temporarily by the Authority or by the institutions authorized by the Authority. ”. </w:t>
      </w:r>
    </w:p>
    <w:p w:rsidR="003125EA" w:rsidRPr="00A46836" w:rsidRDefault="003125EA" w:rsidP="00A46836">
      <w:r w:rsidRPr="00A46836">
        <w:t>The fourth chapter title of the regulation has been changed.  The amendment was made by adding warning and temporary suspension to the section title.  The title of the new section is “Procedures and Principles Regarding Warning, Temporary Suspension, Preliminary Investigation and Investigations”.</w:t>
      </w:r>
    </w:p>
    <w:p w:rsidR="003125EA" w:rsidRPr="00A46836" w:rsidRDefault="003125EA" w:rsidP="00A46836">
      <w:r w:rsidRPr="00A46836">
        <w:t xml:space="preserve"> Article 19 titled “Preliminary Research and Investigation” has been changed together with its title.  The new heading is “warning, temporary suspension and license cancellation”.  The amendment made in the article is about the introduction of a warning mechanism for the acts that can be corrected and how the procedure for the temporary suspension will be.</w:t>
      </w:r>
    </w:p>
    <w:p w:rsidR="003125EA" w:rsidRPr="00A46836" w:rsidRDefault="003125EA" w:rsidP="00A46836">
      <w:r w:rsidRPr="00A46836">
        <w:t xml:space="preserve"> Article 19 / A titled “Preliminary investigation and investigation” has been added to the regulation.  Article text “(1) The Board, ex officio or upon the notices or complaints submitted to it, acting against the Law of real or legal persons operating in the petroleum market, the provisions on fuel smuggling </w:t>
      </w:r>
      <w:r w:rsidRPr="00A46836">
        <w:lastRenderedPageBreak/>
        <w:t>specified in the Anti-Smuggling Law No.5607, secondary legislation, license provisions, Board decisions.  Or to conduct a preliminary investigation to determine whether a direct investigation or an investigation is required for the person concerned due to the actions that cannot be corrected in terms of their nature and the actions and transactions that have not been corrected despite the temporary suspension made within the scope of the article 19.  The Board may delegate its powers regarding preliminary investigation or investigation to the Presidency or the Department.</w:t>
      </w:r>
    </w:p>
    <w:p w:rsidR="003125EA" w:rsidRPr="00A46836" w:rsidRDefault="003125EA" w:rsidP="00A46836">
      <w:r w:rsidRPr="00A46836">
        <w:t xml:space="preserve"> (2) If it is decided to conduct a preliminary research, the preliminary research is carried out by the Experts and / or Assistant Experts assigned by the Head of Department or by the Management Services Experts under the coordination of the Expert, under the coordination of the Department.  When necessary, a preliminary research can be conducted through the Head of Department or Group Head.  In case of need, Experts and / or Assistant Experts and Management Services Experts may be appointed from other service units of the Agency with the approval of the President.  If necessary, the Head of Department may request a written opinion from the relevant service units.</w:t>
      </w:r>
    </w:p>
    <w:p w:rsidR="003125EA" w:rsidRPr="00A46836" w:rsidRDefault="003125EA" w:rsidP="00A46836">
      <w:r w:rsidRPr="00A46836">
        <w:t xml:space="preserve"> (3) The personnel of the Institution assigned to conduct preliminary research submits the preliminary research report containing the information, evidence and opinions on the subject within thirty days at the latest from the date of their assignment. “ </w:t>
      </w:r>
    </w:p>
    <w:p w:rsidR="003125EA" w:rsidRPr="00A46836" w:rsidRDefault="003125EA" w:rsidP="00A46836">
      <w:r w:rsidRPr="00A46836">
        <w:t>The title of Article 21 titled “Starting an investigation, notification and temporary suspension” has been changed and the third, fourth and fifth paragraphs have been repealed.  The new article title is “Starting an investigation”.  The repealed clauses are also related to the abolished notice and temporary suspension regulations.</w:t>
      </w:r>
    </w:p>
    <w:p w:rsidR="003125EA" w:rsidRPr="00A46836" w:rsidRDefault="003125EA" w:rsidP="00A46836">
      <w:r w:rsidRPr="00A46836">
        <w:t xml:space="preserve"> The third paragraph of Article 24 titled “Board Decision” has been repealed.  The abolished clause “Administrative fines are decided by the Board within three months at the latest after the preliminary investigation or investigation phase is completed.”  It is editing.</w:t>
      </w:r>
    </w:p>
    <w:p w:rsidR="003125EA" w:rsidRPr="00A46836" w:rsidRDefault="003125EA" w:rsidP="00A46836">
      <w:r w:rsidRPr="00A46836">
        <w:t xml:space="preserve"> Article 25 titled “Starting an investigation directly in writing” has been repealed.</w:t>
      </w:r>
    </w:p>
    <w:p w:rsidR="003125EA" w:rsidRPr="00A46836" w:rsidRDefault="003125EA" w:rsidP="00A46836">
      <w:r w:rsidRPr="00A46836">
        <w:t xml:space="preserve"> The second and fourth paragraphs of Article 27 with the title “notification of decisions and collection of fines” have been amended.  The amendment made in the second paragraph is about simplification in the text of the paragraph.  The amendment made in the fourth paragraph is that resorting to legal action against administrative fines imposed within the scope of the Law will not exclude the issuance of a bank letter of guarantee regarding administrative fines to the relevant tax office.</w:t>
      </w:r>
    </w:p>
    <w:p w:rsidR="003125EA" w:rsidRPr="00A46836" w:rsidRDefault="003125EA" w:rsidP="00A46836">
      <w:r w:rsidRPr="00A46836">
        <w:t xml:space="preserve"> Article 29 titled “Notice” has been changed.  It is related to the fact that the notification to the companies whose license of change is in force will be made primarily electronically to the address that the company has notified to the Authority in case the electronic notification cannot be made.  The notification to be made to persons who do not have a license, whose license has been terminated or canceled, will be made within the framework of the provisions of the Notification Law No. 7201.  However, it is also provided that the notifications to be announced will be published in the Official Gazette.</w:t>
      </w:r>
    </w:p>
    <w:p w:rsidR="003125EA" w:rsidRPr="00A46836" w:rsidRDefault="003125EA" w:rsidP="00A46836">
      <w:r w:rsidRPr="00A46836">
        <w:t xml:space="preserve"> Annex-6 titled “Warning Report” has been added to the Regulation.</w:t>
      </w:r>
    </w:p>
    <w:p w:rsidR="003125EA" w:rsidRPr="00A46836" w:rsidRDefault="003125EA" w:rsidP="00A46836">
      <w:r w:rsidRPr="00A46836">
        <w:t>The Amendment Regulation published in the Official Gazette dated 09.07.2019 and numbered 30826 and the Petroleum Market Licensing Regulation;</w:t>
      </w:r>
    </w:p>
    <w:p w:rsidR="003125EA" w:rsidRPr="00A46836" w:rsidRDefault="003125EA" w:rsidP="00A46836">
      <w:r w:rsidRPr="00A46836">
        <w:lastRenderedPageBreak/>
        <w:t xml:space="preserve"> Clauses (29), (30), (31) and (34) of Article 4 titled "Definitions" have been changed.  The definition of national marker in 29th clause is “Fuel oil;  Refers to the chemical product that will be added to the ethanol to be blended into the fuel or gasoline types that are in compliance with the technical regulations from the smuggled fuel produced or liquidated as a by-product in the industry or in other ways at the refinery exit, at the customs entrance, and which will not affect the properties of the fuel. "  shaped expanded.  The definition of production in subparagraph 30 "means production drilling and development activities, extraction of oil, pre-processing, storage in or around the field, transportation to these depots, transmission line or refinery by pipeline and other means."  It has been changed.  Located in paragraph 31 hereof manufacturer dated 05.30.2013 and numbered 6491 in Turkey under Turkish Petroleum Law has been defined as a legal entity engaged in oil production.  The dealership organization in the 34th clause is removed by removing the numerical restriction and "means the structure consisting of the minimum number of dealers required for the continuation of the distribution activity."  It was defined as.</w:t>
      </w:r>
    </w:p>
    <w:p w:rsidR="003125EA" w:rsidRPr="00A46836" w:rsidRDefault="003125EA" w:rsidP="00A46836">
      <w:r w:rsidRPr="00A46836">
        <w:t xml:space="preserve"> A paragraph has been added to the end of the 5th article titled "License".  The attached paragraph "License holders are obliged to provide and protect the minimum paid-in capital amount specified in the clause (a) of the seventh paragraph of Article 7 of this Regulation."  It shaped.</w:t>
      </w:r>
    </w:p>
    <w:p w:rsidR="003125EA" w:rsidRPr="00A46836" w:rsidRDefault="003125EA" w:rsidP="00A46836">
      <w:r w:rsidRPr="00A46836">
        <w:t xml:space="preserve"> Clauses (a), (b) and (g) of the seventh paragraph of the article 7 titled "license application" and the eighth paragraph have been amended.  the amendment made in (a);  It is about changing the minimum paid-in capital amount for companies wishing to obtain refinery, transmission, storage, processing, distributor and bunker delivery license.  The amendment made in clause (b) relates that the 50% production competency score required for the mineral oil license application should be 55% for the base oil production activity from waste mineral oil.  (These changes will come into force as of 01.07.2020.) The amendment made in paragraph (g) is stated in the text of the subparagraph: “In this context, ten percent and above in applications for distributors and bunker delivery licenses, legal entities and legal entities (five percent or more in public companies)  direct or indirect shareholder ”and the final version of the text is“ Distributor and bunker delivery license holders have sufficient technical and economic power to be determined by the Board ”.  The amendment made in the eighth paragraph consists of removing the maritime-railway separation and making a regulation as "Owning the ownership of at least one transport vehicle in the transport license applications or acquiring it through financial leasing or having a lease or service agreement made with the relevant parties regarding the transport vehicle."</w:t>
      </w:r>
    </w:p>
    <w:p w:rsidR="003125EA" w:rsidRPr="00A46836" w:rsidRDefault="003125EA" w:rsidP="00A46836">
      <w:r w:rsidRPr="00A46836">
        <w:t>The phrase “in writing” in the first paragraph of Article 8 titled “Examination and evaluation of license applications” has been removed due to the electronic license application and examination and evaluation.</w:t>
      </w:r>
    </w:p>
    <w:p w:rsidR="003125EA" w:rsidRPr="00A46836" w:rsidRDefault="003125EA" w:rsidP="00A46836">
      <w:r w:rsidRPr="00A46836">
        <w:t xml:space="preserve"> The phrases “in writing” in the second and third paragraphs of Article 10 titled “Conclusion of the examination and evaluation” have been removed since it becomes possible to apply for a license in electronic environment and to make a review and evaluation.  In addition, the phrase “owner natural or legal person” in the third paragraph of the same article has been changed to “owner”.  The change is related to simplification.</w:t>
      </w:r>
    </w:p>
    <w:p w:rsidR="003125EA" w:rsidRPr="00A46836" w:rsidRDefault="003125EA" w:rsidP="00A46836">
      <w:r w:rsidRPr="00A46836">
        <w:t xml:space="preserve"> The first paragraph of Article 17 titled “Expiration and cancellation of licenses” has been changed.  To make the text of the amendment more understandable, to seek finalization of the bankruptcy decision instead of giving a bankruptcy decision at the end of the license, for the dealership licenses, the termination of the dealership agreement for any reason or the cancellation or termination of the </w:t>
      </w:r>
      <w:r w:rsidRPr="00A46836">
        <w:lastRenderedPageBreak/>
        <w:t>distributor license of the distribution company registered in the license.  Made or if a new dealership agreement is not submitted to the Authority.  The phrase “two months” in the text has been replaced by the phrase “sixty days”.  In addition, a new clause has been added to the article and it has been stipulated that “if the distributor license holders cannot establish or maintain the dealership organization determined by article 34 / A of this Regulation in time” the license will be terminated.</w:t>
      </w:r>
    </w:p>
    <w:p w:rsidR="003125EA" w:rsidRPr="00A46836" w:rsidRDefault="003125EA" w:rsidP="00A46836">
      <w:r w:rsidRPr="00A46836">
        <w:t xml:space="preserve"> The phrase “two months” in the fourth paragraph of Article 18 titled “Fundamental rights and obligations of the license holders” has been changed to “sixty days” and the twelfth paragraph “License holders are defined in the Electronic Notification Regulation published in the Official Gazette dated 6/12/2018 and numbered 30617.  İs obliged to obtain an electronic notification address belonging to their name and to maintain its validity. “  It has been changed.  (The amended twelfth clause is in effect as of 01.01.2020.)</w:t>
      </w:r>
    </w:p>
    <w:p w:rsidR="003125EA" w:rsidRPr="00A46836" w:rsidRDefault="003125EA" w:rsidP="00A46836">
      <w:r w:rsidRPr="00A46836">
        <w:t xml:space="preserve"> A clause has been added to the first paragraph of Article 20 titled “Liabilities of refinery license holders”.  In addition to the obligations of refinery license holders with the added paragraph, the obligation to comply with the procedures and principles determined by the Board has been imposed, taking into account the crude oil processing capacities in domestic crude oil purchases.</w:t>
      </w:r>
    </w:p>
    <w:p w:rsidR="003125EA" w:rsidRPr="00A46836" w:rsidRDefault="003125EA" w:rsidP="00A46836">
      <w:r w:rsidRPr="00A46836">
        <w:t xml:space="preserve"> Article 24 titled “Obligations of mineral oil license holders” has been extensively amended.  With the amendment made, “Mineral oil license holders are obliged to comply with standards and technical regulations in production and import.”  Instead of removing the phrase “Mineral oil license holders;</w:t>
      </w:r>
    </w:p>
    <w:p w:rsidR="003125EA" w:rsidRPr="00A46836" w:rsidRDefault="003125EA" w:rsidP="00A46836">
      <w:r w:rsidRPr="00A46836">
        <w:t xml:space="preserve"> a) To comply with standards and technical regulations in mineral oil production and import,</w:t>
      </w:r>
    </w:p>
    <w:p w:rsidR="003125EA" w:rsidRPr="00A46836" w:rsidRDefault="003125EA" w:rsidP="00A46836">
      <w:r w:rsidRPr="00A46836">
        <w:t xml:space="preserve"> b) Not producing products that are not included in the capacity report,</w:t>
      </w:r>
    </w:p>
    <w:p w:rsidR="003125EA" w:rsidRPr="00A46836" w:rsidRDefault="003125EA" w:rsidP="00A46836">
      <w:r w:rsidRPr="00A46836">
        <w:t xml:space="preserve"> c) Not using products that are not included in the capacity report in production,</w:t>
      </w:r>
    </w:p>
    <w:p w:rsidR="003125EA" w:rsidRPr="00A46836" w:rsidRDefault="003125EA" w:rsidP="00A46836">
      <w:r w:rsidRPr="00A46836">
        <w:t xml:space="preserve"> ç) In facilities producing base oil from waste mineral oil, it is obliged to have TSE Service Qualification Certificate showing that it complies with the TS 13541 Workplaces – Rules for Waste Oil Refining and Regeneration Facilities.</w:t>
      </w:r>
    </w:p>
    <w:p w:rsidR="003125EA" w:rsidRPr="00A46836" w:rsidRDefault="003125EA" w:rsidP="00A46836">
      <w:r w:rsidRPr="00A46836">
        <w:t>Article 30 titled “Obligations of the free user license holder” has been repealed.</w:t>
      </w:r>
    </w:p>
    <w:p w:rsidR="003125EA" w:rsidRPr="00A46836" w:rsidRDefault="003125EA" w:rsidP="00A46836">
      <w:r w:rsidRPr="00A46836">
        <w:t xml:space="preserve"> The first paragraph of Article 31 titled “Activities that can be carried out under the bunker delivery license” has been amended.  After the amendment made, the text of the article “Bunker delivery license holders are in the market;</w:t>
      </w:r>
    </w:p>
    <w:p w:rsidR="003125EA" w:rsidRPr="004E7F7B" w:rsidRDefault="003125EA" w:rsidP="007B4A7D">
      <w:pPr>
        <w:pStyle w:val="ListeParagraf"/>
        <w:numPr>
          <w:ilvl w:val="0"/>
          <w:numId w:val="25"/>
        </w:numPr>
        <w:rPr>
          <w:rFonts w:ascii="Times New Roman" w:hAnsi="Times New Roman" w:cs="Times New Roman"/>
        </w:rPr>
      </w:pPr>
      <w:r w:rsidRPr="004E7F7B">
        <w:rPr>
          <w:rFonts w:ascii="Times New Roman" w:hAnsi="Times New Roman" w:cs="Times New Roman"/>
        </w:rPr>
        <w:t>Supplying the export from refinery, distributor and other bunker delivery license holders or from abroad, and the supply of the export subject to transit regime or free circulation to sea or aircraft and the supply to other legal entities holding bunker delivery license,</w:t>
      </w:r>
    </w:p>
    <w:p w:rsidR="003125EA" w:rsidRPr="004E7F7B" w:rsidRDefault="003125EA" w:rsidP="007B4A7D">
      <w:pPr>
        <w:pStyle w:val="ListeParagraf"/>
        <w:numPr>
          <w:ilvl w:val="0"/>
          <w:numId w:val="25"/>
        </w:numPr>
        <w:rPr>
          <w:rFonts w:ascii="Times New Roman" w:hAnsi="Times New Roman" w:cs="Times New Roman"/>
        </w:rPr>
      </w:pPr>
      <w:r w:rsidRPr="004E7F7B">
        <w:rPr>
          <w:rFonts w:ascii="Times New Roman" w:hAnsi="Times New Roman" w:cs="Times New Roman"/>
        </w:rPr>
        <w:t>Mixing of the products with each other in the preparation of marine fuels within the scope of transit regime bunker provided that it is limited to the warehouse area, provided that the final product is marine fuel,</w:t>
      </w:r>
    </w:p>
    <w:p w:rsidR="003125EA" w:rsidRPr="004E7F7B" w:rsidRDefault="003125EA" w:rsidP="007B4A7D">
      <w:pPr>
        <w:pStyle w:val="ListeParagraf"/>
        <w:numPr>
          <w:ilvl w:val="0"/>
          <w:numId w:val="25"/>
        </w:numPr>
        <w:rPr>
          <w:rFonts w:ascii="Times New Roman" w:hAnsi="Times New Roman" w:cs="Times New Roman"/>
        </w:rPr>
      </w:pPr>
      <w:r w:rsidRPr="004E7F7B">
        <w:rPr>
          <w:rFonts w:ascii="Times New Roman" w:hAnsi="Times New Roman" w:cs="Times New Roman"/>
        </w:rPr>
        <w:t>Operation of bunker delivery facility,</w:t>
      </w:r>
    </w:p>
    <w:p w:rsidR="003125EA" w:rsidRPr="00A46836" w:rsidRDefault="003125EA" w:rsidP="00A46836">
      <w:r w:rsidRPr="00A46836">
        <w:t xml:space="preserve"> Can engage with. “  has taken its shape.  Clause (b), which was not included in the article before, has been added as above.</w:t>
      </w:r>
    </w:p>
    <w:p w:rsidR="003125EA" w:rsidRPr="00A46836" w:rsidRDefault="003125EA" w:rsidP="00A46836">
      <w:r w:rsidRPr="00A46836">
        <w:lastRenderedPageBreak/>
        <w:t xml:space="preserve"> Clause (a) of the first paragraph of Article 32 titled “Obligations of bunker delivery license holders” has been repealed.  With the abolished regulation, bunker delivery license holders are no longer obliged to “not change the bunker types, purpose, quality and quantity, except for fuel oil refining, for bunker purposes”.</w:t>
      </w:r>
    </w:p>
    <w:p w:rsidR="003125EA" w:rsidRPr="00A46836" w:rsidRDefault="003125EA" w:rsidP="00A46836">
      <w:r w:rsidRPr="00A46836">
        <w:t xml:space="preserve"> Clauses (c) and (l) of the first clause of article 34 titled “Rights and obligations of distributor license holders” have been amended, clauses (h) and (r) have been repealed.  With the amended clause (c), the text “Adding a national marker to the fuel to be marketed domestically, with the conditions and characteristics to be determined by the Authority” has been abolished instead of “c) The imported fuel, at the customs entrance, as a by-product in the industry, or from smuggled fuel produced in other ways or liquidated smuggled fuel conforming to the technical regulations.  Or by adding a national marker to the ethanol to be blended with gasoline types with the conditions and characteristics to be determined by the Authority before it is subject to commercial activity, ”text has been added.  With the amended clause (l), the text “Not exceeding 15% of its own domestic market share in its sales made under the category of dealership licenses with stations under its own trade name” has been removed instead of “l) Sales made through the stations it operates under the dealership license are  market share of not more than fifteen percent, ”text has been added.  Clause (h), which has been abolished, is in the form of “If the fuel is requested to be obtained from another distributor, applying for a Fuel Supply Permit”.  The abolished clause (r) is as “Establishment of a dealership organization within 6 months at the latest from the effective date of the license”.</w:t>
      </w:r>
    </w:p>
    <w:p w:rsidR="003125EA" w:rsidRPr="00A46836" w:rsidRDefault="003125EA" w:rsidP="00A46836">
      <w:r w:rsidRPr="00A46836">
        <w:t>Article 34 / A titled “Establishing a Dealership Organization” has been added to the Regulation.  The added article states, “Distributor license holders constitute the dealership organization that has dealers with at least ten stations within three months, at least twenty-five within six months, and at leas</w:t>
      </w:r>
      <w:r w:rsidR="004E7F7B" w:rsidRPr="00A46836">
        <w:t>t fifty stations within a year.</w:t>
      </w:r>
    </w:p>
    <w:p w:rsidR="003125EA" w:rsidRPr="00A46836" w:rsidRDefault="003125EA" w:rsidP="00A46836">
      <w:r w:rsidRPr="00A46836">
        <w:t xml:space="preserve"> Distributor license holders are obliged to protect the dealership organization.  If the number of dealers with stations within the scope of the dealership organization falls below the numbers included in this article, the distributor license holder must reach the requ</w:t>
      </w:r>
      <w:r w:rsidR="004E7F7B" w:rsidRPr="00A46836">
        <w:t>ired number within thirty days.</w:t>
      </w:r>
    </w:p>
    <w:p w:rsidR="003125EA" w:rsidRPr="00A46836" w:rsidRDefault="003125EA" w:rsidP="00A46836">
      <w:r w:rsidRPr="00A46836">
        <w:t xml:space="preserve"> In order for the national marker requests of the distributor license holders to be evaluated, s</w:t>
      </w:r>
      <w:r w:rsidR="004E7F7B" w:rsidRPr="00A46836">
        <w:t>tarting from the licensee date;</w:t>
      </w:r>
    </w:p>
    <w:p w:rsidR="003125EA" w:rsidRPr="004E7F7B" w:rsidRDefault="003125EA" w:rsidP="007B4A7D">
      <w:pPr>
        <w:pStyle w:val="ListeParagraf"/>
        <w:numPr>
          <w:ilvl w:val="0"/>
          <w:numId w:val="26"/>
        </w:numPr>
        <w:rPr>
          <w:rFonts w:ascii="Times New Roman" w:hAnsi="Times New Roman" w:cs="Times New Roman"/>
        </w:rPr>
      </w:pPr>
      <w:r w:rsidRPr="004E7F7B">
        <w:rPr>
          <w:rFonts w:ascii="Times New Roman" w:hAnsi="Times New Roman" w:cs="Times New Roman"/>
        </w:rPr>
        <w:t>At least ten in the first six months,</w:t>
      </w:r>
    </w:p>
    <w:p w:rsidR="003125EA" w:rsidRPr="004E7F7B" w:rsidRDefault="003125EA" w:rsidP="007B4A7D">
      <w:pPr>
        <w:pStyle w:val="ListeParagraf"/>
        <w:numPr>
          <w:ilvl w:val="0"/>
          <w:numId w:val="26"/>
        </w:numPr>
        <w:rPr>
          <w:rFonts w:ascii="Times New Roman" w:hAnsi="Times New Roman" w:cs="Times New Roman"/>
        </w:rPr>
      </w:pPr>
      <w:r w:rsidRPr="004E7F7B">
        <w:rPr>
          <w:rFonts w:ascii="Times New Roman" w:hAnsi="Times New Roman" w:cs="Times New Roman"/>
        </w:rPr>
        <w:t>At least twenty-five from the seventh month to the end of the first year,</w:t>
      </w:r>
    </w:p>
    <w:p w:rsidR="003125EA" w:rsidRPr="004E7F7B" w:rsidRDefault="003125EA" w:rsidP="007B4A7D">
      <w:pPr>
        <w:pStyle w:val="ListeParagraf"/>
        <w:numPr>
          <w:ilvl w:val="0"/>
          <w:numId w:val="26"/>
        </w:numPr>
        <w:rPr>
          <w:rFonts w:ascii="Times New Roman" w:hAnsi="Times New Roman" w:cs="Times New Roman"/>
        </w:rPr>
      </w:pPr>
      <w:r w:rsidRPr="004E7F7B">
        <w:rPr>
          <w:rFonts w:ascii="Times New Roman" w:hAnsi="Times New Roman" w:cs="Times New Roman"/>
        </w:rPr>
        <w:t>At least fifty after the first year,</w:t>
      </w:r>
    </w:p>
    <w:p w:rsidR="003125EA" w:rsidRPr="00A46836" w:rsidRDefault="003125EA" w:rsidP="00A46836">
      <w:r w:rsidRPr="00A46836">
        <w:t xml:space="preserve"> It must have a dealership organization consisting of dealers with stations.  Persons holding a distributor license on the effective date of this clause are deemed to have received a new license as of the effective date of the clause, within the scope of evaluating their national marker deman</w:t>
      </w:r>
      <w:r w:rsidR="004E7F7B" w:rsidRPr="00A46836">
        <w:t>ds. “  It shaped.</w:t>
      </w:r>
    </w:p>
    <w:p w:rsidR="003125EA" w:rsidRPr="00A46836" w:rsidRDefault="003125EA" w:rsidP="00A46836">
      <w:r w:rsidRPr="00A46836">
        <w:t xml:space="preserve"> The following temporary articles have als</w:t>
      </w:r>
      <w:r w:rsidR="004E7F7B" w:rsidRPr="00A46836">
        <w:t>o been added to the regulation.</w:t>
      </w:r>
    </w:p>
    <w:p w:rsidR="003125EA" w:rsidRPr="00A46836" w:rsidRDefault="003125EA" w:rsidP="00A46836">
      <w:r w:rsidRPr="00A46836">
        <w:t xml:space="preserve"> “PROVISIONAL ARTICLE 24 – Persons who have a distributor license on the date of entry into force of this article are obliged to establish the dealership organization specified in the first paragraph of Article 34 / A within the periods specified in</w:t>
      </w:r>
      <w:r w:rsidR="004E7F7B" w:rsidRPr="00A46836">
        <w:t xml:space="preserve"> the paragraph, as of 1/1/2020.</w:t>
      </w:r>
    </w:p>
    <w:p w:rsidR="003125EA" w:rsidRPr="00A46836" w:rsidRDefault="003125EA" w:rsidP="00A46836">
      <w:r w:rsidRPr="00A46836">
        <w:lastRenderedPageBreak/>
        <w:t xml:space="preserve"> PROVISIONAL ARTICLE 25 – As of the effective date of this article, dealership license is not granted in the non-stationary dealer category, and the time extension requests of the licenses in effect ar</w:t>
      </w:r>
      <w:r w:rsidR="004E7F7B" w:rsidRPr="00A46836">
        <w:t>e not taken into consideration.</w:t>
      </w:r>
    </w:p>
    <w:p w:rsidR="003125EA" w:rsidRPr="00A46836" w:rsidRDefault="003125EA" w:rsidP="00A46836">
      <w:r w:rsidRPr="00A46836">
        <w:t xml:space="preserve"> PROVISIONAL ARTICLE 26 – Persons holding a mineral oil license, engaged in production of base oil from waste mineral oil on the date of entry into force of this article, are obliged to submit a capacity report with a production competency score of at least 55% until 1/1/2020.</w:t>
      </w:r>
    </w:p>
    <w:p w:rsidR="00C1281E" w:rsidRPr="004E7F7B" w:rsidRDefault="00C1281E" w:rsidP="00C1281E">
      <w:pPr>
        <w:pStyle w:val="Balk3"/>
      </w:pPr>
      <w:bookmarkStart w:id="42" w:name="_Toc48817830"/>
      <w:r w:rsidRPr="004E7F7B">
        <w:t>2.3.3. Communiqués</w:t>
      </w:r>
      <w:bookmarkEnd w:id="42"/>
    </w:p>
    <w:p w:rsidR="003125EA" w:rsidRPr="00A46836" w:rsidRDefault="003125EA" w:rsidP="00A46836">
      <w:r w:rsidRPr="00A46836">
        <w:t xml:space="preserve"> The following Communiqué studies were carried out in the petroleum market in 2019:</w:t>
      </w:r>
    </w:p>
    <w:p w:rsidR="003125EA" w:rsidRPr="00A46836" w:rsidRDefault="003125EA" w:rsidP="00A46836">
      <w:r w:rsidRPr="00A46836">
        <w:t xml:space="preserve"> With the Communiqué Amending the Communiqué on Blending Biodiesel into Diesel Types published in the Official Gazette dated 29.3.2019 and numbered 30729, the transfer of the blending obligation has been made possible.</w:t>
      </w:r>
    </w:p>
    <w:p w:rsidR="003125EA" w:rsidRPr="00A46836" w:rsidRDefault="003125EA" w:rsidP="00A46836">
      <w:r w:rsidRPr="00A46836">
        <w:t xml:space="preserve"> The Communiqué on the Amendment of the Communiqué on Packaging and Launching of Mineral Oils published in the Official Gazette dated 21.6.2019 and numbered 30808 entered into force on the date of its publication.</w:t>
      </w:r>
    </w:p>
    <w:p w:rsidR="003125EA" w:rsidRPr="00A46836" w:rsidRDefault="003125EA" w:rsidP="00A46836">
      <w:r w:rsidRPr="00A46836">
        <w:t xml:space="preserve"> The Communiqué on Fines to be Applied in 2020 in accordance with Article 19 of the Petroleum Market Law No. 5015, published in the Official Gazette dated 31.12.2019 and numbered 30995 (4th Repeating), entered into force as of 01.01.2020.</w:t>
      </w:r>
    </w:p>
    <w:p w:rsidR="003125EA" w:rsidRPr="00A46836" w:rsidRDefault="003125EA" w:rsidP="00A46836">
      <w:r w:rsidRPr="00A46836">
        <w:t xml:space="preserve"> Annex 1 of the Communiqué on Procedures and Principles Regarding the Procurement of Non-Fuel Petroleum Products from Domestic and Foreign Sources published in the Official Gazette dated 27.12.2019 and numbered 30991 has been amended.</w:t>
      </w:r>
    </w:p>
    <w:p w:rsidR="00FE7FEB" w:rsidRPr="004E7F7B" w:rsidRDefault="00C522EA" w:rsidP="004E7F7B">
      <w:pPr>
        <w:rPr>
          <w:rFonts w:ascii="Times New Roman" w:hAnsi="Times New Roman" w:cs="Times New Roman"/>
          <w:b/>
        </w:rPr>
      </w:pPr>
      <w:r w:rsidRPr="004E7F7B">
        <w:rPr>
          <w:rFonts w:ascii="Times New Roman" w:hAnsi="Times New Roman" w:cs="Times New Roman"/>
          <w:b/>
        </w:rPr>
        <w:t>2.3.3. Communiqués</w:t>
      </w:r>
    </w:p>
    <w:p w:rsidR="00FE7FEB" w:rsidRPr="00A46836" w:rsidRDefault="00C522EA" w:rsidP="00A46836">
      <w:r w:rsidRPr="00A46836">
        <w:t>I</w:t>
      </w:r>
      <w:r w:rsidR="003125EA" w:rsidRPr="00A46836">
        <w:t>n 2019</w:t>
      </w:r>
      <w:r w:rsidRPr="00A46836">
        <w:t xml:space="preserve">, the following communiqué </w:t>
      </w:r>
      <w:r w:rsidR="00FC3AAF" w:rsidRPr="00A46836">
        <w:t>studies were carried out in the petroleum</w:t>
      </w:r>
      <w:r w:rsidRPr="00A46836">
        <w:t xml:space="preserve"> market:</w:t>
      </w:r>
    </w:p>
    <w:p w:rsidR="00FC3AAF" w:rsidRPr="00A46836" w:rsidRDefault="00FC3AAF" w:rsidP="007B4A7D">
      <w:pPr>
        <w:pStyle w:val="ListeParagraf"/>
        <w:numPr>
          <w:ilvl w:val="0"/>
          <w:numId w:val="28"/>
        </w:numPr>
      </w:pPr>
      <w:r w:rsidRPr="00A46836">
        <w:t>Pursuant to Article 19 of the Petroleum Market Law No. 5015 published in the Official Gazette dated 21.12.2018 and numbered 30632, the Communiqué on Fines to be Applied in 2019 entered into force as of 01.01.2019.</w:t>
      </w:r>
    </w:p>
    <w:p w:rsidR="00FC3AAF" w:rsidRPr="00A46836" w:rsidRDefault="00FC3AAF" w:rsidP="00A46836">
      <w:pPr>
        <w:rPr>
          <w:b/>
        </w:rPr>
      </w:pPr>
      <w:r w:rsidRPr="00A46836">
        <w:t>The Communiqué on the Amendment to the Communiqué on the Biodiesel Blending of Diesel Fuel Types published in the Official Gazette dated 20.12.2018 and numbered 30631 entered into force on the date of publication.</w:t>
      </w:r>
    </w:p>
    <w:p w:rsidR="00FE7FEB" w:rsidRPr="004E7F7B" w:rsidRDefault="00C522EA" w:rsidP="004E7F7B">
      <w:pPr>
        <w:pStyle w:val="Balk3"/>
        <w:rPr>
          <w:rFonts w:ascii="Times New Roman" w:hAnsi="Times New Roman" w:cs="Times New Roman"/>
          <w:sz w:val="22"/>
          <w:szCs w:val="22"/>
        </w:rPr>
      </w:pPr>
      <w:bookmarkStart w:id="43" w:name="_Toc48817831"/>
      <w:r w:rsidRPr="004E7F7B">
        <w:rPr>
          <w:rFonts w:ascii="Times New Roman" w:hAnsi="Times New Roman" w:cs="Times New Roman"/>
          <w:sz w:val="22"/>
          <w:szCs w:val="22"/>
        </w:rPr>
        <w:t>2.3.4. Board Decisions</w:t>
      </w:r>
      <w:bookmarkEnd w:id="43"/>
    </w:p>
    <w:p w:rsidR="003125EA" w:rsidRPr="00A46836" w:rsidRDefault="003125EA" w:rsidP="00A46836">
      <w:r w:rsidRPr="00A46836">
        <w:t>In 2019, the following Board Decisions were issued as a regulatory act in the petroleum market:</w:t>
      </w:r>
    </w:p>
    <w:p w:rsidR="003125EA" w:rsidRPr="00A46836" w:rsidRDefault="003125EA" w:rsidP="00A46836">
      <w:r w:rsidRPr="00A46836">
        <w:t xml:space="preserve"> With the Board Decision dated 16.05.2019 and numbered 8589, published in the Official Gazette dated 21.05.2019 and numbered 30780, the “Automation System Guide”, which is the annex of the Decision on the Procedures and Principles Regarding the Dealer Control System of the Distributor License Holders in the Petroleum Market, dated 27.06.2007 and numbered 1240, was amended.</w:t>
      </w:r>
    </w:p>
    <w:p w:rsidR="003125EA" w:rsidRPr="00A46836" w:rsidRDefault="003125EA" w:rsidP="00A46836">
      <w:r w:rsidRPr="00A46836">
        <w:t xml:space="preserve"> With the Board Decision dated 30.05.2019 and numbered 8634, published in the Official Gazette dated 01.06.2019 and numbered 30791, and the Decision on Fuel Trade Between Distributors dated 14.03.2018 and numbered 7742</w:t>
      </w:r>
    </w:p>
    <w:p w:rsidR="003125EA" w:rsidRPr="00A46836" w:rsidRDefault="003125EA" w:rsidP="00A46836">
      <w:r w:rsidRPr="00A46836">
        <w:lastRenderedPageBreak/>
        <w:t xml:space="preserve"> According to Article 5 titled “Limitations”, “The total amount of delivery that can be made by the permit holder within the scope of the fuel trade between distributors within an operating period cannot be more than the total amount of fuel that the permit holder has obtained from the refinery and / or import within the same period.”  In addition to the administrative sanction to be applied in accordance with the relevant articles of the Petroleum Market Law No. 5015, the permit holder who is determined to not comply with the restriction in the third paragraph of this article is not allowed for the next period, if any, the current permit is terminated by the Board.  The fourth paragraph has been added as.</w:t>
      </w:r>
    </w:p>
    <w:p w:rsidR="003125EA" w:rsidRPr="00A46836" w:rsidRDefault="003125EA" w:rsidP="00A46836">
      <w:r w:rsidRPr="00A46836">
        <w:t xml:space="preserve"> At the same time, the decision shall be taken as basis for the evaluation of the restriction in the third paragraph of Article 5 of this Decision for the activity period between 01 April 2019 – 31 March 2020.  Temporary article 3 has been added as.</w:t>
      </w:r>
    </w:p>
    <w:p w:rsidR="003125EA" w:rsidRPr="00A46836" w:rsidRDefault="003125EA" w:rsidP="00A46836">
      <w:r w:rsidRPr="00A46836">
        <w:t xml:space="preserve"> With the Board Decision dated 20.06.2019 and numbered 8663, published in the Official Gazette dated 26.06.2019 and numbered 30813, the Board Decision dated 10.12.2014 and numbered 5352 was amended regarding the technical and economic power required by the distributor and bunker delivery license holders.  For those who want to obtain a change distributor license, in addition to those listed in the Petroleum Market Licensing Regulation (a) the total assets of the legal entity applying for the license must be a minimum of 37,500,000 TL for the distributor license, (b) The distribution license holders have this in their balance sheets in the Corporate Tax Declaration for the previous year.  Article’s total assets in the amount specified in clause (a) and the conditions specified in clause (b) of the first article of this Decision for the current distributor license holders will be sought for the first time from 2018 by looking at the balance sheets in the Corporate Tax Declaration for the year 2017. </w:t>
      </w:r>
    </w:p>
    <w:p w:rsidR="003125EA" w:rsidRPr="00A46836" w:rsidRDefault="003125EA" w:rsidP="00A46836">
      <w:r w:rsidRPr="00A46836">
        <w:t>With the Board Decision dated 18.07.2019 and numbered 8730, published in the Official Gazette dated 24.07.2019 and numbered 30841, the “Board Decision on Differentiated Fuels”, the purpose of which is to determine the procedures and principles for the definition of differentiated fuel and its introduction to the market, was adopted.</w:t>
      </w:r>
    </w:p>
    <w:p w:rsidR="003125EA" w:rsidRPr="00A46836" w:rsidRDefault="003125EA" w:rsidP="00A46836">
      <w:r w:rsidRPr="00A46836">
        <w:t xml:space="preserve"> With the Board Decision dated 18.07.2019 and numbered 8729, published in the Official Gazette dated 24.07.2019 and numbered 30841, the Decision on Crude Oil, Fuel Oil, Bunker, Mineral Oil, Base Oil and Petroleum-Related Substances was amended.</w:t>
      </w:r>
    </w:p>
    <w:p w:rsidR="003125EA" w:rsidRPr="00A46836" w:rsidRDefault="003125EA" w:rsidP="00A46836">
      <w:r w:rsidRPr="00A46836">
        <w:t xml:space="preserve"> With the Board Decision dated 05.09.2019 and numbered 8816 published in the Official Gazette dated 07.09.2019 and numbered 30881, the Board Decision on License Application Disclosures in Petroleum Market dated 31.05.2011 and numbered 3242-2 was amended.  Amendment The definition of technical and economic adequacy file from Article 3 has been abolished, instead of the concept of “technical and economic competence file” in Article 9, the concept of “financial statements” has been used, and the phrase technical and economic competence file in Article 10 has been removed.  The “with station category” phrases in the second, third and fourth paragraphs of Article 14 have been removed from the text of the article and the fifth paragraph concerning the dealership with no station category has been repealed.  The “License application petition” attached to the decision has also been changed.</w:t>
      </w:r>
    </w:p>
    <w:p w:rsidR="003125EA" w:rsidRPr="00A46836" w:rsidRDefault="003125EA" w:rsidP="00A46836">
      <w:r w:rsidRPr="00A46836">
        <w:t xml:space="preserve"> With the Board Decision dated 05.09.2019 and numbered 8817 published in the Official Gazette dated 07.09.2019 and numbered 30881, the Board Decision on Information and Documents to be Required in Petroleum Market License Amendment Applications, dated 31.05.2011 and numbered 3242-3, was amended.  The amendment is about the abolition of article 12 titled “category amendment” and the </w:t>
      </w:r>
      <w:r w:rsidRPr="00A46836">
        <w:lastRenderedPageBreak/>
        <w:t>amendment of the “license amendment application petition form” and “dealership license amendment request form”.</w:t>
      </w:r>
    </w:p>
    <w:p w:rsidR="003125EA" w:rsidRPr="00A46836" w:rsidRDefault="003125EA" w:rsidP="00A46836">
      <w:r w:rsidRPr="00A46836">
        <w:t xml:space="preserve"> With the Board Decision dated 05.09.2019 and numbered 8818 published in the Official Gazette dated 07.09.2019 and numbered 30881, the Board Decision on Information and Documents to be Required in the Petroleum Market License Extension Applications, dated 31.05.2011 and numbered 3242-4 was amended.  The amendment is related to Article 4 titled “common provisions”.  In addition, the “License extension application form” annexed to the Decision was changed.</w:t>
      </w:r>
    </w:p>
    <w:p w:rsidR="003125EA" w:rsidRPr="00A46836" w:rsidRDefault="003125EA" w:rsidP="00A46836">
      <w:r w:rsidRPr="00A46836">
        <w:t xml:space="preserve"> With the Board Decision dated 26.09.2019 and numbered 8851, published in the Official Gazette dated 01.10.2019 and numbered 30905, the aim is to ensure that the total margin is transparent in order to ensure that the distributor and dealership license holders operating in the petroleum market can continue their market activities in a safe and economic, equitable and stable manner in a competitive environment.  The Distributor, whose aim is to determine the minimum rules for the determination and sharing of this determined margin, to eliminate the uncertainties regarding the issues related to the invoices and the costs reflected by the parties between the distributor and the dealers, to ensure the sustainability of the market activities and to increase the total benefit, including the consumer benefit in the long term, and  The Board Decision on the Sharing of Dealer Margins has been accepted.  This Decision is in effect as of the date of its publication to be applied in new contracts to be made between the distributor and the dealer.</w:t>
      </w:r>
    </w:p>
    <w:p w:rsidR="003125EA" w:rsidRPr="00A46836" w:rsidRDefault="003125EA" w:rsidP="00A46836">
      <w:r w:rsidRPr="00A46836">
        <w:t>With the Board Decision dated 10.10.2019 and numbered 8878 published in the Official Gazette dated 15.10.2019 and numbered 30919 and the “Decision on the Procedures and Principles Regarding the Mandatory Oil Stock Coupon System” adopted with the Board Decision dated 04/10/2017 and numbered 7319,  Decision on Procedures and Principles Regarding Stock and Revenue Share Liabilities ”was amended.</w:t>
      </w:r>
    </w:p>
    <w:p w:rsidR="003125EA" w:rsidRPr="00A46836" w:rsidRDefault="003125EA" w:rsidP="00A46836">
      <w:r w:rsidRPr="00A46836">
        <w:t xml:space="preserve"> With the Board Decision dated 14.11.2019 and numbered 8934, published in the Official Gazette dated 22.11.2019 and numbered 30956, the “Procedure for the Monitoring System of Fuel Quality in Warehouses, whose purpose is to determine the irregularities in the quality and quantity of fuels in the tanks monitored within the scope of the stock monitoring system to be put on the market.  And Principles ”has been accepted.  This decision is in effect as of 01.01.2020.</w:t>
      </w:r>
    </w:p>
    <w:p w:rsidR="003125EA" w:rsidRPr="00A46836" w:rsidRDefault="003125EA" w:rsidP="00A46836">
      <w:r w:rsidRPr="00A46836">
        <w:t xml:space="preserve"> With the Board Decision dated 12.12.2019 and numbered 8984 and published in the Official Gazette dated 19.12.2019 and numbered 30983, the Decision on Crude Oil, Fuel Oil, Bunker, Mineral Oil, Base Oil and Petroleum Related Substances dated 07.12.2016 was amended.  The change made by G.T.İ.P.  It relates to changing the numbers.</w:t>
      </w:r>
    </w:p>
    <w:p w:rsidR="003125EA" w:rsidRPr="00A46836" w:rsidRDefault="003125EA" w:rsidP="00A46836">
      <w:r w:rsidRPr="00A46836">
        <w:t xml:space="preserve"> The resource requirement that may arise due to the acquisition of the complementary part of the national oil stock to be implemented in 2020 pursuant to the Board Decision dated 26.12.2019 and numbered 9026 and Article 16 of the Petroleum Market Law No. 5015 and Article 50 of the Petroleum Market Licensing Regulation published in the Official Gazette dated 29.12.2019 and numbered 30993.  , financial expenses and the revenue share costs to be used for the storage and maintenance costs of this part of the stocks.  The revenue share fees to be applied in 2020 determined in the decision;</w:t>
      </w:r>
    </w:p>
    <w:p w:rsidR="003125EA" w:rsidRPr="00A46836" w:rsidRDefault="003125EA" w:rsidP="007B4A7D">
      <w:pPr>
        <w:pStyle w:val="ListeParagraf"/>
        <w:numPr>
          <w:ilvl w:val="0"/>
          <w:numId w:val="40"/>
        </w:numPr>
      </w:pPr>
      <w:r w:rsidRPr="00A46836">
        <w:t>For ethanol supplied to blend with gasoline types (including those used for bunker purposes) and gasoline types;  4.82 TL / m3</w:t>
      </w:r>
    </w:p>
    <w:p w:rsidR="003125EA" w:rsidRPr="00A46836" w:rsidRDefault="003125EA" w:rsidP="007B4A7D">
      <w:pPr>
        <w:pStyle w:val="ListeParagraf"/>
        <w:numPr>
          <w:ilvl w:val="0"/>
          <w:numId w:val="40"/>
        </w:numPr>
      </w:pPr>
      <w:r w:rsidRPr="00A46836">
        <w:t>For diesel (including those used for bunker purposes) and biodiesel types;  4.82 TL / m3</w:t>
      </w:r>
    </w:p>
    <w:p w:rsidR="003125EA" w:rsidRPr="00A46836" w:rsidRDefault="003125EA" w:rsidP="007B4A7D">
      <w:pPr>
        <w:pStyle w:val="ListeParagraf"/>
        <w:numPr>
          <w:ilvl w:val="0"/>
          <w:numId w:val="40"/>
        </w:numPr>
      </w:pPr>
      <w:r w:rsidRPr="00A46836">
        <w:lastRenderedPageBreak/>
        <w:t>For kerosene;  4.82 TL / m3</w:t>
      </w:r>
    </w:p>
    <w:p w:rsidR="003125EA" w:rsidRPr="00A46836" w:rsidRDefault="003125EA" w:rsidP="007B4A7D">
      <w:pPr>
        <w:pStyle w:val="ListeParagraf"/>
        <w:numPr>
          <w:ilvl w:val="0"/>
          <w:numId w:val="40"/>
        </w:numPr>
      </w:pPr>
      <w:r w:rsidRPr="00A46836">
        <w:t>For aviation fuels;  4.82 TL / m3</w:t>
      </w:r>
    </w:p>
    <w:p w:rsidR="003125EA" w:rsidRPr="00A46836" w:rsidRDefault="003125EA" w:rsidP="007B4A7D">
      <w:pPr>
        <w:pStyle w:val="ListeParagraf"/>
        <w:numPr>
          <w:ilvl w:val="0"/>
          <w:numId w:val="40"/>
        </w:numPr>
      </w:pPr>
      <w:r w:rsidRPr="00A46836">
        <w:t>For fuel naphtha;  4.82 TL / m3</w:t>
      </w:r>
    </w:p>
    <w:p w:rsidR="003125EA" w:rsidRPr="00A46836" w:rsidRDefault="003125EA" w:rsidP="007B4A7D">
      <w:pPr>
        <w:pStyle w:val="ListeParagraf"/>
        <w:numPr>
          <w:ilvl w:val="0"/>
          <w:numId w:val="40"/>
        </w:numPr>
      </w:pPr>
      <w:r w:rsidRPr="00A46836">
        <w:t>For distilled marine fuels;  4.82 TL / m3</w:t>
      </w:r>
    </w:p>
    <w:p w:rsidR="003125EA" w:rsidRPr="00A46836" w:rsidRDefault="003125EA" w:rsidP="007B4A7D">
      <w:pPr>
        <w:pStyle w:val="ListeParagraf"/>
        <w:numPr>
          <w:ilvl w:val="0"/>
          <w:numId w:val="40"/>
        </w:numPr>
      </w:pPr>
      <w:r w:rsidRPr="00A46836">
        <w:t>Now for marine fuels;  5.12 TL / ton</w:t>
      </w:r>
    </w:p>
    <w:p w:rsidR="003125EA" w:rsidRPr="00A46836" w:rsidRDefault="003125EA" w:rsidP="007B4A7D">
      <w:pPr>
        <w:pStyle w:val="ListeParagraf"/>
        <w:numPr>
          <w:ilvl w:val="0"/>
          <w:numId w:val="40"/>
        </w:numPr>
      </w:pPr>
      <w:r w:rsidRPr="00A46836">
        <w:t>For types of fuel oil (including those used for bunker purposes);  5.12 TL / ton.</w:t>
      </w:r>
    </w:p>
    <w:p w:rsidR="00FE7FEB" w:rsidRPr="004E7F7B" w:rsidRDefault="00FE7FEB" w:rsidP="004E7F7B">
      <w:pPr>
        <w:pStyle w:val="Balk2"/>
        <w:rPr>
          <w:rFonts w:ascii="Times New Roman" w:hAnsi="Times New Roman" w:cs="Times New Roman"/>
          <w:sz w:val="22"/>
          <w:szCs w:val="22"/>
        </w:rPr>
      </w:pPr>
      <w:bookmarkStart w:id="44" w:name="_Toc442431247"/>
      <w:bookmarkStart w:id="45" w:name="_Toc6684442"/>
      <w:bookmarkStart w:id="46" w:name="_Toc48817832"/>
      <w:r w:rsidRPr="004E7F7B">
        <w:rPr>
          <w:rFonts w:ascii="Times New Roman" w:hAnsi="Times New Roman" w:cs="Times New Roman"/>
          <w:sz w:val="22"/>
          <w:szCs w:val="22"/>
        </w:rPr>
        <w:t>2.4.</w:t>
      </w:r>
      <w:bookmarkEnd w:id="44"/>
      <w:bookmarkEnd w:id="45"/>
      <w:r w:rsidR="009461D6" w:rsidRPr="004E7F7B">
        <w:rPr>
          <w:rFonts w:ascii="Times New Roman" w:hAnsi="Times New Roman" w:cs="Times New Roman"/>
          <w:sz w:val="22"/>
          <w:szCs w:val="22"/>
        </w:rPr>
        <w:t>Liquefied Petroleum Gases (LPG) Market Legislation</w:t>
      </w:r>
      <w:bookmarkEnd w:id="46"/>
    </w:p>
    <w:p w:rsidR="00FE7FEB" w:rsidRPr="004E7F7B" w:rsidRDefault="00FE7FEB" w:rsidP="004E7F7B">
      <w:pPr>
        <w:pStyle w:val="Balk3"/>
        <w:rPr>
          <w:rFonts w:ascii="Times New Roman" w:hAnsi="Times New Roman" w:cs="Times New Roman"/>
          <w:sz w:val="22"/>
          <w:szCs w:val="22"/>
        </w:rPr>
      </w:pPr>
      <w:bookmarkStart w:id="47" w:name="_Toc48817833"/>
      <w:r w:rsidRPr="004E7F7B">
        <w:rPr>
          <w:rFonts w:ascii="Times New Roman" w:hAnsi="Times New Roman" w:cs="Times New Roman"/>
          <w:sz w:val="22"/>
          <w:szCs w:val="22"/>
        </w:rPr>
        <w:t>2.4.1.</w:t>
      </w:r>
      <w:r w:rsidR="009461D6" w:rsidRPr="004E7F7B">
        <w:rPr>
          <w:rFonts w:ascii="Times New Roman" w:hAnsi="Times New Roman" w:cs="Times New Roman"/>
          <w:sz w:val="22"/>
          <w:szCs w:val="22"/>
        </w:rPr>
        <w:t xml:space="preserve"> </w:t>
      </w:r>
      <w:r w:rsidRPr="004E7F7B">
        <w:rPr>
          <w:rFonts w:ascii="Times New Roman" w:hAnsi="Times New Roman" w:cs="Times New Roman"/>
          <w:sz w:val="22"/>
          <w:szCs w:val="22"/>
        </w:rPr>
        <w:t>Law</w:t>
      </w:r>
      <w:bookmarkEnd w:id="47"/>
    </w:p>
    <w:p w:rsidR="00CF77F3" w:rsidRPr="00A46836" w:rsidRDefault="00AC1EA2" w:rsidP="00404CEB">
      <w:pPr>
        <w:rPr>
          <w:lang w:val="en"/>
        </w:rPr>
      </w:pPr>
      <w:r w:rsidRPr="00A46836">
        <w:rPr>
          <w:lang w:val="en"/>
        </w:rPr>
        <w:t>In 2019, the following amendments were made to the Liquefied Petroleum Gases (LPG) Market Law numbered 5307 and the Law Amending the Electricity Market Law.</w:t>
      </w:r>
    </w:p>
    <w:p w:rsidR="00CF77F3" w:rsidRPr="00A46836" w:rsidRDefault="00CF77F3" w:rsidP="00404CEB">
      <w:r w:rsidRPr="00A46836">
        <w:rPr>
          <w:lang w:val="en"/>
        </w:rPr>
        <w:t>The following amendments were made to the Article 9 of the Income Tax Law No. 7162 and Amendment to Certain Laws published in the Official Gazette dated 30.01.2019 and numbered 30671, and the Law No. 5307 Amending the Liquefied Petroleum Gas (LPG) Market Law and the Electricity Market Law;</w:t>
      </w:r>
    </w:p>
    <w:p w:rsidR="00CF77F3" w:rsidRPr="00404CEB" w:rsidRDefault="00CF77F3" w:rsidP="007B4A7D">
      <w:pPr>
        <w:pStyle w:val="ListeParagraf"/>
        <w:numPr>
          <w:ilvl w:val="0"/>
          <w:numId w:val="28"/>
        </w:numPr>
        <w:rPr>
          <w:i/>
        </w:rPr>
      </w:pPr>
      <w:r w:rsidRPr="00404CEB">
        <w:rPr>
          <w:lang w:val="en"/>
        </w:rPr>
        <w:t>The second sentence of the second paragraph of the article 5 titled "Production and distribution" and the third sentence of the seventh paragraph have been repealed and the first sentence of the fourth paragraph have been changed. Amendment made in the second paragraph “In order to start autogas activities, distributors must first meet the criteria required by this Law to start the tube LPG operation and commission at least one filling facility. Distributors cannot distribute to the dealers of other LPG distributors. " It refers to the repeal of the phrase. The third sentence of the seventh paragraph, which has been repealed, "If the distributor owns one LPG filling and storage facility, it can only carry out autogas distribution activities in the province and neighboring provinces where its facilities are located." Phrases is. The amendment made in the fourth paragraph consists of changing the obligation for distributors to have storage, filling facilities and LPG cylinders as only having storage and / or filling facilities.</w:t>
      </w:r>
    </w:p>
    <w:p w:rsidR="00C50931" w:rsidRPr="00A46836" w:rsidRDefault="00CF77F3" w:rsidP="00404CEB">
      <w:pPr>
        <w:rPr>
          <w:i/>
        </w:rPr>
      </w:pPr>
      <w:r w:rsidRPr="00A46836">
        <w:t xml:space="preserve">The following amendments were made to the Art. 35 and 37 of the Law Amending the Mining Law and Certain Laws and Decrees  and LPG Market Law and Electricity Market Law dated  14.02.2019 and numbered 7164 published in the Official Gazette dated  </w:t>
      </w:r>
      <w:r w:rsidR="00C50931" w:rsidRPr="00A46836">
        <w:t>28.</w:t>
      </w:r>
      <w:r w:rsidRPr="00A46836">
        <w:t>02.2019 and numbered</w:t>
      </w:r>
      <w:r w:rsidR="00C50931" w:rsidRPr="00A46836">
        <w:t xml:space="preserve"> 30700</w:t>
      </w:r>
      <w:r w:rsidRPr="00A46836">
        <w:t>;</w:t>
      </w:r>
      <w:r w:rsidR="00C50931" w:rsidRPr="00A46836">
        <w:t xml:space="preserve"> </w:t>
      </w:r>
    </w:p>
    <w:p w:rsidR="00C50931" w:rsidRPr="00404CEB" w:rsidRDefault="00CF77F3" w:rsidP="007B4A7D">
      <w:pPr>
        <w:pStyle w:val="ListeParagraf"/>
        <w:numPr>
          <w:ilvl w:val="0"/>
          <w:numId w:val="28"/>
        </w:numPr>
        <w:rPr>
          <w:lang w:val="en"/>
        </w:rPr>
      </w:pPr>
      <w:r w:rsidRPr="00404CEB">
        <w:rPr>
          <w:lang w:val="en"/>
        </w:rPr>
        <w:t>Article 16 titled "Administrative fines" has been amended. The change made is quite extensive and the final version of the article is as follows.</w:t>
      </w:r>
      <w:r w:rsidR="00C50931" w:rsidRPr="00404CEB">
        <w:rPr>
          <w:lang w:val="en"/>
        </w:rPr>
        <w:t>.</w:t>
      </w:r>
    </w:p>
    <w:p w:rsidR="00CF77F3" w:rsidRPr="00A46836" w:rsidRDefault="00CF77F3" w:rsidP="00404CEB">
      <w:pPr>
        <w:rPr>
          <w:lang w:val="en"/>
        </w:rPr>
      </w:pPr>
      <w:r w:rsidRPr="00A46836">
        <w:rPr>
          <w:lang w:val="en"/>
        </w:rPr>
        <w:tab/>
        <w:t>"ARTICLE 16 - In the event of acts contrary to this Law or the relevant legislation, the following administrative fines will be imposed by the Board on those responsible:</w:t>
      </w:r>
    </w:p>
    <w:p w:rsidR="00CF77F3" w:rsidRPr="004E7F7B" w:rsidRDefault="00CF77F3" w:rsidP="00A46836">
      <w:pPr>
        <w:rPr>
          <w:lang w:val="en" w:eastAsia="tr-TR"/>
        </w:rPr>
      </w:pPr>
      <w:r w:rsidRPr="004E7F7B">
        <w:rPr>
          <w:lang w:val="en" w:eastAsia="tr-TR"/>
        </w:rPr>
        <w:t>a) Except for those who are engaged in autogas dealership activities in the following cases, an administrative fine at the rate of fourteen per thousand of the net sales revenue related to the LPG market activity subject to the relevant license shall be imposed in the year preceding the date of the act, not less than five hundred thousand Turkish Liras and not exceeding ten million Turkish Liras:</w:t>
      </w:r>
    </w:p>
    <w:p w:rsidR="00CF77F3" w:rsidRPr="004E7F7B" w:rsidRDefault="00CF77F3"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ab/>
        <w:t>1) Performing activities subject to license without obtaining a license.</w:t>
      </w:r>
    </w:p>
    <w:p w:rsidR="00CF77F3" w:rsidRPr="004E7F7B" w:rsidRDefault="00CF77F3"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ab/>
        <w:t>2) Violation of the last paragraph of Article 4.</w:t>
      </w:r>
    </w:p>
    <w:p w:rsidR="00CF77F3" w:rsidRPr="004E7F7B" w:rsidRDefault="00CF77F3" w:rsidP="00A46836">
      <w:pPr>
        <w:rPr>
          <w:lang w:val="en" w:eastAsia="tr-TR"/>
        </w:rPr>
      </w:pPr>
      <w:r w:rsidRPr="004E7F7B">
        <w:rPr>
          <w:lang w:val="en" w:eastAsia="tr-TR"/>
        </w:rPr>
        <w:t xml:space="preserve">b) In the following cases, an administrative fine at the rate of twelve per thousand of the net sales revenue related to the LPG market activity subject to the relevant license shall be imposed in the year </w:t>
      </w:r>
      <w:r w:rsidRPr="004E7F7B">
        <w:rPr>
          <w:lang w:val="en" w:eastAsia="tr-TR"/>
        </w:rPr>
        <w:lastRenderedPageBreak/>
        <w:t>preceding the date of the act, not less than two hundred fifty thousand Turkish Lira and not exceeding two million seven hundred and fifty thousand Turkish Lira:</w:t>
      </w:r>
    </w:p>
    <w:p w:rsidR="00CF77F3" w:rsidRPr="004E7F7B" w:rsidRDefault="00CF77F3"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ab/>
        <w:t>1) Violation of the provisions of Article 4, excluding subparagraphs (ç), (h) and (ı) of the fourth paragraph and the last paragraph. 2) Other than those engaged in autogas dealership activities, operating outside the rights granted by the license.</w:t>
      </w:r>
    </w:p>
    <w:p w:rsidR="00CF77F3" w:rsidRPr="004E7F7B" w:rsidRDefault="00CF77F3"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ab/>
        <w:t>3) Violation of Article 5 and 6, excluding sub-paragraphs (4), (5) and (6) of item (c) of the ninth paragraph.</w:t>
      </w:r>
    </w:p>
    <w:p w:rsidR="00CF77F3" w:rsidRPr="004E7F7B" w:rsidRDefault="00CF77F3"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Fonts w:ascii="Times New Roman" w:eastAsia="Times New Roman" w:hAnsi="Times New Roman" w:cs="Times New Roman"/>
          <w:noProof w:val="0"/>
          <w:color w:val="222222"/>
          <w:lang w:val="en" w:eastAsia="tr-TR"/>
        </w:rPr>
      </w:pPr>
      <w:r w:rsidRPr="004E7F7B">
        <w:rPr>
          <w:rFonts w:ascii="Times New Roman" w:eastAsia="Times New Roman" w:hAnsi="Times New Roman" w:cs="Times New Roman"/>
          <w:noProof w:val="0"/>
          <w:color w:val="222222"/>
          <w:lang w:val="en" w:eastAsia="tr-TR"/>
        </w:rPr>
        <w:tab/>
        <w:t>4) In accordance with Article 10, the applications made by the Authority are directly or indirectly prevented or attempted to be prevented.</w:t>
      </w:r>
    </w:p>
    <w:p w:rsidR="00A46836" w:rsidRDefault="00CF77F3" w:rsidP="00A46836">
      <w:pPr>
        <w:spacing w:after="0" w:line="240" w:lineRule="atLeast"/>
      </w:pPr>
      <w:r w:rsidRPr="00A46836">
        <w:t>c) An administrative fine at the rate of eleven per thousand of the net sales revenue related to the LPG market activity subject to the relevant license shall be imposed in the year preceding the date of the act, not less than one hundred thousand Turkish Liras and not exceeding five hundred thousand Turkish Liras in the following cases:</w:t>
      </w:r>
    </w:p>
    <w:p w:rsidR="00C50931" w:rsidRPr="00A46836" w:rsidRDefault="00C50931" w:rsidP="00A46836">
      <w:pPr>
        <w:spacing w:after="0"/>
        <w:ind w:firstLine="708"/>
        <w:rPr>
          <w:lang w:eastAsia="tr-TR"/>
        </w:rPr>
      </w:pPr>
      <w:r w:rsidRPr="00A46836">
        <w:rPr>
          <w:lang w:eastAsia="tr-TR"/>
        </w:rPr>
        <w:t>1) Lisans alınmaksızın bayilik faaliyetinin yapılması.</w:t>
      </w:r>
    </w:p>
    <w:p w:rsidR="00CF77F3" w:rsidRPr="00A46836" w:rsidRDefault="00CF77F3" w:rsidP="00A46836">
      <w:pPr>
        <w:spacing w:after="0"/>
        <w:ind w:firstLine="708"/>
        <w:rPr>
          <w:noProof w:val="0"/>
          <w:lang w:val="en" w:eastAsia="tr-TR"/>
        </w:rPr>
      </w:pPr>
      <w:r w:rsidRPr="00A46836">
        <w:rPr>
          <w:noProof w:val="0"/>
          <w:lang w:val="en" w:eastAsia="tr-TR"/>
        </w:rPr>
        <w:t>2) Operating by autogas dealership license holders other than the rights granted by the license.</w:t>
      </w:r>
    </w:p>
    <w:p w:rsidR="00CF77F3" w:rsidRPr="00A46836" w:rsidRDefault="00CF77F3" w:rsidP="00A46836">
      <w:pPr>
        <w:spacing w:after="0"/>
        <w:rPr>
          <w:noProof w:val="0"/>
          <w:lang w:val="en" w:eastAsia="tr-TR"/>
        </w:rPr>
      </w:pPr>
      <w:r w:rsidRPr="00A46836">
        <w:rPr>
          <w:noProof w:val="0"/>
          <w:lang w:val="en" w:eastAsia="tr-TR"/>
        </w:rPr>
        <w:tab/>
        <w:t>3) Violation of article 7, except for item (4) of the second paragraph.</w:t>
      </w:r>
    </w:p>
    <w:p w:rsidR="00CF77F3" w:rsidRPr="00A46836" w:rsidRDefault="00CF77F3" w:rsidP="00A46836">
      <w:pPr>
        <w:spacing w:after="0"/>
        <w:rPr>
          <w:noProof w:val="0"/>
          <w:lang w:val="en" w:eastAsia="tr-TR"/>
        </w:rPr>
      </w:pPr>
      <w:r w:rsidRPr="00A46836">
        <w:rPr>
          <w:noProof w:val="0"/>
          <w:lang w:val="en" w:eastAsia="tr-TR"/>
        </w:rPr>
        <w:tab/>
        <w:t>4) Violation of Article 10 by autogas dealership license holders.</w:t>
      </w:r>
    </w:p>
    <w:p w:rsidR="00CF77F3" w:rsidRPr="00A46836" w:rsidRDefault="00CF77F3" w:rsidP="00A46836">
      <w:pPr>
        <w:spacing w:after="0"/>
        <w:rPr>
          <w:noProof w:val="0"/>
          <w:lang w:val="en" w:eastAsia="tr-TR"/>
        </w:rPr>
      </w:pPr>
      <w:r w:rsidRPr="00A46836">
        <w:rPr>
          <w:noProof w:val="0"/>
          <w:lang w:val="en" w:eastAsia="tr-TR"/>
        </w:rPr>
        <w:tab/>
        <w:t>5) Violation of the provisions of Articles 13, 14 and 15.</w:t>
      </w:r>
    </w:p>
    <w:p w:rsidR="00CF77F3" w:rsidRPr="00A46836" w:rsidRDefault="00CF77F3" w:rsidP="00A46836">
      <w:pPr>
        <w:ind w:left="720"/>
        <w:rPr>
          <w:noProof w:val="0"/>
          <w:lang w:val="en" w:eastAsia="tr-TR"/>
        </w:rPr>
      </w:pPr>
      <w:r w:rsidRPr="00A46836">
        <w:rPr>
          <w:noProof w:val="0"/>
          <w:lang w:val="en" w:eastAsia="tr-TR"/>
        </w:rPr>
        <w:t>6) Violation of the provisions of Article 4, excluding subparagraphs (ç), (h) and (ı) of the fourth paragraph and the last paragraph by autogas dealership license holders.</w:t>
      </w:r>
    </w:p>
    <w:p w:rsidR="00CF77F3" w:rsidRPr="00A46836" w:rsidRDefault="00CF77F3" w:rsidP="00404CEB">
      <w:pPr>
        <w:rPr>
          <w:lang w:val="en" w:eastAsia="tr-TR"/>
        </w:rPr>
      </w:pPr>
      <w:r w:rsidRPr="00A46836">
        <w:rPr>
          <w:lang w:val="en" w:eastAsia="tr-TR"/>
        </w:rPr>
        <w:t>ç) In case of a violation of sub-clause (4) of the second paragraph of Article 7, autogas dealership license holders shall receive administrative money at the rate of ten per thousand of the net sales revenue related to the LPG market activity subject to the relevant license in the year before the date of the act, not less than one hundred thousand Turkish Liras and not exceeding five hundred thousand Turkish Liras. penalty applies.d) License holders who are obliged to keep national petroleum stock pursuant to Article 16 of the Petroleum Market Law No. 5015 are subject to an administrative fine of two hundred and fifty Turkish Liras for each ton of missing product on the date of detection. Ton fraction is not taken into account in the calculation of the missing stock amount. The administrative fine applied under this paragraph is used for financing the complementary part of the national oil stock.</w:t>
      </w:r>
    </w:p>
    <w:p w:rsidR="0073748B" w:rsidRPr="00A46836" w:rsidRDefault="00CF77F3" w:rsidP="00404CEB">
      <w:pPr>
        <w:rPr>
          <w:lang w:val="en" w:eastAsia="tr-TR"/>
        </w:rPr>
      </w:pPr>
      <w:r w:rsidRPr="00A46836">
        <w:rPr>
          <w:lang w:val="en" w:eastAsia="tr-TR"/>
        </w:rPr>
        <w:t>Those who do not comply with the obligations of this Law, secondary legislation or license provisions, and Board decisions other than those stated above, shall not be less than ten thousand Turkish Liras and not exceeding fifty thousand Turkish Liras by the Authority at the rate of eight per thousand of the net sales revenue related to the LPG market activity subject to the relevant license in the year before the act was committed. administrative fines are imposed.</w:t>
      </w:r>
    </w:p>
    <w:p w:rsidR="0073748B" w:rsidRPr="00A46836" w:rsidRDefault="0073748B" w:rsidP="00404CEB">
      <w:pPr>
        <w:rPr>
          <w:lang w:val="en"/>
        </w:rPr>
      </w:pPr>
      <w:r w:rsidRPr="00A46836">
        <w:rPr>
          <w:lang w:val="en"/>
        </w:rPr>
        <w:t>However, the provisions of this Law shall not apply in case of violation of sub-paragraphs (4), (5) and (6) of paragraph (c) of the ninth paragraph of Article 5 or in case of violation of the technical regulations of LPG facilities and cylinders. In case of violation of sub-paragraphs (4), (5) and (6) of paragraph (c) of paragraph 9 of Article 5 or in case of violation of technical regulations of LPG facilities and cylinders, other relevant provisions of the law shall be applied by the competent authorities.</w:t>
      </w:r>
    </w:p>
    <w:p w:rsidR="0073748B" w:rsidRPr="00A46836" w:rsidRDefault="0073748B" w:rsidP="00404CEB">
      <w:pPr>
        <w:rPr>
          <w:lang w:val="en"/>
        </w:rPr>
      </w:pPr>
      <w:r w:rsidRPr="00A46836">
        <w:rPr>
          <w:lang w:val="en"/>
        </w:rPr>
        <w:t xml:space="preserve">The provisions of this article are not applicable to those who carry out activities that are not subject to license and do not comply with the obligations imposed by this Law, secondary legislation, and Board </w:t>
      </w:r>
      <w:r w:rsidRPr="00A46836">
        <w:rPr>
          <w:lang w:val="en"/>
        </w:rPr>
        <w:lastRenderedPageBreak/>
        <w:t>decisions. Necessary sanctions are applied by the competent administrations within the scope of the provisions of other legislation against the said persons.</w:t>
      </w:r>
    </w:p>
    <w:p w:rsidR="00C50931" w:rsidRPr="00A46836" w:rsidRDefault="0073748B" w:rsidP="00404CEB">
      <w:pPr>
        <w:rPr>
          <w:i/>
          <w:lang w:eastAsia="tr-TR"/>
        </w:rPr>
      </w:pPr>
      <w:r w:rsidRPr="00A46836">
        <w:rPr>
          <w:lang w:val="en"/>
        </w:rPr>
        <w:t>Administrative fines are applied as two folds, in case of repeat commitment by the same person before two years have passed.</w:t>
      </w:r>
    </w:p>
    <w:p w:rsidR="0073748B" w:rsidRPr="00A46836" w:rsidRDefault="0073748B" w:rsidP="00404CEB">
      <w:pPr>
        <w:rPr>
          <w:lang w:val="en"/>
        </w:rPr>
      </w:pPr>
      <w:r w:rsidRPr="00A46836">
        <w:rPr>
          <w:lang w:val="en"/>
        </w:rPr>
        <w:t>Administrative actions carried out in accordance with Article 17 of this Law and the provisions of this article are notified to the electronic notification address notified by the licensee to the Agency. In the event that the notification cannot be made to the electronic notification address notified to the Authority due to a compulsory reason, the notification made to the address notified to the Authority shall replace the notification.</w:t>
      </w:r>
    </w:p>
    <w:p w:rsidR="0073748B" w:rsidRPr="00A46836" w:rsidRDefault="0073748B" w:rsidP="00404CEB">
      <w:pPr>
        <w:rPr>
          <w:lang w:val="en"/>
        </w:rPr>
      </w:pPr>
      <w:r w:rsidRPr="00A46836">
        <w:rPr>
          <w:lang w:val="en"/>
        </w:rPr>
        <w:t>Administrative fines imposed under this Law are paid within one month from the date of notification. Administrative fines not paid on time are sent to the relevant tax office to be collected in accordance with the provisions of the Law on the Procedure for the Collection of Public Receivables, dated 21/7/1953 and numbered 6183.</w:t>
      </w:r>
    </w:p>
    <w:p w:rsidR="0073748B" w:rsidRPr="00A46836" w:rsidRDefault="0073748B" w:rsidP="00404CEB">
      <w:pPr>
        <w:rPr>
          <w:lang w:val="en"/>
        </w:rPr>
      </w:pPr>
      <w:r w:rsidRPr="00A46836">
        <w:rPr>
          <w:lang w:val="en"/>
        </w:rPr>
        <w:t>Applying for a judicial remedy against administrative fines imposed under this Law does not cease collection transactions, except for the case where a bank letter of guarantee is given to the relevant tax office. The amount and type of the letter of guarantee, the conditions under which it will be converted into money and other issues are determined by the regulations to be made by the Authority.</w:t>
      </w:r>
    </w:p>
    <w:p w:rsidR="0073748B" w:rsidRPr="00A46836" w:rsidRDefault="0073748B" w:rsidP="00404CEB">
      <w:pPr>
        <w:rPr>
          <w:i/>
          <w:lang w:eastAsia="tr-TR"/>
        </w:rPr>
      </w:pPr>
      <w:r w:rsidRPr="00A46836">
        <w:rPr>
          <w:lang w:val="en"/>
        </w:rPr>
        <w:t>In the event that the net sales revenue obtained from the LPG market activity subject to license in the previous year or cannot be determined in the facility where the acts specified in this article are carried out, the Board will determine the rates and the minimum rates determined in the relevant paragraphs of this article, based on the LPG supply or sale and similar evidences. In the event that no determination can be made within the maximum limit, and in the event that the act contrary to the legislation can be equivalent to the LPG market activity, the net sales revenue obtained from the LPG market activity shall be determined in relation to the act, at the rates determined in the relevant parts of this article and within the minimum maximum limit.</w:t>
      </w:r>
      <w:r w:rsidRPr="00A46836">
        <w:rPr>
          <w:i/>
          <w:lang w:eastAsia="tr-TR"/>
        </w:rPr>
        <w:t xml:space="preserve"> </w:t>
      </w:r>
    </w:p>
    <w:p w:rsidR="0073748B" w:rsidRPr="00A46836" w:rsidRDefault="0073748B" w:rsidP="00A46836">
      <w:pPr>
        <w:rPr>
          <w:i/>
          <w:lang w:eastAsia="tr-TR"/>
        </w:rPr>
      </w:pPr>
    </w:p>
    <w:p w:rsidR="0073748B" w:rsidRPr="00A46836" w:rsidRDefault="0073748B" w:rsidP="00A46836">
      <w:pPr>
        <w:rPr>
          <w:i/>
          <w:lang w:eastAsia="tr-TR"/>
        </w:rPr>
      </w:pPr>
      <w:r w:rsidRPr="00A46836">
        <w:rPr>
          <w:lang w:val="en"/>
        </w:rPr>
        <w:t>Article 17 titled "Administrative sanctions" has been changed. The change made is quite extensive and the final version of the article is as follows.</w:t>
      </w:r>
      <w:r w:rsidRPr="00A46836">
        <w:rPr>
          <w:i/>
          <w:lang w:eastAsia="tr-TR"/>
        </w:rPr>
        <w:t xml:space="preserve"> </w:t>
      </w:r>
    </w:p>
    <w:p w:rsidR="0073748B" w:rsidRPr="00A46836" w:rsidRDefault="0073748B" w:rsidP="00A46836">
      <w:pPr>
        <w:rPr>
          <w:lang w:val="en"/>
        </w:rPr>
      </w:pPr>
      <w:r w:rsidRPr="00A46836">
        <w:rPr>
          <w:lang w:val="en"/>
        </w:rPr>
        <w:t>“ARTICLE 17 - Administrative sanctions; measures include license cancellations and administrative fines. According to this Law, the implementation of administrative fines, measures and license cancellations does not prevent the implementation of the other provisions of this Law. Administrative fines imposed pursuant to this Law, measures taken and license cancellations do not prevent transactions to be made pursuant to other laws.</w:t>
      </w:r>
    </w:p>
    <w:p w:rsidR="0073748B" w:rsidRPr="00A46836" w:rsidRDefault="0073748B" w:rsidP="00A46836">
      <w:pPr>
        <w:rPr>
          <w:lang w:val="en"/>
        </w:rPr>
      </w:pPr>
      <w:r w:rsidRPr="00A46836">
        <w:rPr>
          <w:lang w:val="en"/>
        </w:rPr>
        <w:t>According to this Law, administrative sanctions are carried out in the following manner:</w:t>
      </w:r>
    </w:p>
    <w:p w:rsidR="0073748B" w:rsidRPr="00A46836" w:rsidRDefault="0073748B" w:rsidP="00A46836">
      <w:pPr>
        <w:ind w:firstLine="720"/>
        <w:rPr>
          <w:lang w:val="en" w:eastAsia="tr-TR"/>
        </w:rPr>
      </w:pPr>
      <w:r w:rsidRPr="00A46836">
        <w:rPr>
          <w:lang w:val="en" w:eastAsia="tr-TR"/>
        </w:rPr>
        <w:t xml:space="preserve">a) In case of violation of this Law, secondary legislation or license provisions and Board decisions about the licensees; For the acts that have the possibility of correction in terms of the nature determined by the Board, the relevant person is warned by the Authority or the institutions authorized by the Authority to remedy the violation within thirty days, otherwise a temporary suspension may be made. At the end of the warning period, the relevant market activity of those who continue to be against the </w:t>
      </w:r>
      <w:r w:rsidRPr="00A46836">
        <w:rPr>
          <w:lang w:val="en" w:eastAsia="tr-TR"/>
        </w:rPr>
        <w:lastRenderedPageBreak/>
        <w:t>legislation is temporarily suspended for sixty days. In case the act, which has the possibility of correction due to its nature, is repeated within two years from the date of detection, the relevant market activity is temporarily suspended for sixty days without any warning. During the temporary suspension, no market activity can be carried out, except for the prevention of dangerous action or evil or damage to the products and the elimination of the situation that caused the cessation of the activity. If the detected violations are not resolved at the end of the temporary suspension period, the investigation is initiated by continuing to suspend the activity and the necessary administrative sanctions are applied. License cancellations are decided according to the results of the investigation to be made by the Authority. In the event that the situation contrary to the legislation is eliminated after the temporary suspension, the temporary suspension is terminated.</w:t>
      </w:r>
    </w:p>
    <w:p w:rsidR="0073748B" w:rsidRPr="00A46836" w:rsidRDefault="0073748B" w:rsidP="00A46836">
      <w:pPr>
        <w:ind w:firstLine="720"/>
        <w:rPr>
          <w:lang w:val="en"/>
        </w:rPr>
      </w:pPr>
      <w:r w:rsidRPr="00A46836">
        <w:rPr>
          <w:lang w:val="en"/>
        </w:rPr>
        <w:t>b) In case of violation of this Law, secondary legislation or license provisions and Board decisions regarding the license holders; For the acts that cannot be corrected due to their nature, and the actions related to fuel smuggling specified in the Anti-Smuggling Law dated 21/3/2007 and numbered 5607, an administrative investigation is initiated directly by the Authority and necessary sanctions are applied. The relevant market activity of the license holder may be suspended temporarily by the Authority due to the actions that cannot be corrected due to its nature, resulting in bad faith or dangerous action.</w:t>
      </w:r>
    </w:p>
    <w:p w:rsidR="0073748B" w:rsidRPr="00A46836" w:rsidRDefault="0073748B" w:rsidP="00A46836">
      <w:pPr>
        <w:ind w:firstLine="720"/>
        <w:rPr>
          <w:lang w:val="en"/>
        </w:rPr>
      </w:pPr>
      <w:r w:rsidRPr="00A46836">
        <w:rPr>
          <w:lang w:val="en"/>
        </w:rPr>
        <w:t>c) In case it is determined that a licensed activity is performed without obtaining a license, the facilities are sealed and an investigation is initiated against those concerned until the license is obtained or they are made to operate that does not require a license according to this Law. The procedures and principles regarding sealing are regulated by a regulation issued by the Authority.</w:t>
      </w:r>
    </w:p>
    <w:p w:rsidR="0073748B" w:rsidRPr="00A46836" w:rsidRDefault="0073748B" w:rsidP="00A46836">
      <w:pPr>
        <w:ind w:firstLine="720"/>
        <w:rPr>
          <w:lang w:val="en"/>
        </w:rPr>
      </w:pPr>
      <w:r w:rsidRPr="00A46836">
        <w:rPr>
          <w:lang w:val="en"/>
        </w:rPr>
        <w:t>ç) In the case of a request or transaction made pursuant to this Law, if it is determined that there has been fraudulent or false declaration against the law, the license shall be revoked.</w:t>
      </w:r>
    </w:p>
    <w:p w:rsidR="00D71A16" w:rsidRPr="00A46836" w:rsidRDefault="0073748B" w:rsidP="00A46836">
      <w:pPr>
        <w:ind w:firstLine="720"/>
        <w:rPr>
          <w:lang w:val="en" w:eastAsia="tr-TR"/>
        </w:rPr>
      </w:pPr>
      <w:r w:rsidRPr="00A46836">
        <w:rPr>
          <w:lang w:val="en" w:eastAsia="tr-TR"/>
        </w:rPr>
        <w:t>d) License of license holders who engage in market activities with illegal LPG are canceled. The license of the license holders who commit the act of subjecting the LPG to market activities that are not in compliance with the technical regulations five times with the same license during the license period will be canceled. The compensation of damages and damages caused to the user due to LPG supply that does not comply with technical regulations is included in the licenses and contracts of the licensee of the real or legal persons that the users are dealing with. The procedures and principles regarding the application are determined by a regulation.</w:t>
      </w:r>
    </w:p>
    <w:p w:rsidR="00D71A16" w:rsidRPr="00A46836" w:rsidRDefault="00D71A16" w:rsidP="007B4A7D">
      <w:pPr>
        <w:pStyle w:val="ListeParagraf"/>
        <w:numPr>
          <w:ilvl w:val="0"/>
          <w:numId w:val="29"/>
        </w:numPr>
        <w:rPr>
          <w:rFonts w:eastAsia="Times New Roman"/>
          <w:i/>
          <w:lang w:eastAsia="tr-TR"/>
        </w:rPr>
      </w:pPr>
      <w:r w:rsidRPr="00A46836">
        <w:rPr>
          <w:lang w:val="en"/>
        </w:rPr>
        <w:t>Provisions of Article 203 of the Turkish Penal Code No. 5237, dated 26/9/2004, are applied to the real persons who continue their activities despite sealing and the officials of the legal persons who participate in the commission of the crime. "</w:t>
      </w:r>
    </w:p>
    <w:p w:rsidR="00D71A16" w:rsidRPr="004E7F7B" w:rsidRDefault="00D71A16" w:rsidP="004E7F7B">
      <w:pPr>
        <w:spacing w:after="0" w:line="240" w:lineRule="atLeast"/>
        <w:ind w:left="1080"/>
        <w:rPr>
          <w:rFonts w:ascii="Times New Roman" w:eastAsia="Times New Roman" w:hAnsi="Times New Roman" w:cs="Times New Roman"/>
          <w:i/>
          <w:color w:val="000000"/>
          <w:lang w:eastAsia="tr-TR"/>
        </w:rPr>
      </w:pPr>
    </w:p>
    <w:p w:rsidR="00D71A16" w:rsidRPr="00A46836" w:rsidRDefault="00D71A16" w:rsidP="007B4A7D">
      <w:pPr>
        <w:pStyle w:val="ListeParagraf"/>
        <w:numPr>
          <w:ilvl w:val="0"/>
          <w:numId w:val="29"/>
        </w:numPr>
        <w:rPr>
          <w:lang w:eastAsia="tr-TR"/>
        </w:rPr>
      </w:pPr>
      <w:r w:rsidRPr="00A46836">
        <w:rPr>
          <w:lang w:eastAsia="tr-TR"/>
        </w:rPr>
        <w:t>In addition, the following temporary article 8 has been added to the regulation.</w:t>
      </w:r>
    </w:p>
    <w:p w:rsidR="00D71A16" w:rsidRPr="00A46836" w:rsidRDefault="00D71A16" w:rsidP="00A46836">
      <w:pPr>
        <w:rPr>
          <w:lang w:eastAsia="tr-TR"/>
        </w:rPr>
      </w:pPr>
      <w:r w:rsidRPr="00A46836">
        <w:rPr>
          <w:lang w:eastAsia="tr-TR"/>
        </w:rPr>
        <w:t>"PROVISIONAL ARTICLE 8 - For the actions that have not been imposed by the Board before the effective date of this article and which have the possibility of correction due to the nature determined by the Board, after the warning specified in the sub-clause (a) of the second paragraph of Article 17, administrative investigation is initiated and sanctions are applied if necessary. . No administrative action is taken for acts that have the possibility of correction regarding those whose license was terminated or canceled before the effective date of this article.</w:t>
      </w:r>
    </w:p>
    <w:p w:rsidR="00C50931" w:rsidRPr="00A46836" w:rsidRDefault="00D71A16" w:rsidP="007B4A7D">
      <w:pPr>
        <w:pStyle w:val="ListeParagraf"/>
        <w:numPr>
          <w:ilvl w:val="0"/>
          <w:numId w:val="30"/>
        </w:numPr>
        <w:rPr>
          <w:i/>
          <w:lang w:eastAsia="tr-TR"/>
        </w:rPr>
      </w:pPr>
      <w:r w:rsidRPr="00A46836">
        <w:rPr>
          <w:lang w:eastAsia="tr-TR"/>
        </w:rPr>
        <w:lastRenderedPageBreak/>
        <w:t>Administrative fines that have been decided by the Board as of the effective date of this article but whose collection has not been completed shall be collected from the minimum fixed rate determined in the relevant sub-paragraphs of Article 16 by the relevant tax office, if a lower administrative fine is stipulated with this Law for the act committed. Administrative fines collected in whole or in part are not refundable. "</w:t>
      </w:r>
      <w:r w:rsidR="00C50931" w:rsidRPr="00A46836">
        <w:rPr>
          <w:lang w:eastAsia="tr-TR"/>
        </w:rPr>
        <w:t>Ayrıca yönetmeliğe aşağıdaki geçici madde 8 eklenmiştir.</w:t>
      </w:r>
    </w:p>
    <w:p w:rsidR="00C50931" w:rsidRPr="004E7F7B" w:rsidRDefault="00D71A16" w:rsidP="007B4A7D">
      <w:pPr>
        <w:pStyle w:val="Balk3"/>
        <w:numPr>
          <w:ilvl w:val="2"/>
          <w:numId w:val="39"/>
        </w:numPr>
        <w:spacing w:before="200"/>
        <w:rPr>
          <w:rFonts w:ascii="Times New Roman" w:hAnsi="Times New Roman" w:cs="Times New Roman"/>
          <w:sz w:val="22"/>
          <w:szCs w:val="22"/>
        </w:rPr>
      </w:pPr>
      <w:bookmarkStart w:id="48" w:name="_Toc48817834"/>
      <w:r w:rsidRPr="004E7F7B">
        <w:rPr>
          <w:rFonts w:ascii="Times New Roman" w:hAnsi="Times New Roman" w:cs="Times New Roman"/>
          <w:sz w:val="22"/>
          <w:szCs w:val="22"/>
        </w:rPr>
        <w:t>Regulations</w:t>
      </w:r>
      <w:bookmarkEnd w:id="48"/>
    </w:p>
    <w:p w:rsidR="00D71A16" w:rsidRPr="00A46836" w:rsidRDefault="00D71A16" w:rsidP="00404CEB">
      <w:r w:rsidRPr="00A46836">
        <w:rPr>
          <w:lang w:val="en"/>
        </w:rPr>
        <w:t>In 2019, the following Regulation studies were carried out in the LPG market:</w:t>
      </w:r>
    </w:p>
    <w:p w:rsidR="00D71A16" w:rsidRPr="00A46836" w:rsidRDefault="00D71A16" w:rsidP="00404CEB">
      <w:pPr>
        <w:rPr>
          <w:i/>
        </w:rPr>
      </w:pPr>
      <w:r w:rsidRPr="00A46836">
        <w:rPr>
          <w:lang w:val="en"/>
        </w:rPr>
        <w:t>The follow,ing aendments were made to the The Amending Regulation published in the Official Gazette dated 17.01.2019 and numbered 30658 and the Liquefied Petroleum Gases Market Licensing Regulation;</w:t>
      </w:r>
      <w:r w:rsidRPr="00A46836">
        <w:rPr>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Dangerous action definition in Article 4 titled "Definitions" has been changed. The amendment consists of changing the phrase "to be disabled" in the definition to "to become disabled".</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first paragraph of Article 5 titled “License” has been changed. The amendment made to the text of the article "The method regarding how the license transactions will be done is determined by the Board Decision." It consists of adding the sentence.</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fifth and sixth paragraphs of Article 7 titled "License application" have been amended. The amendment made in the fifth paragraph is that the evaluation on whether the documents requested from real or legal persons during the application are in accordance with the relevant legislation will be completed within ten working days, not within fifteen working days following the entry date of the documents into the Authority's document system. The amendment in the sixth paragraph is that if it is determined that the license applications are not made in accordance with the relevant legislation, the contradictions in question are resolved within ten working days, not fifteen business days, otherwise the documents submitted within the scope of the application will not be returned, instead the application will be deemed not made.</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first paragraph of Article 8 titled "Examination and evaluation of license applications" has been repealed and the third paragraph has been amended. The abolished first clause is about the examination of LPG distributor and storage license applications. The amended third paragraph is about the examination of license applications that are determined to be duly made. When the changes are examined together, the examination and evaluation of the applications for all licenses has become uniform.</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third and fifth paragraphs of Article 10 titled "Concluding the examination and evaluation" have been repealed and the sixth paragraph has been amended. The amendments are related to the finalization of the license application foreseen regarding the LPG distributor and storage license and the removal of the regulations.</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third paragraph of Article 13 titled "License fees" has been repealed and the first, second and fifth paragraphs have been amended. The amendments are related to the uniformization of the regulations for all licenses, the abolition of the practice of returning the documents and instead of the license application will be deemed not to be made, the abolition of the regulation that requires the deposit of 1% of the license fee applied in the license application to the account of the Authority, and the abolition of the related provisions.</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lastRenderedPageBreak/>
        <w:t>The second, fourth and fifth paragraphs of Article 15 titled "License amendment" have been amended. The amendment made in the second paragraph is related to the regulation that if the license amendment applications are not made in accordance with the legislation, the time to be given for the elimination of the violation is changed from fifteen to ten business days and if the violations are not remedied within ten working days, the application will be deemed not made instead of the application of rejection by returning the documents submitted within the scope of the application. The amendment made in the fourth paragraph is about making the provisions on license amendment uniform for all license holders. The amendment made in the fifth paragraph relates that in case the license holder needs a certain period of time to fulfill new and / or additional obligations arising from the license amendment, this period will be determined by the Liquefied Petroleum Gases (LPG) Market Department, not the Authority.</w:t>
      </w:r>
      <w:r w:rsidRPr="00404CEB">
        <w:rPr>
          <w:rFonts w:ascii="Times New Roman" w:hAnsi="Times New Roman" w:cs="Times New Roman"/>
          <w:i/>
        </w:rPr>
        <w:t xml:space="preserve"> </w:t>
      </w:r>
    </w:p>
    <w:p w:rsidR="00D71A16" w:rsidRPr="00404CEB" w:rsidRDefault="00D71A16"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fifth and sixth paragraphs of Article 16 titled "Time extension" have been amended. The changes made are about whether the time extension request will be examined within ten working days and whether the time extension applications will be concluded by the Authority or the Liquefied Petroleum Gases (LPG) Market Department.</w:t>
      </w:r>
      <w:r w:rsidRPr="00404CEB">
        <w:rPr>
          <w:rFonts w:ascii="Times New Roman" w:hAnsi="Times New Roman" w:cs="Times New Roman"/>
          <w:i/>
        </w:rPr>
        <w:t xml:space="preserve"> </w:t>
      </w:r>
    </w:p>
    <w:p w:rsidR="000302AF" w:rsidRPr="00404CEB" w:rsidRDefault="000302AF"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Clauses (ç), (d) and (e) of the first paragraph of Article 17 titled "Termination and cancellation of licenses" have been amended, the fourth paragraph has been repealed and the fifth paragraph has been amended. Amendments made in the Article Although the termination and cancellation of LPG distributor and storage licenses are carried out with the Board Decision, the termination and cancellation of LPG Autogas Dealership, LPG Cylinder Inspection, Repair and Maintenance, LPG Cylinder Manufacturing and LPG Transportation Licenses The period was removed from three months to two months, stating that LPG Autogas Dealership License holders must sign a contract with any distributor within three months following the termination of their contract with LPG Distributor license for any reason. In addition, a regulation was made regarding the publication of not only the canceled licenses but also the terminated licenses in the Official Gazette.</w:t>
      </w:r>
      <w:r w:rsidRPr="00404CEB">
        <w:rPr>
          <w:rFonts w:ascii="Times New Roman" w:hAnsi="Times New Roman" w:cs="Times New Roman"/>
          <w:i/>
        </w:rPr>
        <w:t xml:space="preserve"> </w:t>
      </w:r>
    </w:p>
    <w:p w:rsidR="000302AF" w:rsidRPr="00404CEB" w:rsidRDefault="000302AF"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fourth paragraph of Article 18 titled “The fundamental rights and obligations of license holders” has been amended. The amendment in question is about the cancellation of the three-month period to be applied in case the distribution company registered to the LPG Autogas Dealership license changes, and the notification regarding this within 60 days.</w:t>
      </w:r>
      <w:r w:rsidRPr="00404CEB">
        <w:rPr>
          <w:rFonts w:ascii="Times New Roman" w:hAnsi="Times New Roman" w:cs="Times New Roman"/>
          <w:i/>
        </w:rPr>
        <w:t xml:space="preserve"> </w:t>
      </w:r>
    </w:p>
    <w:p w:rsidR="000302AF" w:rsidRPr="00404CEB" w:rsidRDefault="000302AF"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Clause has been added to the first paragraph of Article 20 titled "Liabilities of LPG Distributor license holders". With the attached paragraph, LPG Distributor license holders are obliged to carry out licensing transactions in electronic environment on behalf of the autogas dealers they have signed contracts with.</w:t>
      </w:r>
      <w:r w:rsidRPr="00404CEB">
        <w:rPr>
          <w:rFonts w:ascii="Times New Roman" w:hAnsi="Times New Roman" w:cs="Times New Roman"/>
          <w:i/>
        </w:rPr>
        <w:t xml:space="preserve"> </w:t>
      </w:r>
    </w:p>
    <w:p w:rsidR="000302AF" w:rsidRPr="00404CEB" w:rsidRDefault="000302AF"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lang w:val="en"/>
        </w:rPr>
        <w:t>The first paragraph of article 40 with the title of "income share" has been changed. The amendment consists of the amendment that the refinery license holders are obliged to earn a revenue share from LPG sales and they are obliged to earn a revenue share from the domestic LPG sales they produce and / or import.</w:t>
      </w:r>
      <w:r w:rsidRPr="00404CEB">
        <w:rPr>
          <w:rFonts w:ascii="Times New Roman" w:hAnsi="Times New Roman" w:cs="Times New Roman"/>
          <w:i/>
        </w:rPr>
        <w:t xml:space="preserve"> </w:t>
      </w:r>
    </w:p>
    <w:p w:rsidR="00C50931" w:rsidRPr="00404CEB" w:rsidRDefault="00C50931" w:rsidP="007B4A7D">
      <w:pPr>
        <w:pStyle w:val="ListeParagraf"/>
        <w:numPr>
          <w:ilvl w:val="0"/>
          <w:numId w:val="16"/>
        </w:numPr>
        <w:spacing w:after="200" w:line="276" w:lineRule="auto"/>
        <w:rPr>
          <w:rFonts w:ascii="Times New Roman" w:hAnsi="Times New Roman" w:cs="Times New Roman"/>
        </w:rPr>
      </w:pPr>
      <w:r w:rsidRPr="00404CEB">
        <w:rPr>
          <w:rFonts w:ascii="Times New Roman" w:hAnsi="Times New Roman" w:cs="Times New Roman"/>
          <w:i/>
        </w:rPr>
        <w:t>“</w:t>
      </w:r>
      <w:r w:rsidR="000302AF" w:rsidRPr="00404CEB">
        <w:rPr>
          <w:rFonts w:ascii="Times New Roman" w:hAnsi="Times New Roman" w:cs="Times New Roman"/>
          <w:lang w:val="en"/>
        </w:rPr>
        <w:t xml:space="preserve"> The ninth paragraph of the 41st article titled “Share” has been changed. The license, amendment and time extension applications of real and legal persons who have not fulfilled the share obligations of the previous periods; If the obligation is not fulfilled </w:t>
      </w:r>
      <w:r w:rsidR="000302AF" w:rsidRPr="00404CEB">
        <w:rPr>
          <w:rFonts w:ascii="Times New Roman" w:hAnsi="Times New Roman" w:cs="Times New Roman"/>
          <w:lang w:val="en"/>
        </w:rPr>
        <w:lastRenderedPageBreak/>
        <w:t>within 10 business days after the notification to be made by the</w:t>
      </w:r>
      <w:r w:rsidR="005533CE" w:rsidRPr="00404CEB">
        <w:rPr>
          <w:rFonts w:ascii="Times New Roman" w:hAnsi="Times New Roman" w:cs="Times New Roman"/>
          <w:lang w:val="en"/>
        </w:rPr>
        <w:t xml:space="preserve">a uthority </w:t>
      </w:r>
      <w:r w:rsidR="000302AF" w:rsidRPr="00404CEB">
        <w:rPr>
          <w:rFonts w:ascii="Times New Roman" w:hAnsi="Times New Roman" w:cs="Times New Roman"/>
          <w:lang w:val="en"/>
        </w:rPr>
        <w:t>, it will be considered not fulfilled instead of being returned.</w:t>
      </w:r>
    </w:p>
    <w:p w:rsidR="00C50931" w:rsidRPr="00404CEB" w:rsidRDefault="005533CE" w:rsidP="007B4A7D">
      <w:pPr>
        <w:pStyle w:val="ListeParagraf"/>
        <w:numPr>
          <w:ilvl w:val="0"/>
          <w:numId w:val="15"/>
        </w:numPr>
        <w:spacing w:after="200" w:line="276" w:lineRule="auto"/>
        <w:rPr>
          <w:rFonts w:ascii="Times New Roman" w:hAnsi="Times New Roman" w:cs="Times New Roman"/>
        </w:rPr>
      </w:pPr>
      <w:r w:rsidRPr="00404CEB">
        <w:rPr>
          <w:rFonts w:ascii="Times New Roman" w:hAnsi="Times New Roman" w:cs="Times New Roman"/>
        </w:rPr>
        <w:t>The following a</w:t>
      </w:r>
      <w:r w:rsidR="000D320A" w:rsidRPr="00404CEB">
        <w:rPr>
          <w:rFonts w:ascii="Times New Roman" w:hAnsi="Times New Roman" w:cs="Times New Roman"/>
        </w:rPr>
        <w:t>m</w:t>
      </w:r>
      <w:r w:rsidRPr="00404CEB">
        <w:rPr>
          <w:rFonts w:ascii="Times New Roman" w:hAnsi="Times New Roman" w:cs="Times New Roman"/>
        </w:rPr>
        <w:t xml:space="preserve">endments were made to the LPG Market </w:t>
      </w:r>
      <w:r w:rsidR="000D320A" w:rsidRPr="00404CEB">
        <w:rPr>
          <w:rFonts w:ascii="Times New Roman" w:hAnsi="Times New Roman" w:cs="Times New Roman"/>
        </w:rPr>
        <w:t>Licensing Regulation with the Amending Rgeulation published in the Official Gazette dated 27.04.2019 and numbered 30757;</w:t>
      </w:r>
    </w:p>
    <w:p w:rsidR="000D320A" w:rsidRPr="00404CEB" w:rsidRDefault="000D320A" w:rsidP="007B4A7D">
      <w:pPr>
        <w:pStyle w:val="ListeParagraf"/>
        <w:numPr>
          <w:ilvl w:val="0"/>
          <w:numId w:val="17"/>
        </w:numPr>
        <w:spacing w:after="200" w:line="276" w:lineRule="auto"/>
        <w:rPr>
          <w:rFonts w:ascii="Times New Roman" w:hAnsi="Times New Roman" w:cs="Times New Roman"/>
        </w:rPr>
      </w:pPr>
      <w:r w:rsidRPr="00404CEB">
        <w:rPr>
          <w:rFonts w:ascii="Times New Roman" w:hAnsi="Times New Roman" w:cs="Times New Roman"/>
          <w:lang w:val="en"/>
        </w:rPr>
        <w:t>The second sentence of the clause (a) of the third paragraph of Article 7 titled "License Application" has been changed. Amendment “In addition, distributor license applicants must have a storage and / or filling facility in accordance with technical regulations. The storage facility under the LPG storage license, if any, of the distributor license applicant is also taken into account. Distributors who will carry out LPG activities must have at least one filling facility and LPG cylinders. "</w:t>
      </w:r>
      <w:r w:rsidRPr="00404CEB">
        <w:rPr>
          <w:rFonts w:ascii="Times New Roman" w:hAnsi="Times New Roman" w:cs="Times New Roman"/>
          <w:i/>
        </w:rPr>
        <w:t xml:space="preserve"> </w:t>
      </w:r>
    </w:p>
    <w:p w:rsidR="00C50931" w:rsidRPr="00404CEB" w:rsidRDefault="000D320A" w:rsidP="007B4A7D">
      <w:pPr>
        <w:pStyle w:val="ListeParagraf"/>
        <w:numPr>
          <w:ilvl w:val="0"/>
          <w:numId w:val="17"/>
        </w:numPr>
        <w:spacing w:after="200" w:line="276" w:lineRule="auto"/>
        <w:rPr>
          <w:rFonts w:ascii="Times New Roman" w:hAnsi="Times New Roman" w:cs="Times New Roman"/>
        </w:rPr>
      </w:pPr>
      <w:r w:rsidRPr="00404CEB">
        <w:rPr>
          <w:rFonts w:ascii="Times New Roman" w:hAnsi="Times New Roman" w:cs="Times New Roman"/>
          <w:lang w:val="en"/>
        </w:rPr>
        <w:t>The third paragraph of Article 19 titled "Activities that can be carried out under LPG distributor license" has been repealed. The abolished clause "If LPG Distributor License holders have one LPG filling and storage facility, they can only carry out autogas distribution activities in the province where the facility is located and in neighboring provinces."</w:t>
      </w:r>
    </w:p>
    <w:p w:rsidR="000D320A" w:rsidRPr="00404CEB" w:rsidRDefault="000D320A" w:rsidP="007B4A7D">
      <w:pPr>
        <w:pStyle w:val="ListeParagraf"/>
        <w:numPr>
          <w:ilvl w:val="0"/>
          <w:numId w:val="17"/>
        </w:numPr>
        <w:spacing w:after="200" w:line="276" w:lineRule="auto"/>
        <w:rPr>
          <w:rFonts w:ascii="Times New Roman" w:hAnsi="Times New Roman" w:cs="Times New Roman"/>
        </w:rPr>
      </w:pPr>
      <w:r w:rsidRPr="00404CEB">
        <w:rPr>
          <w:rFonts w:ascii="Times New Roman" w:hAnsi="Times New Roman" w:cs="Times New Roman"/>
          <w:lang w:val="en"/>
        </w:rPr>
        <w:t>Subparagraph (a) of the first paragraph of Article 20 titled "Liabilities of LPG distributor license holder" has been amended and subparagraph (g) has been repealed. The change in subparagraph (a) consists of the change of the expression "To have a storage, filling facility and LPG cylinders in accordance with technical regulations" to "To have a storage and / or filling facility in accordance with technical regulations". With the abolished clause (g), the obligation of LPG distributor license holders to perform effective control regarding the quality control monitoring of the activities carried out under their registered trademark has been removed.</w:t>
      </w:r>
      <w:r w:rsidRPr="00404CEB">
        <w:rPr>
          <w:rFonts w:ascii="Times New Roman" w:hAnsi="Times New Roman" w:cs="Times New Roman"/>
          <w:i/>
        </w:rPr>
        <w:t xml:space="preserve"> </w:t>
      </w:r>
    </w:p>
    <w:p w:rsidR="00C50931" w:rsidRPr="00404CEB" w:rsidRDefault="000D320A" w:rsidP="007B4A7D">
      <w:pPr>
        <w:pStyle w:val="ListeParagraf"/>
        <w:numPr>
          <w:ilvl w:val="0"/>
          <w:numId w:val="17"/>
        </w:numPr>
        <w:spacing w:after="200" w:line="276" w:lineRule="auto"/>
        <w:rPr>
          <w:rFonts w:ascii="Times New Roman" w:hAnsi="Times New Roman" w:cs="Times New Roman"/>
        </w:rPr>
      </w:pPr>
      <w:r w:rsidRPr="00404CEB">
        <w:rPr>
          <w:rFonts w:ascii="Times New Roman" w:hAnsi="Times New Roman" w:cs="Times New Roman"/>
          <w:lang w:val="en"/>
        </w:rPr>
        <w:t>The third paragraph of Article 21 titled "Activities that can be carried out under LPG transportation license" has been amended. The amendment consists of changing the Official Gazette date and number of the Road Transport Regulation included in the text.</w:t>
      </w:r>
      <w:r w:rsidRPr="00404CEB">
        <w:rPr>
          <w:rFonts w:ascii="Times New Roman" w:hAnsi="Times New Roman" w:cs="Times New Roman"/>
          <w:i/>
        </w:rPr>
        <w:t xml:space="preserve"> </w:t>
      </w:r>
      <w:r w:rsidR="00C50931" w:rsidRPr="00404CEB">
        <w:rPr>
          <w:rFonts w:ascii="Times New Roman" w:hAnsi="Times New Roman" w:cs="Times New Roman"/>
          <w:i/>
        </w:rPr>
        <w:t>“</w:t>
      </w:r>
      <w:r w:rsidR="00C50931" w:rsidRPr="00404CEB">
        <w:rPr>
          <w:rFonts w:ascii="Times New Roman" w:hAnsi="Times New Roman" w:cs="Times New Roman"/>
        </w:rPr>
        <w:t xml:space="preserve"> </w:t>
      </w:r>
    </w:p>
    <w:p w:rsidR="00C50931" w:rsidRPr="00404CEB" w:rsidRDefault="000D320A" w:rsidP="007B4A7D">
      <w:pPr>
        <w:pStyle w:val="ListeParagraf"/>
        <w:numPr>
          <w:ilvl w:val="0"/>
          <w:numId w:val="15"/>
        </w:numPr>
      </w:pPr>
      <w:r w:rsidRPr="00404CEB">
        <w:rPr>
          <w:lang w:val="en"/>
        </w:rPr>
        <w:t>The following amendments were made with the Amendment Regulation published in the Official Gazette dated 21.06.2019 and numbered 30808, to the Regulation on the Audits to be Made in the Liquefied Petroleum Gases (LPG) Market and the Procedures and Principles to be Followed in Preliminary Research and Investigations;</w:t>
      </w:r>
    </w:p>
    <w:p w:rsidR="000D320A" w:rsidRPr="00404CEB" w:rsidRDefault="000D320A" w:rsidP="007B4A7D">
      <w:pPr>
        <w:pStyle w:val="ListeParagraf"/>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noProof w:val="0"/>
          <w:lang w:val="en" w:eastAsia="tr-TR"/>
        </w:rPr>
      </w:pPr>
      <w:r w:rsidRPr="00404CEB">
        <w:rPr>
          <w:rFonts w:ascii="Times New Roman" w:eastAsia="Times New Roman" w:hAnsi="Times New Roman" w:cs="Times New Roman"/>
          <w:noProof w:val="0"/>
          <w:lang w:val="en" w:eastAsia="tr-TR"/>
        </w:rPr>
        <w:t>The old name of the Law No. 4628 included in the 2nd article titled “Basis” was changed with the new one.</w:t>
      </w:r>
    </w:p>
    <w:p w:rsidR="00C50931" w:rsidRPr="00404CEB" w:rsidRDefault="000D320A" w:rsidP="007B4A7D">
      <w:pPr>
        <w:pStyle w:val="ListeParagraf"/>
        <w:numPr>
          <w:ilvl w:val="0"/>
          <w:numId w:val="19"/>
        </w:numPr>
        <w:spacing w:after="200" w:line="276" w:lineRule="auto"/>
        <w:rPr>
          <w:rFonts w:ascii="Times New Roman" w:hAnsi="Times New Roman" w:cs="Times New Roman"/>
          <w:i/>
        </w:rPr>
      </w:pPr>
      <w:r w:rsidRPr="00404CEB">
        <w:rPr>
          <w:rFonts w:ascii="Times New Roman" w:eastAsia="Times New Roman" w:hAnsi="Times New Roman" w:cs="Times New Roman"/>
          <w:noProof w:val="0"/>
          <w:lang w:val="en" w:eastAsia="tr-TR"/>
        </w:rPr>
        <w:t xml:space="preserve">Clauses (d) and (e) have been added to the 3rd article titled “Definitions”, after the clause (ç). With clause (d), "Temporary suspension: It means the suspension of the activity in case the violation of the legislation is not remedied despite the warning or the action subject to the warning is repeated within 2 years or the actions that require the cessation of the activity are detected." "Warning: It means the notification to the relevant person about the correction or non-repetition of the violation of the legislation, which has the possibility of correction due to the nature determined by the Board, within 30 days." </w:t>
      </w:r>
    </w:p>
    <w:p w:rsidR="000D320A" w:rsidRPr="00404CEB" w:rsidRDefault="000D320A" w:rsidP="007B4A7D">
      <w:pPr>
        <w:pStyle w:val="ListeParagraf"/>
        <w:numPr>
          <w:ilvl w:val="0"/>
          <w:numId w:val="19"/>
        </w:numPr>
        <w:spacing w:after="200" w:line="276" w:lineRule="auto"/>
        <w:rPr>
          <w:rFonts w:ascii="Times New Roman" w:hAnsi="Times New Roman" w:cs="Times New Roman"/>
        </w:rPr>
      </w:pPr>
      <w:r w:rsidRPr="00404CEB">
        <w:rPr>
          <w:rFonts w:ascii="Times New Roman" w:hAnsi="Times New Roman" w:cs="Times New Roman"/>
          <w:lang w:val="en"/>
        </w:rPr>
        <w:t>Subparagraph (a) of the first paragraph of Article 7 titled "Authorities of the personnel of the Inspection Agency" has been changed. With the amendment, the personnel of the institution were given the authority to perform the newly defined temporary suspension and warning procedures and to remove the seals. At the same time, changes were made in the text of the article to make the words understandable.</w:t>
      </w:r>
      <w:r w:rsidRPr="00404CEB">
        <w:rPr>
          <w:rFonts w:ascii="Times New Roman" w:hAnsi="Times New Roman" w:cs="Times New Roman"/>
          <w:i/>
        </w:rPr>
        <w:t xml:space="preserve"> </w:t>
      </w:r>
    </w:p>
    <w:p w:rsidR="000D320A" w:rsidRPr="00404CEB" w:rsidRDefault="000D320A" w:rsidP="007B4A7D">
      <w:pPr>
        <w:pStyle w:val="ListeParagraf"/>
        <w:numPr>
          <w:ilvl w:val="0"/>
          <w:numId w:val="19"/>
        </w:numPr>
        <w:spacing w:after="200" w:line="276" w:lineRule="auto"/>
        <w:rPr>
          <w:rFonts w:ascii="Times New Roman" w:hAnsi="Times New Roman" w:cs="Times New Roman"/>
        </w:rPr>
      </w:pPr>
      <w:r w:rsidRPr="00404CEB">
        <w:rPr>
          <w:rFonts w:ascii="Times New Roman" w:hAnsi="Times New Roman" w:cs="Times New Roman"/>
          <w:lang w:val="en"/>
        </w:rPr>
        <w:lastRenderedPageBreak/>
        <w:t>The first, second and third paragraphs of Article 14 titled "Notices and Complaints" have been changed. The amendment in the first paragraph consists of removing the phrase "all kinds of commodities related to LPG" and adding the phrase "LPG supplied to the market" and updating the date and number of the Law on Consumer Protection. The amendment made in the second paragraph is essentially "to inspect and notify the Authority within 30 days in case of cancellation of autogas dealerships and bottled LPG dealerships with the reasons" "In addition, bulk gas contracts terminated due to violation of technical regulations and security violations are also notified to the Authority within 30 days". It deals with the removal. The amendment made in the third paragraph is related to the regulation that notices and complaints regarding market activities and activities that are not considered as market activities but require licenses can be made directly to the Agency, as well as to public institutions and organizations authorized on behalf of the Authority.</w:t>
      </w:r>
      <w:r w:rsidRPr="00404CEB">
        <w:rPr>
          <w:rFonts w:ascii="Times New Roman" w:hAnsi="Times New Roman" w:cs="Times New Roman"/>
          <w:i/>
        </w:rPr>
        <w:t xml:space="preserve"> </w:t>
      </w:r>
    </w:p>
    <w:p w:rsidR="00C50931" w:rsidRPr="00404CEB" w:rsidRDefault="00C50931" w:rsidP="007B4A7D">
      <w:pPr>
        <w:pStyle w:val="ListeParagraf"/>
        <w:numPr>
          <w:ilvl w:val="0"/>
          <w:numId w:val="19"/>
        </w:numPr>
        <w:spacing w:after="200" w:line="276" w:lineRule="auto"/>
        <w:rPr>
          <w:rFonts w:ascii="Times New Roman" w:hAnsi="Times New Roman" w:cs="Times New Roman"/>
        </w:rPr>
      </w:pPr>
      <w:r w:rsidRPr="00404CEB">
        <w:rPr>
          <w:rFonts w:ascii="Times New Roman" w:hAnsi="Times New Roman" w:cs="Times New Roman"/>
          <w:i/>
        </w:rPr>
        <w:t>“</w:t>
      </w:r>
      <w:r w:rsidR="000D320A" w:rsidRPr="00404CEB">
        <w:rPr>
          <w:rFonts w:ascii="Times New Roman" w:hAnsi="Times New Roman" w:cs="Times New Roman"/>
          <w:lang w:val="en"/>
        </w:rPr>
        <w:t>The sixth paragraph of the 15th article titled “Sampling, testing and analysis” has been changed. The text of the new paragraph "Loss and damages caused to the user due to LPG supply that is not in compliance with technical regulations will be compensated in accordance with the matters included in the licenses and contracts of the real or legal persons holding the license."</w:t>
      </w:r>
    </w:p>
    <w:p w:rsidR="000D320A" w:rsidRPr="00404CEB" w:rsidRDefault="000D320A" w:rsidP="007B4A7D">
      <w:pPr>
        <w:pStyle w:val="ListeParagraf"/>
        <w:numPr>
          <w:ilvl w:val="0"/>
          <w:numId w:val="19"/>
        </w:numPr>
        <w:spacing w:after="200" w:line="276" w:lineRule="auto"/>
        <w:rPr>
          <w:rFonts w:ascii="Times New Roman" w:hAnsi="Times New Roman" w:cs="Times New Roman"/>
        </w:rPr>
      </w:pPr>
      <w:r w:rsidRPr="00404CEB">
        <w:rPr>
          <w:rFonts w:ascii="Times New Roman" w:hAnsi="Times New Roman" w:cs="Times New Roman"/>
          <w:lang w:val="en"/>
        </w:rPr>
        <w:t>The third paragraph of Article 16 titled "Sealing" has been changed. Amendment Instead of the text "If the autogas dealership activities carried out within the scope of the autogas station are found to be in violation of the relevant legislation, the LPG supply at the said station is temporarily stopped by sealing and the transaction is put on the Board agenda first" instead of the text "The relevant market activity of the license holder, which requires cessation of the activity or may be suspended temporarily by the Institution or by the institutions authorized by the Authority due to acts that result in malicious intent or dangerous action. "</w:t>
      </w:r>
    </w:p>
    <w:p w:rsidR="00C50931" w:rsidRPr="00404CEB" w:rsidRDefault="000D320A" w:rsidP="007B4A7D">
      <w:pPr>
        <w:pStyle w:val="ListeParagraf"/>
        <w:numPr>
          <w:ilvl w:val="0"/>
          <w:numId w:val="19"/>
        </w:numPr>
        <w:spacing w:after="200" w:line="276" w:lineRule="auto"/>
        <w:rPr>
          <w:rFonts w:ascii="Times New Roman" w:hAnsi="Times New Roman" w:cs="Times New Roman"/>
        </w:rPr>
      </w:pPr>
      <w:r w:rsidRPr="00404CEB">
        <w:rPr>
          <w:rFonts w:ascii="Times New Roman" w:hAnsi="Times New Roman" w:cs="Times New Roman"/>
          <w:lang w:val="en"/>
        </w:rPr>
        <w:t>The fourth chapter title of the regulation has been changed. The change is related to the concepts of warning and temporary suspension. The new section heading "Procedures and Principles Regarding Warning, Temporary Suspension, Preliminary Investigation and Investigations"</w:t>
      </w:r>
    </w:p>
    <w:p w:rsidR="000D320A" w:rsidRPr="00404CEB" w:rsidRDefault="000D320A" w:rsidP="007B4A7D">
      <w:pPr>
        <w:pStyle w:val="metin"/>
        <w:numPr>
          <w:ilvl w:val="0"/>
          <w:numId w:val="19"/>
        </w:numPr>
        <w:spacing w:before="0" w:beforeAutospacing="0" w:after="0" w:afterAutospacing="0" w:line="240" w:lineRule="atLeast"/>
        <w:rPr>
          <w:rFonts w:eastAsia="Calibri"/>
          <w:i/>
          <w:sz w:val="22"/>
          <w:szCs w:val="22"/>
          <w:lang w:eastAsia="en-US"/>
        </w:rPr>
      </w:pPr>
      <w:r w:rsidRPr="00404CEB">
        <w:rPr>
          <w:sz w:val="22"/>
          <w:szCs w:val="22"/>
          <w:lang w:val="en"/>
        </w:rPr>
        <w:t>Article 18 titled "Preliminary Research and Investigation" has been changed together with its title. The new heading is "warning, temporary suspension and license cancellation". The amendment made in the article is about the introduction of a warning mechanism for acts that have the possibility of correction and how the procedure for temporary suspension will be.</w:t>
      </w:r>
    </w:p>
    <w:p w:rsidR="000D320A" w:rsidRPr="00404CEB" w:rsidRDefault="000D320A" w:rsidP="004E7F7B">
      <w:pPr>
        <w:spacing w:after="0" w:line="240" w:lineRule="atLeast"/>
        <w:ind w:left="1416"/>
        <w:rPr>
          <w:rFonts w:ascii="Times New Roman" w:hAnsi="Times New Roman" w:cs="Times New Roman"/>
          <w:i/>
        </w:rPr>
      </w:pPr>
      <w:r w:rsidRPr="00404CEB">
        <w:rPr>
          <w:rFonts w:ascii="Times New Roman" w:hAnsi="Times New Roman" w:cs="Times New Roman"/>
          <w:lang w:val="en"/>
        </w:rPr>
        <w:t>Article 18 / A titled "Preliminary investigation and investigation" has been added to the regulation. Article text “(1) The Board, ex officio or upon the notices or complaints submitted to it, shall apply to the Law of real or legal persons operating in the LPG market, provisions on fuel smuggling in the Anti-Smuggling Law dated 21/3/2007 and numbered 5607, secondary legislation, license It may decide to conduct a preliminary investigation to determine whether it is necessary to open a direct investigation or to open an investigation against the relevant person, due to acts contrary to the provisions of the Board's decisions or the actions that cannot be corrected due to their nature, and the actions and transactions they have not corrected despite the temporary suspension made within the scope of Article 18. The Board may delegate its powers regarding the opening of a preliminary investigation or investigation to the Presidency or the Department.</w:t>
      </w:r>
      <w:r w:rsidRPr="00404CEB">
        <w:rPr>
          <w:rFonts w:ascii="Times New Roman" w:hAnsi="Times New Roman" w:cs="Times New Roman"/>
          <w:i/>
        </w:rPr>
        <w:t xml:space="preserve"> </w:t>
      </w:r>
    </w:p>
    <w:p w:rsidR="000D320A" w:rsidRPr="00404CEB" w:rsidRDefault="000D320A"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6"/>
        <w:rPr>
          <w:rFonts w:ascii="Times New Roman" w:hAnsi="Times New Roman" w:cs="Times New Roman"/>
          <w:lang w:val="en"/>
        </w:rPr>
      </w:pPr>
      <w:r w:rsidRPr="00404CEB">
        <w:rPr>
          <w:rFonts w:ascii="Times New Roman" w:hAnsi="Times New Roman" w:cs="Times New Roman"/>
          <w:lang w:val="en"/>
        </w:rPr>
        <w:lastRenderedPageBreak/>
        <w:t>(2) If it is decided to conduct a preliminary research, the preliminary research is carried out by the experts and / or assistant experts assigned by the Head of Department or under the coordination of the Department by the management services experts under the coordination of the experts. If necessary, a preliminary research can be conducted through the Head of Department or Group Head. In case of need, experts and / or assistant experts and management services specialists may be appointed from other service units of the Authority with the approval of the President. If necessary, the Head of Department may request a written opinion from the relevant service units.</w:t>
      </w:r>
    </w:p>
    <w:p w:rsidR="00C50931" w:rsidRPr="00404CEB" w:rsidRDefault="000D320A" w:rsidP="004E7F7B">
      <w:pPr>
        <w:spacing w:after="0" w:line="240" w:lineRule="atLeast"/>
        <w:ind w:left="1416"/>
        <w:rPr>
          <w:rFonts w:ascii="Times New Roman" w:hAnsi="Times New Roman" w:cs="Times New Roman"/>
        </w:rPr>
      </w:pPr>
      <w:r w:rsidRPr="00404CEB">
        <w:rPr>
          <w:rFonts w:ascii="Times New Roman" w:eastAsia="Times New Roman" w:hAnsi="Times New Roman" w:cs="Times New Roman"/>
          <w:noProof w:val="0"/>
          <w:lang w:val="en" w:eastAsia="tr-TR"/>
        </w:rPr>
        <w:t xml:space="preserve">(3) </w:t>
      </w:r>
      <w:r w:rsidR="00B86777" w:rsidRPr="00404CEB">
        <w:rPr>
          <w:rFonts w:ascii="Times New Roman" w:eastAsia="Times New Roman" w:hAnsi="Times New Roman" w:cs="Times New Roman"/>
          <w:noProof w:val="0"/>
          <w:lang w:val="en" w:eastAsia="tr-TR"/>
        </w:rPr>
        <w:t>The personnel of the Authority</w:t>
      </w:r>
      <w:r w:rsidRPr="00404CEB">
        <w:rPr>
          <w:rFonts w:ascii="Times New Roman" w:eastAsia="Times New Roman" w:hAnsi="Times New Roman" w:cs="Times New Roman"/>
          <w:noProof w:val="0"/>
          <w:lang w:val="en" w:eastAsia="tr-TR"/>
        </w:rPr>
        <w:t xml:space="preserve"> assigned to conduct preliminary research submits the preliminary research report containing the information, evidence and opinions on the subject within thirty days at the latest from the date of their assignment. "</w:t>
      </w:r>
      <w:r w:rsidR="00C50931" w:rsidRPr="00404CEB">
        <w:rPr>
          <w:rFonts w:ascii="Times New Roman" w:hAnsi="Times New Roman" w:cs="Times New Roman"/>
        </w:rPr>
        <w:t>şeklindedir.</w:t>
      </w:r>
    </w:p>
    <w:p w:rsidR="00B86777" w:rsidRPr="00404CEB" w:rsidRDefault="00B86777" w:rsidP="004E7F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6"/>
        <w:rPr>
          <w:rFonts w:ascii="Times New Roman" w:eastAsia="Times New Roman" w:hAnsi="Times New Roman" w:cs="Times New Roman"/>
          <w:noProof w:val="0"/>
          <w:lang w:val="en" w:eastAsia="tr-TR"/>
        </w:rPr>
      </w:pPr>
      <w:r w:rsidRPr="00404CEB">
        <w:rPr>
          <w:rFonts w:ascii="Times New Roman" w:eastAsia="Times New Roman" w:hAnsi="Times New Roman" w:cs="Times New Roman"/>
          <w:noProof w:val="0"/>
          <w:lang w:val="en" w:eastAsia="tr-TR"/>
        </w:rPr>
        <w:t>The title of Article 20 titled “Starting an investigation, notice and temporary suspension” has been changed and the third, fourth and fifth paragraphs have been repealed. The new article title is "Starting an investigation". The repealed clauses are also related to the abolished notice and temporary suspension regulations.</w:t>
      </w:r>
    </w:p>
    <w:p w:rsidR="00B86777" w:rsidRPr="00404CEB" w:rsidRDefault="00B86777" w:rsidP="007B4A7D">
      <w:pPr>
        <w:pStyle w:val="ListeParagraf"/>
        <w:numPr>
          <w:ilvl w:val="0"/>
          <w:numId w:val="20"/>
        </w:numPr>
        <w:spacing w:after="0" w:line="240" w:lineRule="atLeast"/>
        <w:rPr>
          <w:rFonts w:ascii="Times New Roman" w:hAnsi="Times New Roman" w:cs="Times New Roman"/>
          <w:i/>
        </w:rPr>
      </w:pPr>
      <w:r w:rsidRPr="00404CEB">
        <w:rPr>
          <w:rFonts w:ascii="Times New Roman" w:eastAsia="Times New Roman" w:hAnsi="Times New Roman" w:cs="Times New Roman"/>
          <w:noProof w:val="0"/>
          <w:lang w:val="en" w:eastAsia="tr-TR"/>
        </w:rPr>
        <w:t>Article 24 titled “Starting the investigation by obtaining a direct written defense” has been repealed.</w:t>
      </w:r>
      <w:r w:rsidRPr="00404CEB">
        <w:rPr>
          <w:rFonts w:ascii="Times New Roman" w:hAnsi="Times New Roman" w:cs="Times New Roman"/>
          <w:i/>
        </w:rPr>
        <w:t xml:space="preserve"> </w:t>
      </w:r>
    </w:p>
    <w:p w:rsidR="00C50931" w:rsidRPr="00404CEB" w:rsidRDefault="00B86777" w:rsidP="007B4A7D">
      <w:pPr>
        <w:pStyle w:val="ListeParagraf"/>
        <w:numPr>
          <w:ilvl w:val="0"/>
          <w:numId w:val="20"/>
        </w:numPr>
        <w:spacing w:after="0" w:line="240" w:lineRule="atLeast"/>
        <w:rPr>
          <w:rFonts w:ascii="Times New Roman" w:hAnsi="Times New Roman" w:cs="Times New Roman"/>
          <w:i/>
        </w:rPr>
      </w:pPr>
      <w:r w:rsidRPr="00404CEB">
        <w:rPr>
          <w:rFonts w:ascii="Times New Roman" w:hAnsi="Times New Roman" w:cs="Times New Roman"/>
          <w:lang w:val="en"/>
        </w:rPr>
        <w:t>A clause has been added to Article 27 titled "Notification of the decisions and collection of fines". The added paragraph "Appealing to a judicial remedy against administrative fines imposed under the Law does not cease collection transactions, except for giving a bank letter of guarantee regarding administrative fines to the relevant tax office."</w:t>
      </w:r>
    </w:p>
    <w:p w:rsidR="00B86777" w:rsidRPr="00404CEB" w:rsidRDefault="00B86777" w:rsidP="004E7F7B">
      <w:pPr>
        <w:pStyle w:val="HTMLncedenBiimlendirilmi"/>
        <w:shd w:val="clear" w:color="auto" w:fill="FFFFFF"/>
        <w:ind w:left="1440"/>
        <w:rPr>
          <w:rFonts w:ascii="Times New Roman" w:hAnsi="Times New Roman" w:cs="Times New Roman"/>
          <w:sz w:val="22"/>
          <w:szCs w:val="22"/>
          <w:lang w:val="en"/>
        </w:rPr>
      </w:pPr>
      <w:r w:rsidRPr="00404CEB">
        <w:rPr>
          <w:rFonts w:ascii="Times New Roman" w:hAnsi="Times New Roman" w:cs="Times New Roman"/>
          <w:sz w:val="22"/>
          <w:szCs w:val="22"/>
          <w:lang w:val="en"/>
        </w:rPr>
        <w:t xml:space="preserve">Article 29 titled "Notice" has been changed. The amendment made is related to the fact that the notification to the companies whose license is in force will be made electronically to the address that the company has notified to the Authority in case the electronic notification cannot be made. The notification to be made to persons who do not have a license, whose license has been terminated or canceled, will be made within the framework of the provisions of the Notification Law No. 7201. However, it is also provided that the notifications to be announced will be published in the Official Gazette. </w:t>
      </w:r>
    </w:p>
    <w:p w:rsidR="00B86777" w:rsidRPr="00404CEB" w:rsidRDefault="00C50931" w:rsidP="004E7F7B">
      <w:pPr>
        <w:pStyle w:val="HTMLncedenBiimlendirilmi"/>
        <w:shd w:val="clear" w:color="auto" w:fill="FFFFFF"/>
        <w:ind w:left="1440"/>
        <w:rPr>
          <w:rFonts w:ascii="Times New Roman" w:hAnsi="Times New Roman" w:cs="Times New Roman"/>
          <w:sz w:val="22"/>
          <w:szCs w:val="22"/>
          <w:lang w:val="en"/>
        </w:rPr>
      </w:pPr>
      <w:r w:rsidRPr="00404CEB">
        <w:rPr>
          <w:rFonts w:ascii="Times New Roman" w:hAnsi="Times New Roman" w:cs="Times New Roman"/>
          <w:sz w:val="22"/>
          <w:szCs w:val="22"/>
          <w:lang w:val="en"/>
        </w:rPr>
        <w:t>“</w:t>
      </w:r>
      <w:r w:rsidR="00B86777" w:rsidRPr="00404CEB">
        <w:rPr>
          <w:rFonts w:ascii="Times New Roman" w:hAnsi="Times New Roman" w:cs="Times New Roman"/>
          <w:sz w:val="22"/>
          <w:szCs w:val="22"/>
          <w:lang w:val="en"/>
        </w:rPr>
        <w:t>Article 31 titled "Circumstances for which there are no provisions in the regulation" has been repealed.</w:t>
      </w:r>
    </w:p>
    <w:p w:rsidR="00C50931" w:rsidRPr="00404CEB" w:rsidRDefault="00B86777" w:rsidP="007B4A7D">
      <w:pPr>
        <w:pStyle w:val="ListeParagraf"/>
        <w:numPr>
          <w:ilvl w:val="0"/>
          <w:numId w:val="20"/>
        </w:numPr>
        <w:spacing w:after="0" w:line="240" w:lineRule="atLeast"/>
        <w:rPr>
          <w:rFonts w:ascii="Times New Roman" w:hAnsi="Times New Roman" w:cs="Times New Roman"/>
          <w:i/>
        </w:rPr>
      </w:pPr>
      <w:r w:rsidRPr="00404CEB">
        <w:rPr>
          <w:rFonts w:ascii="Times New Roman" w:eastAsia="Times New Roman" w:hAnsi="Times New Roman" w:cs="Times New Roman"/>
          <w:noProof w:val="0"/>
          <w:lang w:val="en" w:eastAsia="tr-TR"/>
        </w:rPr>
        <w:t>Annex-5 titled "Warning Report" has been added to the Regulation.</w:t>
      </w:r>
      <w:r w:rsidR="00C50931" w:rsidRPr="00404CEB">
        <w:rPr>
          <w:rFonts w:ascii="Times New Roman" w:hAnsi="Times New Roman" w:cs="Times New Roman"/>
        </w:rPr>
        <w:t>.</w:t>
      </w:r>
    </w:p>
    <w:p w:rsidR="00C50931" w:rsidRPr="004E7F7B" w:rsidRDefault="00B86777" w:rsidP="007B4A7D">
      <w:pPr>
        <w:pStyle w:val="Balk3"/>
        <w:numPr>
          <w:ilvl w:val="2"/>
          <w:numId w:val="39"/>
        </w:numPr>
        <w:spacing w:before="200"/>
        <w:rPr>
          <w:rFonts w:ascii="Times New Roman" w:hAnsi="Times New Roman" w:cs="Times New Roman"/>
          <w:sz w:val="22"/>
          <w:szCs w:val="22"/>
        </w:rPr>
      </w:pPr>
      <w:bookmarkStart w:id="49" w:name="_Toc48817835"/>
      <w:r w:rsidRPr="004E7F7B">
        <w:rPr>
          <w:rFonts w:ascii="Times New Roman" w:hAnsi="Times New Roman" w:cs="Times New Roman"/>
          <w:sz w:val="22"/>
          <w:szCs w:val="22"/>
        </w:rPr>
        <w:t>Communiqués</w:t>
      </w:r>
      <w:bookmarkEnd w:id="49"/>
    </w:p>
    <w:p w:rsidR="00C50931" w:rsidRPr="004E7F7B" w:rsidRDefault="006B19A5" w:rsidP="00C51FE5">
      <w:pPr>
        <w:rPr>
          <w:color w:val="000000" w:themeColor="text1"/>
        </w:rPr>
      </w:pPr>
      <w:r w:rsidRPr="004E7F7B">
        <w:rPr>
          <w:lang w:val="en"/>
        </w:rPr>
        <w:t>In 2019, the following Communiqué studies were carried out in the LPG market:</w:t>
      </w:r>
    </w:p>
    <w:p w:rsidR="00C50931" w:rsidRPr="00C51FE5" w:rsidRDefault="006B19A5" w:rsidP="007B4A7D">
      <w:pPr>
        <w:pStyle w:val="ListeParagraf"/>
        <w:numPr>
          <w:ilvl w:val="0"/>
          <w:numId w:val="31"/>
        </w:numPr>
        <w:rPr>
          <w:color w:val="000000" w:themeColor="text1"/>
        </w:rPr>
      </w:pPr>
      <w:r w:rsidRPr="00C51FE5">
        <w:rPr>
          <w:lang w:val="en"/>
        </w:rPr>
        <w:t>The following amendments were made with the Amendment Communiqué published in the Official Gazette dated 31.12.2019 and numbered 30995 (4th Repeating) to the Communiqué on Tracking Liquefied Petroleum Gases (LPG) Cylinders in the Market</w:t>
      </w:r>
      <w:r w:rsidR="00C50931" w:rsidRPr="00C51FE5">
        <w:rPr>
          <w:b/>
        </w:rPr>
        <w:t>;</w:t>
      </w:r>
    </w:p>
    <w:p w:rsidR="00C50931" w:rsidRPr="00C51FE5" w:rsidRDefault="004B281D" w:rsidP="007B4A7D">
      <w:pPr>
        <w:pStyle w:val="ListeParagraf"/>
        <w:numPr>
          <w:ilvl w:val="0"/>
          <w:numId w:val="21"/>
        </w:numPr>
        <w:spacing w:after="0" w:line="276" w:lineRule="auto"/>
        <w:rPr>
          <w:rFonts w:ascii="Times New Roman" w:hAnsi="Times New Roman" w:cs="Times New Roman"/>
        </w:rPr>
      </w:pPr>
      <w:r w:rsidRPr="00C51FE5">
        <w:rPr>
          <w:rFonts w:ascii="Times New Roman" w:hAnsi="Times New Roman" w:cs="Times New Roman"/>
          <w:lang w:val="en"/>
        </w:rPr>
        <w:t>Article 3 titled "Basis" has been amended. With the amendment made, the phrase "Article 2 of the Decree Law No. 635 dated 03.06.2011 on the Organization and Duties of the Ministry of Science, Industry and Technology" was replaced by the "Presidential Decree No. 1 on the Presidential Organization, published in the Official Gazette dated 10.07.2018 and numbered 30474. The phrase “Articles 385 and 392” has been added</w:t>
      </w:r>
    </w:p>
    <w:p w:rsidR="00C50931" w:rsidRPr="00C51FE5" w:rsidRDefault="004B281D" w:rsidP="007B4A7D">
      <w:pPr>
        <w:pStyle w:val="ListeParagraf"/>
        <w:numPr>
          <w:ilvl w:val="0"/>
          <w:numId w:val="21"/>
        </w:numPr>
        <w:spacing w:after="0" w:line="276" w:lineRule="auto"/>
        <w:rPr>
          <w:rFonts w:ascii="Times New Roman" w:hAnsi="Times New Roman" w:cs="Times New Roman"/>
        </w:rPr>
      </w:pPr>
      <w:r w:rsidRPr="00C51FE5">
        <w:rPr>
          <w:rFonts w:ascii="Times New Roman" w:hAnsi="Times New Roman" w:cs="Times New Roman"/>
          <w:lang w:val="en"/>
        </w:rPr>
        <w:t>- The definition of the Ministry in Article 4 titled "Definitions" has been changed. With the amendment made, the phrase "Ministry of Science, Industry and Technology" has been replaced with the phrase "Ministry of Industry and Technology".</w:t>
      </w:r>
    </w:p>
    <w:p w:rsidR="00C50931" w:rsidRPr="00C51FE5" w:rsidRDefault="004B281D" w:rsidP="007B4A7D">
      <w:pPr>
        <w:pStyle w:val="ListeParagraf"/>
        <w:numPr>
          <w:ilvl w:val="0"/>
          <w:numId w:val="21"/>
        </w:numPr>
        <w:spacing w:after="0" w:line="276" w:lineRule="auto"/>
        <w:rPr>
          <w:rFonts w:ascii="Times New Roman" w:hAnsi="Times New Roman" w:cs="Times New Roman"/>
        </w:rPr>
      </w:pPr>
      <w:r w:rsidRPr="00C51FE5">
        <w:rPr>
          <w:rFonts w:ascii="Times New Roman" w:hAnsi="Times New Roman" w:cs="Times New Roman"/>
          <w:lang w:val="en"/>
        </w:rPr>
        <w:lastRenderedPageBreak/>
        <w:t>- Subparagraph (f) of the fifth paragraph of Article 6 titled "Application" has been repealed. Removed clause "Notified body number for cylinders manufactured after 01.07.2015"</w:t>
      </w:r>
      <w:r w:rsidR="00C50931" w:rsidRPr="00C51FE5">
        <w:rPr>
          <w:rFonts w:ascii="Times New Roman" w:hAnsi="Times New Roman" w:cs="Times New Roman"/>
          <w:i/>
        </w:rPr>
        <w:t xml:space="preserve"> </w:t>
      </w:r>
      <w:r w:rsidR="00C50931" w:rsidRPr="00C51FE5">
        <w:rPr>
          <w:rFonts w:ascii="Times New Roman" w:hAnsi="Times New Roman" w:cs="Times New Roman"/>
        </w:rPr>
        <w:t xml:space="preserve"> .</w:t>
      </w:r>
    </w:p>
    <w:p w:rsidR="004B281D" w:rsidRPr="00C51FE5" w:rsidRDefault="004B281D" w:rsidP="007B4A7D">
      <w:pPr>
        <w:pStyle w:val="ListeParagraf"/>
        <w:numPr>
          <w:ilvl w:val="0"/>
          <w:numId w:val="21"/>
        </w:numPr>
        <w:spacing w:after="0" w:line="276" w:lineRule="auto"/>
        <w:rPr>
          <w:rFonts w:ascii="Times New Roman" w:hAnsi="Times New Roman" w:cs="Times New Roman"/>
          <w:lang w:val="en"/>
        </w:rPr>
      </w:pPr>
      <w:r w:rsidRPr="00C51FE5">
        <w:rPr>
          <w:rFonts w:ascii="Times New Roman" w:hAnsi="Times New Roman" w:cs="Times New Roman"/>
          <w:lang w:val="en"/>
        </w:rPr>
        <w:t>Temporary article 1 of the Communiqué titled "Activation of tracking system" has been changed. With the change, the last date on which the tracking system will be established has been changed from 31.12.2019 to 31.12.2023.</w:t>
      </w:r>
    </w:p>
    <w:p w:rsidR="004B281D" w:rsidRPr="00C51FE5" w:rsidRDefault="004B281D" w:rsidP="007B4A7D">
      <w:pPr>
        <w:pStyle w:val="ListeParagraf"/>
        <w:numPr>
          <w:ilvl w:val="0"/>
          <w:numId w:val="21"/>
        </w:numPr>
        <w:spacing w:after="0" w:line="276" w:lineRule="auto"/>
        <w:rPr>
          <w:rFonts w:ascii="Times New Roman" w:hAnsi="Times New Roman" w:cs="Times New Roman"/>
          <w:lang w:val="en"/>
        </w:rPr>
      </w:pPr>
      <w:r w:rsidRPr="00C51FE5">
        <w:rPr>
          <w:rFonts w:ascii="Times New Roman" w:hAnsi="Times New Roman" w:cs="Times New Roman"/>
          <w:lang w:val="en"/>
        </w:rPr>
        <w:t>The phrase "Science" in the first paragraph of Article 9 titled "Execution" of the Communiqué has been abolished.</w:t>
      </w:r>
    </w:p>
    <w:p w:rsidR="00C50931" w:rsidRPr="00C51FE5" w:rsidRDefault="004B281D" w:rsidP="007B4A7D">
      <w:pPr>
        <w:pStyle w:val="ListeParagraf"/>
        <w:numPr>
          <w:ilvl w:val="0"/>
          <w:numId w:val="21"/>
        </w:numPr>
        <w:spacing w:after="0" w:line="276" w:lineRule="auto"/>
        <w:rPr>
          <w:rFonts w:ascii="Times New Roman" w:hAnsi="Times New Roman" w:cs="Times New Roman"/>
          <w:lang w:val="en"/>
        </w:rPr>
      </w:pPr>
      <w:r w:rsidRPr="00C51FE5">
        <w:rPr>
          <w:rFonts w:ascii="Times New Roman" w:hAnsi="Times New Roman" w:cs="Times New Roman"/>
          <w:lang w:val="en"/>
        </w:rPr>
        <w:t>Annex-1, which contains the data matrix template of the notification, has been changed.</w:t>
      </w:r>
      <w:r w:rsidR="00C50931" w:rsidRPr="00C51FE5">
        <w:rPr>
          <w:rFonts w:ascii="Times New Roman" w:hAnsi="Times New Roman" w:cs="Times New Roman"/>
          <w:lang w:val="en"/>
        </w:rPr>
        <w:t>.</w:t>
      </w:r>
    </w:p>
    <w:p w:rsidR="00C50931" w:rsidRPr="00C51FE5" w:rsidRDefault="004B281D" w:rsidP="007B4A7D">
      <w:pPr>
        <w:pStyle w:val="ListeParagraf"/>
        <w:numPr>
          <w:ilvl w:val="0"/>
          <w:numId w:val="31"/>
        </w:numPr>
        <w:rPr>
          <w:color w:val="000000" w:themeColor="text1"/>
        </w:rPr>
      </w:pPr>
      <w:r w:rsidRPr="00C51FE5">
        <w:rPr>
          <w:lang w:val="en"/>
        </w:rPr>
        <w:t>The Communiqué on Fines to be Imposed in 2020 in accordance with Article 16 of the Liquefied Petroleum Gases (LPG) Market Law No. 5307 and the Law on Amendment to the Electricity Market Law, published in the Official Gazette dated 31.12.2019 and numbered 30995 (4th Repeating), as of 01.01.2020 entered into force</w:t>
      </w:r>
      <w:r w:rsidR="00C50931" w:rsidRPr="004E7F7B">
        <w:t>.</w:t>
      </w:r>
    </w:p>
    <w:p w:rsidR="00C50931" w:rsidRPr="004E7F7B" w:rsidRDefault="004B281D" w:rsidP="007B4A7D">
      <w:pPr>
        <w:pStyle w:val="Balk3"/>
        <w:numPr>
          <w:ilvl w:val="2"/>
          <w:numId w:val="39"/>
        </w:numPr>
        <w:spacing w:before="200"/>
        <w:rPr>
          <w:rFonts w:ascii="Times New Roman" w:hAnsi="Times New Roman" w:cs="Times New Roman"/>
          <w:sz w:val="22"/>
          <w:szCs w:val="22"/>
        </w:rPr>
      </w:pPr>
      <w:bookmarkStart w:id="50" w:name="_Toc48817836"/>
      <w:r w:rsidRPr="004E7F7B">
        <w:rPr>
          <w:rFonts w:ascii="Times New Roman" w:hAnsi="Times New Roman" w:cs="Times New Roman"/>
          <w:sz w:val="22"/>
          <w:szCs w:val="22"/>
        </w:rPr>
        <w:t>Board Decisions</w:t>
      </w:r>
      <w:bookmarkEnd w:id="50"/>
    </w:p>
    <w:p w:rsidR="00C50931" w:rsidRPr="004E7F7B" w:rsidRDefault="004B281D" w:rsidP="00C51FE5">
      <w:pPr>
        <w:rPr>
          <w:color w:val="000000" w:themeColor="text1"/>
        </w:rPr>
      </w:pPr>
      <w:r w:rsidRPr="004E7F7B">
        <w:rPr>
          <w:lang w:val="en"/>
        </w:rPr>
        <w:t>In 2019, the following Board decisions were made as a regulatory act in the LPG market</w:t>
      </w:r>
      <w:r w:rsidR="00C50931" w:rsidRPr="004E7F7B">
        <w:rPr>
          <w:color w:val="000000" w:themeColor="text1"/>
        </w:rPr>
        <w:t>:</w:t>
      </w:r>
    </w:p>
    <w:p w:rsidR="00C50931" w:rsidRPr="004E7F7B" w:rsidRDefault="004B281D" w:rsidP="007B4A7D">
      <w:pPr>
        <w:pStyle w:val="ListeParagraf"/>
        <w:numPr>
          <w:ilvl w:val="0"/>
          <w:numId w:val="31"/>
        </w:numPr>
      </w:pPr>
      <w:r w:rsidRPr="004E7F7B">
        <w:t xml:space="preserve">The following amendments were made to </w:t>
      </w:r>
      <w:r w:rsidRPr="00C51FE5">
        <w:rPr>
          <w:lang w:val="en"/>
        </w:rPr>
        <w:t>the Board Decision on Liquefied Petroleum Gases (LPG) Market with the Amending Board Decision dated 18.04.2019 and numbered 8546 published in the Official Gazette dated 24.04.2019 and numbered 30754</w:t>
      </w:r>
      <w:r w:rsidRPr="004E7F7B">
        <w:t xml:space="preserve"> 24.04</w:t>
      </w:r>
      <w:r w:rsidR="00C50931" w:rsidRPr="00C51FE5">
        <w:rPr>
          <w:b/>
          <w:i/>
        </w:rPr>
        <w:t>;</w:t>
      </w:r>
    </w:p>
    <w:p w:rsidR="00C50931" w:rsidRPr="00C51FE5" w:rsidRDefault="004B281D" w:rsidP="007B4A7D">
      <w:pPr>
        <w:pStyle w:val="ListeParagraf"/>
        <w:numPr>
          <w:ilvl w:val="0"/>
          <w:numId w:val="18"/>
        </w:numPr>
        <w:tabs>
          <w:tab w:val="left" w:pos="284"/>
          <w:tab w:val="left" w:pos="567"/>
          <w:tab w:val="left" w:pos="709"/>
          <w:tab w:val="left" w:pos="851"/>
        </w:tabs>
        <w:spacing w:after="0" w:line="269" w:lineRule="auto"/>
        <w:rPr>
          <w:rFonts w:ascii="Times New Roman" w:hAnsi="Times New Roman" w:cs="Times New Roman"/>
        </w:rPr>
      </w:pPr>
      <w:r w:rsidRPr="00C51FE5">
        <w:rPr>
          <w:rFonts w:ascii="Times New Roman" w:hAnsi="Times New Roman" w:cs="Times New Roman"/>
          <w:lang w:val="en"/>
        </w:rPr>
        <w:t>The definition of "Statement Regarding Tracking System for LPG Cylinders" in Article 3 titled "Definitions" "In the LPG distributor license applications of companies that want to operate in LPG cylinders, the applicant will be able to follow the LPG cylinders from the filling stage to the end user in accordance with the relevant legislation. written declaration that they will implement "</w:t>
      </w:r>
      <w:r w:rsidR="00C50931" w:rsidRPr="00C51FE5">
        <w:rPr>
          <w:rFonts w:ascii="Times New Roman" w:hAnsi="Times New Roman" w:cs="Times New Roman"/>
        </w:rPr>
        <w:t>.</w:t>
      </w:r>
    </w:p>
    <w:p w:rsidR="00C50931" w:rsidRPr="00C51FE5" w:rsidRDefault="004B281D" w:rsidP="007B4A7D">
      <w:pPr>
        <w:pStyle w:val="ListeParagraf"/>
        <w:numPr>
          <w:ilvl w:val="0"/>
          <w:numId w:val="18"/>
        </w:numPr>
        <w:tabs>
          <w:tab w:val="left" w:pos="284"/>
          <w:tab w:val="left" w:pos="567"/>
          <w:tab w:val="left" w:pos="709"/>
          <w:tab w:val="left" w:pos="851"/>
        </w:tabs>
        <w:spacing w:after="0" w:line="269" w:lineRule="auto"/>
        <w:rPr>
          <w:rFonts w:ascii="Times New Roman" w:hAnsi="Times New Roman" w:cs="Times New Roman"/>
        </w:rPr>
      </w:pPr>
      <w:r w:rsidRPr="00C51FE5">
        <w:rPr>
          <w:rFonts w:ascii="Times New Roman" w:hAnsi="Times New Roman" w:cs="Times New Roman"/>
          <w:lang w:val="en"/>
        </w:rPr>
        <w:t>The fifteenth paragraph of Article 4 titled "Common Provisions" has been amended. Amendment “If LPG Distributor License holders also apply for licenses for other license types. In the event that the Partners, Chairman and Members of the Board of Directors, and the Authority Statement present in the LPG distributor license file and the date and number of the letter of authorization submitted to the Authority and declare that these documents are still correct and valid, they are not required to submit these documents to the Agency again. " It shaped. The phrase "criminal records or" that comes after the official declaration in this text has been removed.</w:t>
      </w:r>
      <w:r w:rsidR="00C50931" w:rsidRPr="00C51FE5">
        <w:rPr>
          <w:rFonts w:ascii="Times New Roman" w:hAnsi="Times New Roman" w:cs="Times New Roman"/>
        </w:rPr>
        <w:t>.</w:t>
      </w:r>
    </w:p>
    <w:p w:rsidR="00C50931" w:rsidRPr="00C51FE5" w:rsidRDefault="004B281D" w:rsidP="007B4A7D">
      <w:pPr>
        <w:pStyle w:val="ListeParagraf"/>
        <w:numPr>
          <w:ilvl w:val="0"/>
          <w:numId w:val="18"/>
        </w:numPr>
        <w:tabs>
          <w:tab w:val="left" w:pos="284"/>
          <w:tab w:val="left" w:pos="567"/>
          <w:tab w:val="left" w:pos="709"/>
          <w:tab w:val="left" w:pos="851"/>
        </w:tabs>
        <w:spacing w:after="0" w:line="269" w:lineRule="auto"/>
        <w:rPr>
          <w:rFonts w:ascii="Times New Roman" w:hAnsi="Times New Roman" w:cs="Times New Roman"/>
        </w:rPr>
      </w:pPr>
      <w:r w:rsidRPr="00C51FE5">
        <w:rPr>
          <w:rFonts w:ascii="Times New Roman" w:hAnsi="Times New Roman" w:cs="Times New Roman"/>
          <w:lang w:val="en"/>
        </w:rPr>
        <w:t>Clause (a) of the first paragraph of Article 5 titled "LPG Distributor License" has been amended. The amendment is that regarding the information and documents to be submitted in the LPG distributor license application, the facility file containing the information and invoices of the LPG cylinders owned for companies wishing to engage in bottled LPG activities should also be submitted. In its previous form, all companies provided information and documents on LPG cylinders.</w:t>
      </w:r>
      <w:r w:rsidR="00C50931" w:rsidRPr="00C51FE5">
        <w:rPr>
          <w:rFonts w:ascii="Times New Roman" w:hAnsi="Times New Roman" w:cs="Times New Roman"/>
        </w:rPr>
        <w:t>.</w:t>
      </w:r>
    </w:p>
    <w:p w:rsidR="00C50931" w:rsidRPr="004E7F7B" w:rsidRDefault="004B281D" w:rsidP="007B4A7D">
      <w:pPr>
        <w:pStyle w:val="ListeParagraf"/>
        <w:numPr>
          <w:ilvl w:val="0"/>
          <w:numId w:val="31"/>
        </w:numPr>
      </w:pPr>
      <w:r w:rsidRPr="00C51FE5">
        <w:rPr>
          <w:lang w:val="en"/>
        </w:rPr>
        <w:t xml:space="preserve">With the Amending Board Decision dated 18.04.2019 and numbered 8547, published in the Official Gazette dated 24.04.2019 and numbered 30754, and the Board Decision Regarding the Information and Documents Required in Liquefied Petroleum Gases (LPG) Market for License Amendment, Extension of Time and Termination Applications; The second and third paragraphs of Article 11 titled “Information and Documents to be Required for License Extension and Termination Applications” have been repealed and the first, fourth and fifth paragraphs have </w:t>
      </w:r>
      <w:r w:rsidRPr="00C51FE5">
        <w:rPr>
          <w:lang w:val="en"/>
        </w:rPr>
        <w:lastRenderedPageBreak/>
        <w:t>been amended. The amendments and replacements are related to the license extensions to be made electronically through distributors.</w:t>
      </w:r>
    </w:p>
    <w:p w:rsidR="00C50931" w:rsidRPr="004E7F7B" w:rsidRDefault="004B281D" w:rsidP="007B4A7D">
      <w:pPr>
        <w:pStyle w:val="ListeParagraf"/>
        <w:numPr>
          <w:ilvl w:val="0"/>
          <w:numId w:val="31"/>
        </w:numPr>
      </w:pPr>
      <w:r w:rsidRPr="00C51FE5">
        <w:rPr>
          <w:lang w:val="en"/>
        </w:rPr>
        <w:t xml:space="preserve">In accordance with Article 16 of the Petroleum Market Law No. 5015 and Article 40 of the Liquefied Petroleum Gases (LPG) Market License Regulation with the Board Decision No.9027 and dated 26.12.2019 published in the Official Gazette dated 29.12.2019 and numbered 30993, the revenue cap in the LPG market for 2020  was decided to be determined as </w:t>
      </w:r>
      <w:r w:rsidR="00A648B8" w:rsidRPr="00C51FE5">
        <w:rPr>
          <w:lang w:val="en"/>
        </w:rPr>
        <w:t>10,82</w:t>
      </w:r>
      <w:r w:rsidRPr="00C51FE5">
        <w:rPr>
          <w:lang w:val="en"/>
        </w:rPr>
        <w:t>82 TL / Ton.</w:t>
      </w:r>
    </w:p>
    <w:p w:rsidR="00FE7FEB" w:rsidRPr="004E7F7B" w:rsidRDefault="004530BB" w:rsidP="004E7F7B">
      <w:pPr>
        <w:pStyle w:val="Balk2"/>
        <w:rPr>
          <w:rFonts w:ascii="Times New Roman" w:hAnsi="Times New Roman" w:cs="Times New Roman"/>
          <w:sz w:val="22"/>
          <w:szCs w:val="22"/>
        </w:rPr>
      </w:pPr>
      <w:bookmarkStart w:id="51" w:name="_Toc48817837"/>
      <w:r w:rsidRPr="004E7F7B">
        <w:rPr>
          <w:rFonts w:ascii="Times New Roman" w:hAnsi="Times New Roman" w:cs="Times New Roman"/>
          <w:sz w:val="22"/>
          <w:szCs w:val="22"/>
        </w:rPr>
        <w:t>2.5.</w:t>
      </w:r>
      <w:r w:rsidR="00FE7FEB" w:rsidRPr="004E7F7B">
        <w:rPr>
          <w:rFonts w:ascii="Times New Roman" w:hAnsi="Times New Roman" w:cs="Times New Roman"/>
          <w:sz w:val="22"/>
          <w:szCs w:val="22"/>
        </w:rPr>
        <w:t>Other Legislation Activities</w:t>
      </w:r>
      <w:bookmarkEnd w:id="51"/>
    </w:p>
    <w:p w:rsidR="00FE7FEB" w:rsidRPr="004E7F7B" w:rsidRDefault="00FE7FEB" w:rsidP="00C51FE5">
      <w:r w:rsidRPr="004E7F7B">
        <w:t>This section includes legislative studi</w:t>
      </w:r>
      <w:r w:rsidR="00A648B8" w:rsidRPr="004E7F7B">
        <w:t>es made by the Authority in 2019</w:t>
      </w:r>
      <w:r w:rsidRPr="004E7F7B">
        <w:t>, irrespective of sectoral classification mentioned above.</w:t>
      </w:r>
    </w:p>
    <w:p w:rsidR="00C50931" w:rsidRPr="004E7F7B" w:rsidRDefault="00A648B8" w:rsidP="007B4A7D">
      <w:pPr>
        <w:pStyle w:val="Balk3"/>
        <w:numPr>
          <w:ilvl w:val="2"/>
          <w:numId w:val="22"/>
        </w:numPr>
        <w:spacing w:before="0"/>
        <w:rPr>
          <w:rFonts w:ascii="Times New Roman" w:hAnsi="Times New Roman" w:cs="Times New Roman"/>
          <w:sz w:val="22"/>
          <w:szCs w:val="22"/>
        </w:rPr>
      </w:pPr>
      <w:bookmarkStart w:id="52" w:name="_Toc48817838"/>
      <w:bookmarkStart w:id="53" w:name="_Toc514251630"/>
      <w:bookmarkStart w:id="54" w:name="_Toc39153429"/>
      <w:r w:rsidRPr="004E7F7B">
        <w:rPr>
          <w:rFonts w:ascii="Times New Roman" w:hAnsi="Times New Roman" w:cs="Times New Roman"/>
          <w:color w:val="222222"/>
          <w:sz w:val="22"/>
          <w:szCs w:val="22"/>
          <w:lang w:val="en"/>
        </w:rPr>
        <w:t>Legislative Amendments Regarding Energy Market Notifications</w:t>
      </w:r>
      <w:bookmarkEnd w:id="52"/>
      <w:r w:rsidR="00C50931" w:rsidRPr="004E7F7B">
        <w:rPr>
          <w:rFonts w:ascii="Times New Roman" w:hAnsi="Times New Roman" w:cs="Times New Roman"/>
          <w:sz w:val="22"/>
          <w:szCs w:val="22"/>
        </w:rPr>
        <w:t xml:space="preserve"> </w:t>
      </w:r>
      <w:bookmarkEnd w:id="53"/>
      <w:bookmarkEnd w:id="54"/>
    </w:p>
    <w:p w:rsidR="00C50931" w:rsidRPr="00C51FE5" w:rsidRDefault="00A648B8" w:rsidP="00C51FE5">
      <w:r w:rsidRPr="00C51FE5">
        <w:rPr>
          <w:lang w:val="en"/>
        </w:rPr>
        <w:t>Within the framework of the request of the departments and the legislative changes made, the quality of the data and the data acquisition times, etc., taking the opinions of the sector. The following changes have been made in this direction</w:t>
      </w:r>
      <w:r w:rsidR="00C50931" w:rsidRPr="00C51FE5">
        <w:t>.</w:t>
      </w:r>
    </w:p>
    <w:p w:rsidR="00C50931" w:rsidRPr="00404CEB" w:rsidRDefault="00A648B8" w:rsidP="007B4A7D">
      <w:pPr>
        <w:pStyle w:val="ListeParagraf"/>
        <w:numPr>
          <w:ilvl w:val="0"/>
          <w:numId w:val="32"/>
        </w:numPr>
      </w:pPr>
      <w:r w:rsidRPr="00404CEB">
        <w:t xml:space="preserve">With the Board Decision dated 31.01.2019 and numbered 8409 published in the Official Gazette dated 06.02.2019 and numbered 30678, </w:t>
      </w:r>
      <w:r w:rsidRPr="00404CEB">
        <w:rPr>
          <w:lang w:val="en"/>
        </w:rPr>
        <w:t xml:space="preserve"> It was decided to amend Annex-1 Electricity Market Notification Obligation Table, which is an annex to the Energy Market Notification System Usage Instruction adopted by the Board Decision dated 20.11.2014 and numbered 5313-1 published in the Official Gazette dated 24.12.2014 and numbered 29215. </w:t>
      </w:r>
      <w:r w:rsidRPr="00404CEB">
        <w:t xml:space="preserve"> </w:t>
      </w:r>
    </w:p>
    <w:p w:rsidR="00C50931" w:rsidRPr="00404CEB" w:rsidRDefault="009F0171" w:rsidP="007B4A7D">
      <w:pPr>
        <w:pStyle w:val="ListeParagraf"/>
        <w:numPr>
          <w:ilvl w:val="0"/>
          <w:numId w:val="32"/>
        </w:numPr>
      </w:pPr>
      <w:r w:rsidRPr="00404CEB">
        <w:t>With the Board Decision dated 31.01</w:t>
      </w:r>
      <w:r w:rsidR="00A648B8" w:rsidRPr="00404CEB">
        <w:t>.</w:t>
      </w:r>
      <w:r w:rsidRPr="00404CEB">
        <w:t xml:space="preserve">2019 and numbered 8410 published </w:t>
      </w:r>
      <w:r w:rsidR="002777A9" w:rsidRPr="00404CEB">
        <w:t>in the Official Gazette dated 06.02.2019 and numbered 30678</w:t>
      </w:r>
      <w:r w:rsidR="00A648B8" w:rsidRPr="00404CEB">
        <w:rPr>
          <w:lang w:val="en"/>
        </w:rPr>
        <w:t xml:space="preserve"> It has been decided to amend Annex-2 </w:t>
      </w:r>
      <w:r w:rsidRPr="00404CEB">
        <w:rPr>
          <w:lang w:val="en"/>
        </w:rPr>
        <w:t>“</w:t>
      </w:r>
      <w:r w:rsidR="00A648B8" w:rsidRPr="00404CEB">
        <w:rPr>
          <w:lang w:val="en"/>
        </w:rPr>
        <w:t>Natural Gas Market Notification Obligation Table</w:t>
      </w:r>
      <w:r w:rsidRPr="00404CEB">
        <w:rPr>
          <w:lang w:val="en"/>
        </w:rPr>
        <w:t>”</w:t>
      </w:r>
      <w:r w:rsidR="00A648B8" w:rsidRPr="00404CEB">
        <w:rPr>
          <w:lang w:val="en"/>
        </w:rPr>
        <w:t xml:space="preserve"> annex</w:t>
      </w:r>
      <w:r w:rsidRPr="00404CEB">
        <w:rPr>
          <w:lang w:val="en"/>
        </w:rPr>
        <w:t>ed</w:t>
      </w:r>
      <w:r w:rsidR="00A648B8" w:rsidRPr="00404CEB">
        <w:rPr>
          <w:lang w:val="en"/>
        </w:rPr>
        <w:t xml:space="preserve"> to the Energy Market Notification System Usage Instruction</w:t>
      </w:r>
      <w:r w:rsidRPr="00404CEB">
        <w:rPr>
          <w:lang w:val="en"/>
        </w:rPr>
        <w:t xml:space="preserve">s adopted by the Board Decision </w:t>
      </w:r>
      <w:r w:rsidR="00A648B8" w:rsidRPr="00404CEB">
        <w:t xml:space="preserve"> </w:t>
      </w:r>
      <w:r w:rsidR="002777A9" w:rsidRPr="00404CEB">
        <w:t>dated  20/11/2014 ad numbered</w:t>
      </w:r>
      <w:r w:rsidR="00C50931" w:rsidRPr="00404CEB">
        <w:t xml:space="preserve"> 5313-1 </w:t>
      </w:r>
      <w:r w:rsidR="002777A9" w:rsidRPr="00404CEB">
        <w:t xml:space="preserve">and published in the Official Gazette dated </w:t>
      </w:r>
      <w:r w:rsidR="00C50931" w:rsidRPr="00404CEB">
        <w:t xml:space="preserve">24/12/2014 </w:t>
      </w:r>
      <w:r w:rsidR="002777A9" w:rsidRPr="00404CEB">
        <w:t xml:space="preserve">and numbered </w:t>
      </w:r>
      <w:r w:rsidR="00C50931" w:rsidRPr="00404CEB">
        <w:t>29215</w:t>
      </w:r>
      <w:r w:rsidR="002777A9" w:rsidRPr="00404CEB">
        <w:t>.</w:t>
      </w:r>
    </w:p>
    <w:p w:rsidR="00C50931" w:rsidRPr="00404CEB" w:rsidRDefault="009F0171" w:rsidP="007B4A7D">
      <w:pPr>
        <w:pStyle w:val="ListeParagraf"/>
        <w:numPr>
          <w:ilvl w:val="0"/>
          <w:numId w:val="32"/>
        </w:numPr>
      </w:pPr>
      <w:r w:rsidRPr="00404CEB">
        <w:t>With the Board Decision dated 31.01.2019 and numbered 8411 published in the Official Gazette dated 06.02.2019 and numbered</w:t>
      </w:r>
      <w:r w:rsidR="00C50931" w:rsidRPr="00404CEB">
        <w:t xml:space="preserve"> 30678 </w:t>
      </w:r>
      <w:r w:rsidRPr="00404CEB">
        <w:t xml:space="preserve">it was decided to amend the Annex-3 “Petroleum Market Notification Obligation Table” of the “Energy Market Notification System Usage Instructions” adopted by the Board Decision dated 20/11/2014 and numbered5313-1 and published in the Official Gazette dated </w:t>
      </w:r>
      <w:r w:rsidR="00C50931" w:rsidRPr="00404CEB">
        <w:t xml:space="preserve"> </w:t>
      </w:r>
      <w:r w:rsidRPr="00404CEB">
        <w:t>24/12/2014 and numbered</w:t>
      </w:r>
      <w:r w:rsidR="00C50931" w:rsidRPr="00404CEB">
        <w:t xml:space="preserve"> 29215</w:t>
      </w:r>
      <w:r w:rsidRPr="00404CEB">
        <w:t xml:space="preserve">. </w:t>
      </w:r>
      <w:r w:rsidR="00C50931" w:rsidRPr="00404CEB">
        <w:t xml:space="preserve"> </w:t>
      </w:r>
    </w:p>
    <w:p w:rsidR="00C50931" w:rsidRPr="00404CEB" w:rsidRDefault="002777A9" w:rsidP="007B4A7D">
      <w:pPr>
        <w:pStyle w:val="ListeParagraf"/>
        <w:numPr>
          <w:ilvl w:val="0"/>
          <w:numId w:val="32"/>
        </w:numPr>
      </w:pPr>
      <w:r w:rsidRPr="00404CEB">
        <w:t>With the Board Decision dated 31.01.2019 and numbered 8412 published in the Official Gazette dated 06.02.2019 and numbered</w:t>
      </w:r>
      <w:r w:rsidR="00C50931" w:rsidRPr="00404CEB">
        <w:t xml:space="preserve"> 30678 </w:t>
      </w:r>
      <w:r w:rsidRPr="00404CEB">
        <w:t>it was decided to amend Annex-4 “LPG Market Notification Obligation Table” of the “Energy Market Notification System Usage Instructions” adopted by the Board Decision dated 20/11/2014 and numbered</w:t>
      </w:r>
      <w:r w:rsidR="00C50931" w:rsidRPr="00404CEB">
        <w:t xml:space="preserve"> </w:t>
      </w:r>
      <w:r w:rsidRPr="00404CEB">
        <w:t>and published in the Official Gazette dated 24/12/2014 and numbered</w:t>
      </w:r>
      <w:r w:rsidR="00C50931" w:rsidRPr="00404CEB">
        <w:t xml:space="preserve"> 29215</w:t>
      </w:r>
      <w:r w:rsidRPr="00404CEB">
        <w:t xml:space="preserve">. </w:t>
      </w:r>
      <w:r w:rsidR="00C50931" w:rsidRPr="00404CEB">
        <w:t xml:space="preserve"> </w:t>
      </w:r>
    </w:p>
    <w:p w:rsidR="00C50931" w:rsidRPr="00C51FE5" w:rsidRDefault="002777A9" w:rsidP="007B4A7D">
      <w:pPr>
        <w:pStyle w:val="ListeParagraf"/>
        <w:numPr>
          <w:ilvl w:val="0"/>
          <w:numId w:val="32"/>
        </w:numPr>
      </w:pPr>
      <w:r w:rsidRPr="00C51FE5">
        <w:t>With the Board Decision dated 25</w:t>
      </w:r>
      <w:r w:rsidR="00C50931" w:rsidRPr="00C51FE5">
        <w:t xml:space="preserve">.04.2019 </w:t>
      </w:r>
      <w:r w:rsidRPr="00C51FE5">
        <w:t>and numbered 8559 published in the Official Gazette dated 27.04.2019 and numbered</w:t>
      </w:r>
      <w:r w:rsidR="00C50931" w:rsidRPr="00C51FE5">
        <w:t xml:space="preserve"> 30757 </w:t>
      </w:r>
      <w:r w:rsidRPr="00C51FE5">
        <w:t xml:space="preserve">it was decided to amend Annex-2 “Natural Gas Market Notification Obligation Table”, Annex-3”Petroleum Market Notification Obigation Table” and Annex-4 “LPG Market Notification Obligation Table” annexed to the “Energy Market Notification System Usage Instructions” adopted by the Board Deciison dated </w:t>
      </w:r>
      <w:r w:rsidR="006A6E64" w:rsidRPr="00C51FE5">
        <w:t xml:space="preserve">20.11.2014 and numbered 5313-1  and </w:t>
      </w:r>
      <w:r w:rsidRPr="00C51FE5">
        <w:t xml:space="preserve">published in the Official Gazette dated </w:t>
      </w:r>
      <w:r w:rsidR="006A6E64" w:rsidRPr="00C51FE5">
        <w:t xml:space="preserve">24/12/2014 and numbered </w:t>
      </w:r>
      <w:r w:rsidR="00C50931" w:rsidRPr="00C51FE5">
        <w:t>29215</w:t>
      </w:r>
      <w:r w:rsidR="006A6E64" w:rsidRPr="00C51FE5">
        <w:t>.</w:t>
      </w:r>
    </w:p>
    <w:p w:rsidR="00C50931" w:rsidRPr="004E7F7B" w:rsidRDefault="00A648B8" w:rsidP="007B4A7D">
      <w:pPr>
        <w:pStyle w:val="Balk3"/>
        <w:numPr>
          <w:ilvl w:val="2"/>
          <w:numId w:val="22"/>
        </w:numPr>
        <w:spacing w:before="200" w:after="240"/>
        <w:rPr>
          <w:rFonts w:ascii="Times New Roman" w:hAnsi="Times New Roman" w:cs="Times New Roman"/>
          <w:sz w:val="22"/>
          <w:szCs w:val="22"/>
        </w:rPr>
      </w:pPr>
      <w:bookmarkStart w:id="55" w:name="_Toc39153430"/>
      <w:bookmarkStart w:id="56" w:name="_Toc48817839"/>
      <w:r w:rsidRPr="004E7F7B">
        <w:rPr>
          <w:rFonts w:ascii="Times New Roman" w:hAnsi="Times New Roman" w:cs="Times New Roman"/>
          <w:sz w:val="22"/>
          <w:szCs w:val="22"/>
        </w:rPr>
        <w:lastRenderedPageBreak/>
        <w:t>Other Amendments</w:t>
      </w:r>
      <w:bookmarkEnd w:id="55"/>
      <w:bookmarkEnd w:id="56"/>
    </w:p>
    <w:p w:rsidR="00C50931" w:rsidRPr="004E7F7B" w:rsidRDefault="00DE5693" w:rsidP="007B4A7D">
      <w:pPr>
        <w:pStyle w:val="ListeParagraf"/>
        <w:numPr>
          <w:ilvl w:val="0"/>
          <w:numId w:val="33"/>
        </w:numPr>
      </w:pPr>
      <w:r w:rsidRPr="004E7F7B">
        <w:t>Department of ınformation Technologies was established by adding a paragraph to the Art-29 of the Law Amending Mining Law No:7164 and some Laws and Decrees published in the Official Gazette dated 28.02.2019 and numbered</w:t>
      </w:r>
      <w:r w:rsidR="00C50931" w:rsidRPr="004E7F7B">
        <w:t xml:space="preserve"> 30700 </w:t>
      </w:r>
      <w:r w:rsidRPr="004E7F7B">
        <w:t>and to the Art-9 of the Law on the Organization and Duties of the Energy Market Regulatory Authority.</w:t>
      </w:r>
    </w:p>
    <w:p w:rsidR="00DE5693" w:rsidRPr="004E7F7B" w:rsidRDefault="00DE5693" w:rsidP="007B4A7D">
      <w:pPr>
        <w:pStyle w:val="ListeParagraf"/>
        <w:numPr>
          <w:ilvl w:val="0"/>
          <w:numId w:val="33"/>
        </w:numPr>
      </w:pPr>
      <w:r w:rsidRPr="00C51FE5">
        <w:rPr>
          <w:lang w:val="en"/>
        </w:rPr>
        <w:t>With the Board Decision dated 25.04.2019 and numbered 8560, published in the Official Gazette dated 03.05.2019 and numbered 30763, its purpose is to obtain unauthorized access to the industrial control systems (EKS) used in the energy sector or before the exploitation of security vulnerabilities that may cause sensitive information and disruption of system continuity. Security Analysis and Test Procedures and Principles for Industrial Control Systems Used in the Energy Sector, which are determined and eliminated, have been accepted and entered into force upon its publication.</w:t>
      </w:r>
    </w:p>
    <w:p w:rsidR="00DE5693" w:rsidRPr="004E7F7B" w:rsidRDefault="00DE5693" w:rsidP="007B4A7D">
      <w:pPr>
        <w:pStyle w:val="ListeParagraf"/>
        <w:numPr>
          <w:ilvl w:val="0"/>
          <w:numId w:val="33"/>
        </w:numPr>
      </w:pPr>
      <w:r w:rsidRPr="00C51FE5">
        <w:rPr>
          <w:lang w:val="en"/>
        </w:rPr>
        <w:t>With the Board Decision dated 26.09.2019 and numbered 8845, published in the Official Gazette dated 01.10.2019 and numbered 30905, the Board Decision on Promotions Applied in the Oil and LPG Markets, whose purpose is to determine the procedures and principles for promotions in the oil and liquefied petroleum gas (LPG) markets.</w:t>
      </w:r>
    </w:p>
    <w:p w:rsidR="00C50931" w:rsidRPr="004E7F7B" w:rsidRDefault="00DE5693" w:rsidP="007B4A7D">
      <w:pPr>
        <w:pStyle w:val="ListeParagraf"/>
        <w:numPr>
          <w:ilvl w:val="0"/>
          <w:numId w:val="33"/>
        </w:numPr>
      </w:pPr>
      <w:r w:rsidRPr="00C51FE5">
        <w:rPr>
          <w:lang w:val="en"/>
        </w:rPr>
        <w:t>With the Board Decision dated 26.09.2019 and numbered 8857 published in the Official Gazette dated 01.10.2019 and numbered 30905, subparagraph (j) of the seventh paragraph of Article 5 of the Law on the Organization and Duties of the Energy Market Regulatory Authority numbered 4628 and the second paragraph of Article 9 (e) The Board Decision dated 03/03/2015 and numbered 5507, which was taken on the Audit of the Activities of Real and Legal Persons Operating in the Energy Market by Independent Audit Institutions, was amended. With the amendment, the scope of companies that are obliged to have independent audits has been narrowed.</w:t>
      </w:r>
    </w:p>
    <w:p w:rsidR="00FE7FEB" w:rsidRPr="004E7F7B" w:rsidRDefault="00FE7FEB" w:rsidP="004E7F7B">
      <w:pPr>
        <w:pStyle w:val="Balk1"/>
        <w:rPr>
          <w:rFonts w:ascii="Times New Roman" w:hAnsi="Times New Roman" w:cs="Times New Roman"/>
          <w:sz w:val="22"/>
          <w:szCs w:val="22"/>
        </w:rPr>
      </w:pPr>
      <w:bookmarkStart w:id="57" w:name="_Toc514251632"/>
      <w:bookmarkStart w:id="58" w:name="_Toc48817840"/>
      <w:r w:rsidRPr="004E7F7B">
        <w:rPr>
          <w:rFonts w:ascii="Times New Roman" w:hAnsi="Times New Roman" w:cs="Times New Roman"/>
          <w:sz w:val="22"/>
          <w:szCs w:val="22"/>
        </w:rPr>
        <w:t>3.</w:t>
      </w:r>
      <w:r w:rsidRPr="004E7F7B">
        <w:rPr>
          <w:rFonts w:ascii="Times New Roman" w:hAnsi="Times New Roman" w:cs="Times New Roman"/>
          <w:sz w:val="22"/>
          <w:szCs w:val="22"/>
        </w:rPr>
        <w:tab/>
        <w:t>LICENSING, CERTIFICATION AND AUTHORIZATION ACTIVITIES</w:t>
      </w:r>
      <w:bookmarkEnd w:id="57"/>
      <w:bookmarkEnd w:id="58"/>
    </w:p>
    <w:p w:rsidR="00FE7FEB" w:rsidRPr="004E7F7B" w:rsidRDefault="00FE7FEB" w:rsidP="00C51FE5">
      <w:r w:rsidRPr="004E7F7B">
        <w:t xml:space="preserve">In this section, licensing, certification and authorization activities regarding electricity, natural gas, petroleum and LPG markets are explained.  </w:t>
      </w:r>
    </w:p>
    <w:p w:rsidR="00FE7FEB" w:rsidRPr="004E7F7B" w:rsidRDefault="00FE7FEB" w:rsidP="004E7F7B">
      <w:pPr>
        <w:pStyle w:val="Balk2"/>
        <w:rPr>
          <w:rFonts w:ascii="Times New Roman" w:hAnsi="Times New Roman" w:cs="Times New Roman"/>
          <w:sz w:val="22"/>
          <w:szCs w:val="22"/>
        </w:rPr>
      </w:pPr>
      <w:bookmarkStart w:id="59" w:name="_Toc48817841"/>
      <w:bookmarkStart w:id="60" w:name="_Toc442431255"/>
      <w:bookmarkStart w:id="61" w:name="_Toc514251633"/>
      <w:r w:rsidRPr="004E7F7B">
        <w:rPr>
          <w:rFonts w:ascii="Times New Roman" w:hAnsi="Times New Roman" w:cs="Times New Roman"/>
          <w:sz w:val="22"/>
          <w:szCs w:val="22"/>
        </w:rPr>
        <w:t>3.1.Electricity Market Licensing and Authorization Activities</w:t>
      </w:r>
      <w:bookmarkEnd w:id="59"/>
      <w:r w:rsidRPr="004E7F7B">
        <w:rPr>
          <w:rFonts w:ascii="Times New Roman" w:hAnsi="Times New Roman" w:cs="Times New Roman"/>
          <w:sz w:val="22"/>
          <w:szCs w:val="22"/>
        </w:rPr>
        <w:t xml:space="preserve"> </w:t>
      </w:r>
      <w:bookmarkEnd w:id="60"/>
      <w:bookmarkEnd w:id="61"/>
    </w:p>
    <w:p w:rsidR="00FE7FEB" w:rsidRPr="004E7F7B" w:rsidRDefault="00FE7FEB" w:rsidP="004E7F7B">
      <w:pPr>
        <w:pStyle w:val="Balk3"/>
        <w:rPr>
          <w:rFonts w:ascii="Times New Roman" w:hAnsi="Times New Roman" w:cs="Times New Roman"/>
          <w:sz w:val="22"/>
          <w:szCs w:val="22"/>
        </w:rPr>
      </w:pPr>
      <w:bookmarkStart w:id="62" w:name="_Toc442431256"/>
      <w:bookmarkStart w:id="63" w:name="_Toc514251634"/>
      <w:bookmarkStart w:id="64" w:name="_Toc48817842"/>
      <w:r w:rsidRPr="004E7F7B">
        <w:rPr>
          <w:rFonts w:ascii="Times New Roman" w:hAnsi="Times New Roman" w:cs="Times New Roman"/>
          <w:sz w:val="22"/>
          <w:szCs w:val="22"/>
        </w:rPr>
        <w:t>3.1.1.</w:t>
      </w:r>
      <w:r w:rsidRPr="004E7F7B">
        <w:rPr>
          <w:rFonts w:ascii="Times New Roman" w:hAnsi="Times New Roman" w:cs="Times New Roman"/>
          <w:sz w:val="22"/>
          <w:szCs w:val="22"/>
        </w:rPr>
        <w:tab/>
        <w:t>Li</w:t>
      </w:r>
      <w:bookmarkEnd w:id="62"/>
      <w:bookmarkEnd w:id="63"/>
      <w:r w:rsidRPr="004E7F7B">
        <w:rPr>
          <w:rFonts w:ascii="Times New Roman" w:hAnsi="Times New Roman" w:cs="Times New Roman"/>
          <w:sz w:val="22"/>
          <w:szCs w:val="22"/>
        </w:rPr>
        <w:t>censing Activities</w:t>
      </w:r>
      <w:bookmarkEnd w:id="64"/>
    </w:p>
    <w:p w:rsidR="00FE7FEB" w:rsidRPr="004E7F7B" w:rsidRDefault="00FE7FEB" w:rsidP="00C51FE5">
      <w:r w:rsidRPr="004E7F7B">
        <w:t>In the first paragraph of the Article 4 of the Electricity Market Law No:6446, the electricity market activities are defined as generation, transmission, distribution, wholesale, retail, market operation, import and export activities, and in the third paragraph of the same article, the legal persons that can operate in the market are defined. . Within this scope, the legal persons willing to operate in the electricity market should get a license from the Authority.  The principles and procedures regarding the licenses to be granted by the Authority are set forth in the Electricity Market License Regulation.</w:t>
      </w:r>
    </w:p>
    <w:p w:rsidR="00FE7FEB" w:rsidRPr="00C51FE5" w:rsidRDefault="00FE7FEB" w:rsidP="00C51FE5">
      <w:r w:rsidRPr="00C51FE5">
        <w:t xml:space="preserve">In the electricity market, except for some derogations, market activities are performed within the scope of licenses granted by the Authority. A seperate license for each market activity and facility is required. License holders are liable to hold seperate accounts and seperate registers for each licensed activity and for each activity whose tariff is subject to regulation and for each region determined with the license of that activity.  </w:t>
      </w:r>
    </w:p>
    <w:p w:rsidR="00FE7FEB" w:rsidRPr="00C51FE5" w:rsidRDefault="00FE7FEB" w:rsidP="00C51FE5">
      <w:r w:rsidRPr="00C51FE5">
        <w:lastRenderedPageBreak/>
        <w:t xml:space="preserve">Licenses can not be transferred however, the shares of the licensee can be transferred. The transfer of the shares of the licensees whose tariffs are subject to regulation is subject to Board approval, the other share transfers are approved by the Electricity Market Department.  In addition, it is obligatory to get Board approval for mergers in case all the assets and liabilities of a license holding legal person are planned to be transferred by a single license holding legal person. </w:t>
      </w:r>
    </w:p>
    <w:p w:rsidR="00FE7FEB" w:rsidRPr="00C51FE5" w:rsidRDefault="00FE7FEB" w:rsidP="00C51FE5">
      <w:r w:rsidRPr="00C51FE5">
        <w:t>In addition, it is obligatory to get Board approval for mergers in case all the assets and liabilities of a license holding legal person are planned to be transferred by a single license holding legal person.</w:t>
      </w:r>
    </w:p>
    <w:p w:rsidR="00FE7FEB" w:rsidRPr="00C51FE5" w:rsidRDefault="00FE7FEB" w:rsidP="00C51FE5">
      <w:r w:rsidRPr="00C51FE5">
        <w:t>Licenses can be granted for up to 49 years with a minimum period of 10 years for transmission and distribution licenses. The licencees are obliged to perform the activities within the scope of the license as per the framework detremined in his license. The license holding legal persons are obliged secure their generation, transmission and distribution facilities with an all assets risk insurance covering the risks of natural disasters, fire and accidents.</w:t>
      </w:r>
    </w:p>
    <w:p w:rsidR="0051671A" w:rsidRPr="00C51FE5" w:rsidRDefault="00FE7FEB" w:rsidP="00C51FE5">
      <w:r w:rsidRPr="00C51FE5">
        <w:t>The license types in the Electricity Market are;  generation license, transmission license, Distribution License, Supply License, OIZ Distribution License, OIZ Genaration License and Market Operation License.</w:t>
      </w:r>
    </w:p>
    <w:p w:rsidR="00FE7FEB" w:rsidRPr="004E7F7B" w:rsidRDefault="00FE7FEB" w:rsidP="004E7F7B">
      <w:pPr>
        <w:pStyle w:val="Balk5"/>
        <w:jc w:val="both"/>
        <w:rPr>
          <w:rFonts w:ascii="Times New Roman" w:hAnsi="Times New Roman" w:cs="Times New Roman"/>
        </w:rPr>
      </w:pPr>
      <w:bookmarkStart w:id="65" w:name="_Toc512874128"/>
      <w:bookmarkStart w:id="66" w:name="_Toc48818015"/>
      <w:r w:rsidRPr="004E7F7B">
        <w:rPr>
          <w:rStyle w:val="Gl"/>
          <w:rFonts w:ascii="Times New Roman" w:hAnsi="Times New Roman" w:cs="Times New Roman"/>
          <w:b/>
          <w:bCs w:val="0"/>
        </w:rPr>
        <w:t>Table 3.1: Lice</w:t>
      </w:r>
      <w:r w:rsidR="003B585D" w:rsidRPr="004E7F7B">
        <w:rPr>
          <w:rStyle w:val="Gl"/>
          <w:rFonts w:ascii="Times New Roman" w:hAnsi="Times New Roman" w:cs="Times New Roman"/>
          <w:b/>
          <w:bCs w:val="0"/>
        </w:rPr>
        <w:t>nse A</w:t>
      </w:r>
      <w:r w:rsidR="0051671A" w:rsidRPr="004E7F7B">
        <w:rPr>
          <w:rStyle w:val="Gl"/>
          <w:rFonts w:ascii="Times New Roman" w:hAnsi="Times New Roman" w:cs="Times New Roman"/>
          <w:b/>
          <w:bCs w:val="0"/>
        </w:rPr>
        <w:t>ctivities (numbers) in 2019</w:t>
      </w:r>
      <w:r w:rsidR="003B585D" w:rsidRPr="004E7F7B">
        <w:rPr>
          <w:rStyle w:val="Gl"/>
          <w:rFonts w:ascii="Times New Roman" w:hAnsi="Times New Roman" w:cs="Times New Roman"/>
          <w:b/>
          <w:bCs w:val="0"/>
        </w:rPr>
        <w:t xml:space="preserve"> in the Electricity M</w:t>
      </w:r>
      <w:r w:rsidRPr="004E7F7B">
        <w:rPr>
          <w:rStyle w:val="Gl"/>
          <w:rFonts w:ascii="Times New Roman" w:hAnsi="Times New Roman" w:cs="Times New Roman"/>
          <w:b/>
          <w:bCs w:val="0"/>
        </w:rPr>
        <w:t>arket</w:t>
      </w:r>
      <w:bookmarkEnd w:id="65"/>
      <w:bookmarkEnd w:id="6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04"/>
        <w:gridCol w:w="1141"/>
        <w:gridCol w:w="1130"/>
        <w:gridCol w:w="1151"/>
        <w:gridCol w:w="1130"/>
        <w:gridCol w:w="1130"/>
        <w:gridCol w:w="1130"/>
        <w:gridCol w:w="1130"/>
      </w:tblGrid>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val="tr-TR" w:eastAsia="tr-TR"/>
              </w:rPr>
            </w:pPr>
            <w:r w:rsidRPr="00C51FE5">
              <w:rPr>
                <w:rFonts w:ascii="Times New Roman" w:eastAsia="Times New Roman" w:hAnsi="Times New Roman" w:cs="Times New Roman"/>
                <w:b/>
                <w:bCs/>
                <w:color w:val="FFFFFF"/>
                <w:sz w:val="20"/>
                <w:szCs w:val="20"/>
                <w:lang w:eastAsia="tr-TR"/>
              </w:rPr>
              <w:t>License Type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License Application</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Granted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Terminated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Cancelled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No of amended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C51FE5" w:rsidRDefault="00FE7FEB" w:rsidP="004E7F7B">
            <w:pPr>
              <w:spacing w:after="0" w:line="240" w:lineRule="auto"/>
              <w:rPr>
                <w:rFonts w:ascii="Times New Roman" w:eastAsia="Times New Roman" w:hAnsi="Times New Roman" w:cs="Times New Roman"/>
                <w:b/>
                <w:bCs/>
                <w:color w:val="FFFFFF"/>
                <w:sz w:val="20"/>
                <w:szCs w:val="20"/>
                <w:lang w:eastAsia="tr-TR"/>
              </w:rPr>
            </w:pPr>
            <w:r w:rsidRPr="00C51FE5">
              <w:rPr>
                <w:rFonts w:ascii="Times New Roman" w:eastAsia="Times New Roman" w:hAnsi="Times New Roman" w:cs="Times New Roman"/>
                <w:b/>
                <w:bCs/>
                <w:color w:val="FFFFFF"/>
                <w:sz w:val="20"/>
                <w:szCs w:val="20"/>
                <w:lang w:eastAsia="tr-TR"/>
              </w:rPr>
              <w:t>No of licenses in effect as of the end of the period</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21</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Transmission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1</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OIZ 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r w:rsidR="00D81F5E" w:rsidRPr="00C51FE5">
              <w:rPr>
                <w:rFonts w:ascii="Times New Roman" w:eastAsia="Times New Roman" w:hAnsi="Times New Roman" w:cs="Times New Roman"/>
                <w:sz w:val="20"/>
                <w:szCs w:val="20"/>
                <w:lang w:eastAsia="tr-TR"/>
              </w:rPr>
              <w:t>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17</w:t>
            </w:r>
            <w:r w:rsidR="00D81F5E" w:rsidRPr="00C51FE5">
              <w:rPr>
                <w:rFonts w:ascii="Times New Roman" w:eastAsia="Times New Roman" w:hAnsi="Times New Roman" w:cs="Times New Roman"/>
                <w:b/>
                <w:bCs/>
                <w:sz w:val="20"/>
                <w:szCs w:val="20"/>
                <w:lang w:eastAsia="tr-TR"/>
              </w:rPr>
              <w:t>6</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OIZ Generation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3</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Generation Pre-license*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103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82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79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31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296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322</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Market Operation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 </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Supply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41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214</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color w:val="000000"/>
                <w:sz w:val="20"/>
                <w:szCs w:val="20"/>
                <w:lang w:eastAsia="tr-TR"/>
              </w:rPr>
              <w:t>Generation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51671A"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95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144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72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6</w:t>
            </w:r>
            <w:r w:rsidR="00FE7FEB" w:rsidRPr="00C51FE5">
              <w:rPr>
                <w:rFonts w:ascii="Times New Roman" w:eastAsia="Times New Roman" w:hAnsi="Times New Roman" w:cs="Times New Roman"/>
                <w:sz w:val="20"/>
                <w:szCs w:val="20"/>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sz w:val="20"/>
                <w:szCs w:val="20"/>
                <w:lang w:eastAsia="tr-TR"/>
              </w:rPr>
            </w:pPr>
            <w:r w:rsidRPr="00C51FE5">
              <w:rPr>
                <w:rFonts w:ascii="Times New Roman" w:eastAsia="Times New Roman" w:hAnsi="Times New Roman" w:cs="Times New Roman"/>
                <w:sz w:val="20"/>
                <w:szCs w:val="20"/>
                <w:lang w:eastAsia="tr-TR"/>
              </w:rPr>
              <w:t>382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1.648</w:t>
            </w:r>
          </w:p>
        </w:tc>
      </w:tr>
      <w:tr w:rsidR="00FE7FEB" w:rsidRPr="00C51FE5" w:rsidTr="00C51FE5">
        <w:trPr>
          <w:trHeight w:val="20"/>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FE7FEB"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217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245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160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107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73</w:t>
            </w:r>
            <w:r w:rsidR="00FE7FEB" w:rsidRPr="00C51FE5">
              <w:rPr>
                <w:rFonts w:ascii="Times New Roman" w:eastAsia="Times New Roman" w:hAnsi="Times New Roman" w:cs="Times New Roman"/>
                <w:b/>
                <w:bCs/>
                <w:sz w:val="20"/>
                <w:szCs w:val="20"/>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C51FE5" w:rsidRDefault="00D81F5E" w:rsidP="004E7F7B">
            <w:pPr>
              <w:spacing w:after="0" w:line="240" w:lineRule="auto"/>
              <w:rPr>
                <w:rFonts w:ascii="Times New Roman" w:eastAsia="Times New Roman" w:hAnsi="Times New Roman" w:cs="Times New Roman"/>
                <w:b/>
                <w:bCs/>
                <w:sz w:val="20"/>
                <w:szCs w:val="20"/>
                <w:lang w:eastAsia="tr-TR"/>
              </w:rPr>
            </w:pPr>
            <w:r w:rsidRPr="00C51FE5">
              <w:rPr>
                <w:rFonts w:ascii="Times New Roman" w:eastAsia="Times New Roman" w:hAnsi="Times New Roman" w:cs="Times New Roman"/>
                <w:b/>
                <w:bCs/>
                <w:sz w:val="20"/>
                <w:szCs w:val="20"/>
                <w:lang w:eastAsia="tr-TR"/>
              </w:rPr>
              <w:t>2.387</w:t>
            </w:r>
          </w:p>
        </w:tc>
      </w:tr>
    </w:tbl>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 xml:space="preserve">*It is the permission given by the Authority to the legal person applied for generation license for a limited duration to get the permission, approval, etc. stipulated by the legislation to start the generation facility investment and to get the possession or usufruct right of the field where the facility will be established.  </w:t>
      </w:r>
    </w:p>
    <w:p w:rsidR="00FE7FEB" w:rsidRPr="004E7F7B" w:rsidRDefault="00FE7FEB" w:rsidP="004E7F7B">
      <w:pPr>
        <w:spacing w:after="0"/>
        <w:rPr>
          <w:rFonts w:ascii="Times New Roman" w:hAnsi="Times New Roman" w:cs="Times New Roman"/>
        </w:rPr>
      </w:pPr>
    </w:p>
    <w:p w:rsidR="00FE7FEB" w:rsidRPr="004E7F7B" w:rsidRDefault="00FE7FEB" w:rsidP="00C51FE5">
      <w:r w:rsidRPr="004E7F7B">
        <w:t>License activities of the Authority in 201</w:t>
      </w:r>
      <w:r w:rsidR="00D81F5E" w:rsidRPr="004E7F7B">
        <w:t>9</w:t>
      </w:r>
      <w:r w:rsidRPr="004E7F7B">
        <w:t xml:space="preserve"> within the scope of generation activity and the breakdown of licensed generation capacity as per the type of resource/fuel and installed capacity is shown in the Table 3.2 hereunder. </w:t>
      </w:r>
    </w:p>
    <w:p w:rsidR="00FE7FEB" w:rsidRPr="004E7F7B" w:rsidRDefault="003B585D" w:rsidP="004E7F7B">
      <w:pPr>
        <w:pStyle w:val="Balk5"/>
        <w:jc w:val="both"/>
        <w:rPr>
          <w:rFonts w:ascii="Times New Roman" w:hAnsi="Times New Roman" w:cs="Times New Roman"/>
        </w:rPr>
      </w:pPr>
      <w:bookmarkStart w:id="67" w:name="_Toc416447578"/>
      <w:bookmarkStart w:id="68" w:name="_Toc442441731"/>
      <w:bookmarkStart w:id="69" w:name="_Toc512874129"/>
      <w:bookmarkStart w:id="70" w:name="_Toc48818016"/>
      <w:r w:rsidRPr="004E7F7B">
        <w:rPr>
          <w:rStyle w:val="Gl"/>
          <w:rFonts w:ascii="Times New Roman" w:hAnsi="Times New Roman" w:cs="Times New Roman"/>
          <w:b/>
          <w:bCs w:val="0"/>
        </w:rPr>
        <w:lastRenderedPageBreak/>
        <w:t>Table 3.2: License A</w:t>
      </w:r>
      <w:r w:rsidR="00FE7FEB" w:rsidRPr="004E7F7B">
        <w:rPr>
          <w:rStyle w:val="Gl"/>
          <w:rFonts w:ascii="Times New Roman" w:hAnsi="Times New Roman" w:cs="Times New Roman"/>
          <w:b/>
          <w:bCs w:val="0"/>
        </w:rPr>
        <w:t>ct</w:t>
      </w:r>
      <w:r w:rsidR="00D81F5E" w:rsidRPr="004E7F7B">
        <w:rPr>
          <w:rStyle w:val="Gl"/>
          <w:rFonts w:ascii="Times New Roman" w:hAnsi="Times New Roman" w:cs="Times New Roman"/>
          <w:b/>
          <w:bCs w:val="0"/>
        </w:rPr>
        <w:t>ivities of the Authority in 2019</w:t>
      </w:r>
      <w:r w:rsidRPr="004E7F7B">
        <w:rPr>
          <w:rStyle w:val="Gl"/>
          <w:rFonts w:ascii="Times New Roman" w:hAnsi="Times New Roman" w:cs="Times New Roman"/>
          <w:b/>
          <w:bCs w:val="0"/>
        </w:rPr>
        <w:t xml:space="preserve"> within the Scope of Generation Activity in the Electricity M</w:t>
      </w:r>
      <w:r w:rsidR="00FE7FEB" w:rsidRPr="004E7F7B">
        <w:rPr>
          <w:rStyle w:val="Gl"/>
          <w:rFonts w:ascii="Times New Roman" w:hAnsi="Times New Roman" w:cs="Times New Roman"/>
          <w:b/>
          <w:bCs w:val="0"/>
        </w:rPr>
        <w:t xml:space="preserve">arket </w:t>
      </w:r>
      <w:bookmarkStart w:id="71" w:name="_Toc416447579"/>
      <w:bookmarkEnd w:id="67"/>
      <w:r w:rsidR="00FE7FEB" w:rsidRPr="004E7F7B">
        <w:rPr>
          <w:rStyle w:val="Gl"/>
          <w:rFonts w:ascii="Times New Roman" w:hAnsi="Times New Roman" w:cs="Times New Roman"/>
          <w:b/>
          <w:bCs w:val="0"/>
        </w:rPr>
        <w:t>(MWe)</w:t>
      </w:r>
      <w:bookmarkEnd w:id="68"/>
      <w:bookmarkEnd w:id="69"/>
      <w:bookmarkEnd w:id="70"/>
      <w:bookmarkEnd w:id="7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187"/>
        <w:gridCol w:w="1745"/>
        <w:gridCol w:w="1151"/>
        <w:gridCol w:w="1296"/>
        <w:gridCol w:w="1151"/>
        <w:gridCol w:w="1018"/>
        <w:gridCol w:w="1056"/>
        <w:gridCol w:w="942"/>
      </w:tblGrid>
      <w:tr w:rsidR="00FE7FEB" w:rsidRPr="004E7F7B" w:rsidTr="00B2297C">
        <w:trPr>
          <w:trHeight w:val="20"/>
          <w:tblHeader/>
        </w:trPr>
        <w:tc>
          <w:tcPr>
            <w:tcW w:w="623"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val="tr-TR" w:eastAsia="tr-TR"/>
              </w:rPr>
            </w:pPr>
            <w:r w:rsidRPr="00B2297C">
              <w:rPr>
                <w:rFonts w:eastAsia="Times New Roman" w:cstheme="minorHAnsi"/>
                <w:b/>
                <w:bCs/>
                <w:color w:val="FFFFFF"/>
                <w:sz w:val="20"/>
                <w:szCs w:val="20"/>
                <w:lang w:eastAsia="tr-TR"/>
              </w:rPr>
              <w:t>License Type</w:t>
            </w:r>
          </w:p>
        </w:tc>
        <w:tc>
          <w:tcPr>
            <w:tcW w:w="915"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Resource/Fuel Type</w:t>
            </w:r>
          </w:p>
        </w:tc>
        <w:tc>
          <w:tcPr>
            <w:tcW w:w="604"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License Application</w:t>
            </w:r>
          </w:p>
        </w:tc>
        <w:tc>
          <w:tcPr>
            <w:tcW w:w="680"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Granted Licenses</w:t>
            </w:r>
          </w:p>
        </w:tc>
        <w:tc>
          <w:tcPr>
            <w:tcW w:w="604"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Terminated Licenses</w:t>
            </w:r>
          </w:p>
        </w:tc>
        <w:tc>
          <w:tcPr>
            <w:tcW w:w="534"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Cancelled Licenses</w:t>
            </w:r>
          </w:p>
        </w:tc>
        <w:tc>
          <w:tcPr>
            <w:tcW w:w="546"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Installed Capacity of the licenses in effect</w:t>
            </w:r>
          </w:p>
        </w:tc>
        <w:tc>
          <w:tcPr>
            <w:tcW w:w="494" w:type="pct"/>
            <w:shd w:val="clear" w:color="auto" w:fill="6E9ECA"/>
            <w:vAlign w:val="center"/>
            <w:hideMark/>
          </w:tcPr>
          <w:p w:rsidR="00FE7FEB" w:rsidRPr="00B2297C" w:rsidRDefault="00FE7FEB" w:rsidP="004E7F7B">
            <w:pPr>
              <w:spacing w:after="0" w:line="240" w:lineRule="auto"/>
              <w:rPr>
                <w:rFonts w:eastAsia="Times New Roman" w:cstheme="minorHAnsi"/>
                <w:b/>
                <w:bCs/>
                <w:color w:val="FFFFFF"/>
                <w:sz w:val="20"/>
                <w:szCs w:val="20"/>
                <w:lang w:eastAsia="tr-TR"/>
              </w:rPr>
            </w:pPr>
            <w:r w:rsidRPr="00B2297C">
              <w:rPr>
                <w:rFonts w:eastAsia="Times New Roman" w:cstheme="minorHAnsi"/>
                <w:b/>
                <w:bCs/>
                <w:color w:val="FFFFFF"/>
                <w:sz w:val="20"/>
                <w:szCs w:val="20"/>
                <w:lang w:eastAsia="tr-TR"/>
              </w:rPr>
              <w:t>Number of licenses in effect</w:t>
            </w:r>
          </w:p>
        </w:tc>
      </w:tr>
      <w:tr w:rsidR="00FE7FEB" w:rsidRPr="004E7F7B" w:rsidTr="00B2297C">
        <w:trPr>
          <w:trHeight w:val="20"/>
        </w:trPr>
        <w:tc>
          <w:tcPr>
            <w:tcW w:w="623" w:type="pct"/>
            <w:vMerge w:val="restar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OIZ Generation License</w:t>
            </w: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Natural Gas</w:t>
            </w:r>
          </w:p>
        </w:tc>
        <w:tc>
          <w:tcPr>
            <w:tcW w:w="60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2,57</w:t>
            </w:r>
          </w:p>
        </w:tc>
        <w:tc>
          <w:tcPr>
            <w:tcW w:w="680"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2,57</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156,682</w:t>
            </w:r>
          </w:p>
        </w:tc>
        <w:tc>
          <w:tcPr>
            <w:tcW w:w="49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Total</w:t>
            </w:r>
          </w:p>
        </w:tc>
        <w:tc>
          <w:tcPr>
            <w:tcW w:w="604" w:type="pct"/>
            <w:shd w:val="clear" w:color="auto" w:fill="6E9ECA"/>
            <w:vAlign w:val="center"/>
            <w:hideMark/>
          </w:tcPr>
          <w:p w:rsidR="00FE7FEB" w:rsidRPr="00B2297C" w:rsidRDefault="006A7C77"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2,57</w:t>
            </w:r>
          </w:p>
        </w:tc>
        <w:tc>
          <w:tcPr>
            <w:tcW w:w="680" w:type="pct"/>
            <w:shd w:val="clear" w:color="auto" w:fill="6E9ECA"/>
            <w:vAlign w:val="center"/>
            <w:hideMark/>
          </w:tcPr>
          <w:p w:rsidR="00FE7FEB" w:rsidRPr="00B2297C" w:rsidRDefault="006A7C77"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2,57</w:t>
            </w:r>
          </w:p>
        </w:tc>
        <w:tc>
          <w:tcPr>
            <w:tcW w:w="604"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0</w:t>
            </w:r>
          </w:p>
        </w:tc>
        <w:tc>
          <w:tcPr>
            <w:tcW w:w="534"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0</w:t>
            </w:r>
          </w:p>
        </w:tc>
        <w:tc>
          <w:tcPr>
            <w:tcW w:w="546" w:type="pct"/>
            <w:shd w:val="clear" w:color="auto" w:fill="6E9ECA"/>
            <w:vAlign w:val="center"/>
            <w:hideMark/>
          </w:tcPr>
          <w:p w:rsidR="00FE7FEB" w:rsidRPr="00B2297C" w:rsidRDefault="006A7C77"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156,682</w:t>
            </w:r>
          </w:p>
        </w:tc>
        <w:tc>
          <w:tcPr>
            <w:tcW w:w="494" w:type="pct"/>
            <w:shd w:val="clear" w:color="auto" w:fill="6E9ECA"/>
            <w:vAlign w:val="center"/>
            <w:hideMark/>
          </w:tcPr>
          <w:p w:rsidR="00FE7FEB" w:rsidRPr="00B2297C" w:rsidRDefault="006A7C77"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3</w:t>
            </w:r>
          </w:p>
        </w:tc>
      </w:tr>
      <w:tr w:rsidR="00FE7FEB" w:rsidRPr="004E7F7B" w:rsidTr="00B2297C">
        <w:trPr>
          <w:trHeight w:val="20"/>
        </w:trPr>
        <w:tc>
          <w:tcPr>
            <w:tcW w:w="623" w:type="pct"/>
            <w:vMerge w:val="restar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Pre-license</w:t>
            </w: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Biomass</w:t>
            </w:r>
          </w:p>
        </w:tc>
        <w:tc>
          <w:tcPr>
            <w:tcW w:w="60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731,629</w:t>
            </w:r>
          </w:p>
        </w:tc>
        <w:tc>
          <w:tcPr>
            <w:tcW w:w="680"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587,651</w:t>
            </w:r>
          </w:p>
        </w:tc>
        <w:tc>
          <w:tcPr>
            <w:tcW w:w="60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274,695</w:t>
            </w:r>
          </w:p>
        </w:tc>
        <w:tc>
          <w:tcPr>
            <w:tcW w:w="53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752,211</w:t>
            </w:r>
          </w:p>
        </w:tc>
        <w:tc>
          <w:tcPr>
            <w:tcW w:w="49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74</w:t>
            </w:r>
          </w:p>
        </w:tc>
      </w:tr>
      <w:tr w:rsidR="006A7C77" w:rsidRPr="004E7F7B" w:rsidTr="00B2297C">
        <w:trPr>
          <w:trHeight w:val="20"/>
        </w:trPr>
        <w:tc>
          <w:tcPr>
            <w:tcW w:w="623" w:type="pct"/>
            <w:vMerge/>
            <w:vAlign w:val="center"/>
          </w:tcPr>
          <w:p w:rsidR="006A7C77" w:rsidRPr="00B2297C" w:rsidRDefault="006A7C77" w:rsidP="004E7F7B">
            <w:pPr>
              <w:spacing w:after="0" w:line="240" w:lineRule="auto"/>
              <w:rPr>
                <w:rFonts w:eastAsia="Times New Roman" w:cstheme="minorHAnsi"/>
                <w:b/>
                <w:bCs/>
                <w:color w:val="000000"/>
                <w:sz w:val="20"/>
                <w:szCs w:val="20"/>
                <w:lang w:eastAsia="tr-TR"/>
              </w:rPr>
            </w:pPr>
          </w:p>
        </w:tc>
        <w:tc>
          <w:tcPr>
            <w:tcW w:w="915" w:type="pct"/>
            <w:vAlign w:val="center"/>
          </w:tcPr>
          <w:p w:rsidR="006A7C77" w:rsidRPr="00B2297C" w:rsidRDefault="009209A0"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Other</w:t>
            </w:r>
          </w:p>
        </w:tc>
        <w:tc>
          <w:tcPr>
            <w:tcW w:w="604"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2,57</w:t>
            </w:r>
          </w:p>
        </w:tc>
        <w:tc>
          <w:tcPr>
            <w:tcW w:w="604"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2,57</w:t>
            </w:r>
          </w:p>
        </w:tc>
        <w:tc>
          <w:tcPr>
            <w:tcW w:w="494" w:type="pct"/>
            <w:vAlign w:val="center"/>
          </w:tcPr>
          <w:p w:rsidR="006A7C77"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Natural Gas</w:t>
            </w:r>
          </w:p>
        </w:tc>
        <w:tc>
          <w:tcPr>
            <w:tcW w:w="60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11,283</w:t>
            </w:r>
          </w:p>
        </w:tc>
        <w:tc>
          <w:tcPr>
            <w:tcW w:w="680"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5,893</w:t>
            </w:r>
          </w:p>
        </w:tc>
        <w:tc>
          <w:tcPr>
            <w:tcW w:w="60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70,19</w:t>
            </w:r>
          </w:p>
        </w:tc>
        <w:tc>
          <w:tcPr>
            <w:tcW w:w="53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2,028</w:t>
            </w:r>
          </w:p>
        </w:tc>
        <w:tc>
          <w:tcPr>
            <w:tcW w:w="546"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809,893</w:t>
            </w:r>
          </w:p>
        </w:tc>
        <w:tc>
          <w:tcPr>
            <w:tcW w:w="494" w:type="pct"/>
            <w:vAlign w:val="center"/>
            <w:hideMark/>
          </w:tcPr>
          <w:p w:rsidR="00FE7FEB" w:rsidRPr="00B2297C" w:rsidRDefault="006A7C77"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Solar</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33,124</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33,124</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48,99</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1219,464</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12</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Hydroelectric</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110,557</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137,032</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225,371</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3949,218</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108</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Imported Coal</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800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Geothermal</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105,3</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20</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18,62</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317,33</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16</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Coal</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55</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Diesel fuel</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Processed Waste Heat</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Wind</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406</w:t>
            </w:r>
          </w:p>
        </w:tc>
        <w:tc>
          <w:tcPr>
            <w:tcW w:w="680"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292,45</w:t>
            </w:r>
          </w:p>
        </w:tc>
        <w:tc>
          <w:tcPr>
            <w:tcW w:w="60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152,6</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3721,794</w:t>
            </w:r>
          </w:p>
        </w:tc>
        <w:tc>
          <w:tcPr>
            <w:tcW w:w="494" w:type="pct"/>
            <w:vAlign w:val="center"/>
            <w:hideMark/>
          </w:tcPr>
          <w:p w:rsidR="00FE7FEB"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102</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Uranium</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r>
      <w:tr w:rsidR="008710FD" w:rsidRPr="004E7F7B" w:rsidTr="00B2297C">
        <w:trPr>
          <w:trHeight w:val="20"/>
        </w:trPr>
        <w:tc>
          <w:tcPr>
            <w:tcW w:w="0" w:type="auto"/>
            <w:vMerge/>
            <w:vAlign w:val="center"/>
          </w:tcPr>
          <w:p w:rsidR="008710FD" w:rsidRPr="00B2297C" w:rsidRDefault="008710FD" w:rsidP="004E7F7B">
            <w:pPr>
              <w:spacing w:after="0"/>
              <w:rPr>
                <w:rFonts w:eastAsia="Times New Roman" w:cstheme="minorHAnsi"/>
                <w:b/>
                <w:bCs/>
                <w:sz w:val="20"/>
                <w:szCs w:val="20"/>
                <w:lang w:eastAsia="tr-TR"/>
              </w:rPr>
            </w:pPr>
          </w:p>
        </w:tc>
        <w:tc>
          <w:tcPr>
            <w:tcW w:w="915" w:type="pct"/>
            <w:vAlign w:val="center"/>
          </w:tcPr>
          <w:p w:rsidR="008710FD" w:rsidRPr="00B2297C" w:rsidRDefault="008710FD"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Domestic Coal</w:t>
            </w:r>
          </w:p>
        </w:tc>
        <w:tc>
          <w:tcPr>
            <w:tcW w:w="604"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4,83</w:t>
            </w:r>
          </w:p>
        </w:tc>
        <w:tc>
          <w:tcPr>
            <w:tcW w:w="604"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700</w:t>
            </w:r>
          </w:p>
        </w:tc>
        <w:tc>
          <w:tcPr>
            <w:tcW w:w="534"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513,83</w:t>
            </w:r>
          </w:p>
        </w:tc>
        <w:tc>
          <w:tcPr>
            <w:tcW w:w="494" w:type="pct"/>
            <w:vAlign w:val="center"/>
          </w:tcPr>
          <w:p w:rsidR="008710FD" w:rsidRPr="00B2297C" w:rsidRDefault="008710FD"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Total</w:t>
            </w:r>
          </w:p>
        </w:tc>
        <w:tc>
          <w:tcPr>
            <w:tcW w:w="604" w:type="pct"/>
            <w:shd w:val="clear" w:color="auto" w:fill="6E9ECA"/>
            <w:vAlign w:val="center"/>
            <w:hideMark/>
          </w:tcPr>
          <w:p w:rsidR="00FE7FEB" w:rsidRPr="00B2297C" w:rsidRDefault="009209A0"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1.397,89</w:t>
            </w:r>
          </w:p>
        </w:tc>
        <w:tc>
          <w:tcPr>
            <w:tcW w:w="680" w:type="pct"/>
            <w:shd w:val="clear" w:color="auto" w:fill="6E9ECA"/>
            <w:vAlign w:val="center"/>
            <w:hideMark/>
          </w:tcPr>
          <w:p w:rsidR="00FE7FEB" w:rsidRPr="00B2297C" w:rsidRDefault="009209A0"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1,083,55</w:t>
            </w:r>
          </w:p>
        </w:tc>
        <w:tc>
          <w:tcPr>
            <w:tcW w:w="604" w:type="pct"/>
            <w:shd w:val="clear" w:color="auto" w:fill="6E9ECA"/>
            <w:vAlign w:val="center"/>
            <w:hideMark/>
          </w:tcPr>
          <w:p w:rsidR="00FE7FEB" w:rsidRPr="00B2297C" w:rsidRDefault="009209A0"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1.490,47</w:t>
            </w:r>
          </w:p>
        </w:tc>
        <w:tc>
          <w:tcPr>
            <w:tcW w:w="534" w:type="pct"/>
            <w:shd w:val="clear" w:color="auto" w:fill="6E9ECA"/>
            <w:vAlign w:val="center"/>
            <w:hideMark/>
          </w:tcPr>
          <w:p w:rsidR="00FE7FEB" w:rsidRPr="00B2297C" w:rsidRDefault="009209A0"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2,028</w:t>
            </w:r>
          </w:p>
        </w:tc>
        <w:tc>
          <w:tcPr>
            <w:tcW w:w="546"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12.</w:t>
            </w:r>
            <w:r w:rsidR="009209A0" w:rsidRPr="00B2297C">
              <w:rPr>
                <w:rFonts w:eastAsia="Times New Roman" w:cstheme="minorHAnsi"/>
                <w:b/>
                <w:bCs/>
                <w:color w:val="000000"/>
                <w:sz w:val="20"/>
                <w:szCs w:val="20"/>
                <w:lang w:eastAsia="tr-TR"/>
              </w:rPr>
              <w:t>147,31</w:t>
            </w:r>
          </w:p>
        </w:tc>
        <w:tc>
          <w:tcPr>
            <w:tcW w:w="494" w:type="pct"/>
            <w:shd w:val="clear" w:color="auto" w:fill="6E9ECA"/>
            <w:vAlign w:val="center"/>
            <w:hideMark/>
          </w:tcPr>
          <w:p w:rsidR="00FE7FEB" w:rsidRPr="00B2297C" w:rsidRDefault="009209A0"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322</w:t>
            </w:r>
          </w:p>
        </w:tc>
      </w:tr>
      <w:tr w:rsidR="00FE7FEB" w:rsidRPr="004E7F7B" w:rsidTr="00B2297C">
        <w:trPr>
          <w:trHeight w:val="20"/>
        </w:trPr>
        <w:tc>
          <w:tcPr>
            <w:tcW w:w="623" w:type="pct"/>
            <w:vMerge w:val="restar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Generation License</w:t>
            </w: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Biomass</w:t>
            </w:r>
          </w:p>
        </w:tc>
        <w:tc>
          <w:tcPr>
            <w:tcW w:w="604"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270,318</w:t>
            </w:r>
          </w:p>
        </w:tc>
        <w:tc>
          <w:tcPr>
            <w:tcW w:w="680"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271,70</w:t>
            </w:r>
            <w:r w:rsidR="00FE7FEB" w:rsidRPr="00B2297C">
              <w:rPr>
                <w:rFonts w:eastAsia="Times New Roman" w:cstheme="minorHAnsi"/>
                <w:sz w:val="20"/>
                <w:szCs w:val="20"/>
                <w:lang w:eastAsia="tr-TR"/>
              </w:rPr>
              <w:t>6</w:t>
            </w:r>
          </w:p>
        </w:tc>
        <w:tc>
          <w:tcPr>
            <w:tcW w:w="604"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15,182</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969,218</w:t>
            </w:r>
          </w:p>
        </w:tc>
        <w:tc>
          <w:tcPr>
            <w:tcW w:w="494"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158</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Wave</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Other</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48,24</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3157E1"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86,95</w:t>
            </w:r>
          </w:p>
        </w:tc>
        <w:tc>
          <w:tcPr>
            <w:tcW w:w="494" w:type="pct"/>
            <w:vAlign w:val="center"/>
            <w:hideMark/>
          </w:tcPr>
          <w:p w:rsidR="00FE7FEB" w:rsidRPr="00B2297C" w:rsidRDefault="00F15398"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Natural Gas</w:t>
            </w:r>
          </w:p>
        </w:tc>
        <w:tc>
          <w:tcPr>
            <w:tcW w:w="604" w:type="pct"/>
            <w:vAlign w:val="center"/>
            <w:hideMark/>
          </w:tcPr>
          <w:p w:rsidR="00FE7FEB" w:rsidRPr="00B2297C" w:rsidRDefault="00F15398"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1147,38</w:t>
            </w:r>
          </w:p>
        </w:tc>
        <w:tc>
          <w:tcPr>
            <w:tcW w:w="680" w:type="pct"/>
            <w:vAlign w:val="center"/>
            <w:hideMark/>
          </w:tcPr>
          <w:p w:rsidR="00FE7FEB" w:rsidRPr="00B2297C" w:rsidRDefault="00F15398"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6004,112</w:t>
            </w:r>
          </w:p>
        </w:tc>
        <w:tc>
          <w:tcPr>
            <w:tcW w:w="604" w:type="pct"/>
            <w:vAlign w:val="center"/>
            <w:hideMark/>
          </w:tcPr>
          <w:p w:rsidR="00FE7FEB" w:rsidRPr="00B2297C" w:rsidRDefault="00F15398"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6272,07</w:t>
            </w:r>
          </w:p>
        </w:tc>
        <w:tc>
          <w:tcPr>
            <w:tcW w:w="534" w:type="pct"/>
            <w:vAlign w:val="center"/>
            <w:hideMark/>
          </w:tcPr>
          <w:p w:rsidR="00FE7FEB" w:rsidRPr="00B2297C" w:rsidRDefault="00F15398"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30.018,41</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290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Fuel-oil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18,73</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43,13</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141,96</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1.054,97</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24</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Solar</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93,13</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168,25</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41,51</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249,35</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Hydroelectric</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250,484</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682,964</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415,346</w:t>
            </w:r>
          </w:p>
        </w:tc>
        <w:tc>
          <w:tcPr>
            <w:tcW w:w="53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24,04</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32256,55</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755</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Imported Coal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1308</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1308</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1310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12946,8</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14</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Geothermal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154,27</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154,27</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58,17</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1644,933</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55</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Coal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2.779,56</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19</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LNG</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LPG</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11</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 xml:space="preserve">Diesel </w:t>
            </w:r>
            <w:r w:rsidR="003B585D" w:rsidRPr="00B2297C">
              <w:rPr>
                <w:rFonts w:eastAsia="Times New Roman" w:cstheme="minorHAnsi"/>
                <w:b/>
                <w:bCs/>
                <w:sz w:val="20"/>
                <w:szCs w:val="20"/>
                <w:lang w:eastAsia="tr-TR"/>
              </w:rPr>
              <w:t>F</w:t>
            </w:r>
            <w:r w:rsidRPr="00B2297C">
              <w:rPr>
                <w:rFonts w:eastAsia="Times New Roman" w:cstheme="minorHAnsi"/>
                <w:b/>
                <w:bCs/>
                <w:sz w:val="20"/>
                <w:szCs w:val="20"/>
                <w:lang w:eastAsia="tr-TR"/>
              </w:rPr>
              <w:t>uel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175</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175</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209,864</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9</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Naphta</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16,872</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Pyrolitic Oil &amp; Pyrolitic Gas</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3B585D"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Prosessed W</w:t>
            </w:r>
            <w:r w:rsidR="00FE7FEB" w:rsidRPr="00B2297C">
              <w:rPr>
                <w:rFonts w:eastAsia="Times New Roman" w:cstheme="minorHAnsi"/>
                <w:b/>
                <w:bCs/>
                <w:color w:val="000000"/>
                <w:sz w:val="20"/>
                <w:szCs w:val="20"/>
                <w:lang w:eastAsia="tr-TR"/>
              </w:rPr>
              <w:t xml:space="preserve">aste </w:t>
            </w:r>
            <w:r w:rsidRPr="00B2297C">
              <w:rPr>
                <w:rFonts w:eastAsia="Times New Roman" w:cstheme="minorHAnsi"/>
                <w:b/>
                <w:bCs/>
                <w:color w:val="000000"/>
                <w:sz w:val="20"/>
                <w:szCs w:val="20"/>
                <w:lang w:eastAsia="tr-TR"/>
              </w:rPr>
              <w:t>H</w:t>
            </w:r>
            <w:r w:rsidR="00FE7FEB" w:rsidRPr="00B2297C">
              <w:rPr>
                <w:rFonts w:eastAsia="Times New Roman" w:cstheme="minorHAnsi"/>
                <w:b/>
                <w:bCs/>
                <w:color w:val="000000"/>
                <w:sz w:val="20"/>
                <w:szCs w:val="20"/>
                <w:lang w:eastAsia="tr-TR"/>
              </w:rPr>
              <w:t>eat</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9</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156,125</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Wind</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468,753</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777,25</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574,25</w:t>
            </w:r>
          </w:p>
        </w:tc>
        <w:tc>
          <w:tcPr>
            <w:tcW w:w="53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15</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10207,501</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244</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Uranium</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4.800</w:t>
            </w:r>
            <w:r w:rsidR="00BF4699" w:rsidRPr="00B2297C">
              <w:rPr>
                <w:rFonts w:eastAsia="Times New Roman" w:cstheme="minorHAnsi"/>
                <w:sz w:val="20"/>
                <w:szCs w:val="20"/>
                <w:lang w:eastAsia="tr-TR"/>
              </w:rPr>
              <w:t>,00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Domestic Asphaltit</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80"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60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540</w:t>
            </w:r>
          </w:p>
        </w:tc>
        <w:tc>
          <w:tcPr>
            <w:tcW w:w="49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color w:val="000000"/>
                <w:sz w:val="20"/>
                <w:szCs w:val="20"/>
                <w:lang w:eastAsia="tr-TR"/>
              </w:rPr>
              <w:t>Domestic Coal</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700</w:t>
            </w:r>
          </w:p>
        </w:tc>
        <w:tc>
          <w:tcPr>
            <w:tcW w:w="680"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700</w:t>
            </w:r>
          </w:p>
        </w:tc>
        <w:tc>
          <w:tcPr>
            <w:tcW w:w="60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34" w:type="pct"/>
            <w:vAlign w:val="center"/>
            <w:hideMark/>
          </w:tcPr>
          <w:p w:rsidR="00FE7FEB" w:rsidRPr="00B2297C" w:rsidRDefault="00FE7FEB"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0</w:t>
            </w:r>
          </w:p>
        </w:tc>
        <w:tc>
          <w:tcPr>
            <w:tcW w:w="546"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11.334,29</w:t>
            </w:r>
          </w:p>
        </w:tc>
        <w:tc>
          <w:tcPr>
            <w:tcW w:w="494" w:type="pct"/>
            <w:vAlign w:val="center"/>
            <w:hideMark/>
          </w:tcPr>
          <w:p w:rsidR="00FE7FEB" w:rsidRPr="00B2297C" w:rsidRDefault="00BF4699" w:rsidP="004E7F7B">
            <w:pPr>
              <w:spacing w:after="0" w:line="240" w:lineRule="auto"/>
              <w:rPr>
                <w:rFonts w:eastAsia="Times New Roman" w:cstheme="minorHAnsi"/>
                <w:sz w:val="20"/>
                <w:szCs w:val="20"/>
                <w:lang w:eastAsia="tr-TR"/>
              </w:rPr>
            </w:pPr>
            <w:r w:rsidRPr="00B2297C">
              <w:rPr>
                <w:rFonts w:eastAsia="Times New Roman" w:cstheme="minorHAnsi"/>
                <w:sz w:val="20"/>
                <w:szCs w:val="20"/>
                <w:lang w:eastAsia="tr-TR"/>
              </w:rPr>
              <w:t>23</w:t>
            </w:r>
          </w:p>
        </w:tc>
      </w:tr>
      <w:tr w:rsidR="00FE7FEB" w:rsidRPr="004E7F7B" w:rsidTr="00B2297C">
        <w:trPr>
          <w:trHeight w:val="20"/>
        </w:trPr>
        <w:tc>
          <w:tcPr>
            <w:tcW w:w="0" w:type="auto"/>
            <w:vMerge/>
            <w:vAlign w:val="center"/>
            <w:hideMark/>
          </w:tcPr>
          <w:p w:rsidR="00FE7FEB" w:rsidRPr="00B2297C" w:rsidRDefault="00FE7FEB" w:rsidP="004E7F7B">
            <w:pPr>
              <w:spacing w:after="0"/>
              <w:rPr>
                <w:rFonts w:eastAsia="Times New Roman" w:cstheme="minorHAnsi"/>
                <w:b/>
                <w:bCs/>
                <w:sz w:val="20"/>
                <w:szCs w:val="20"/>
                <w:lang w:eastAsia="tr-TR"/>
              </w:rPr>
            </w:pPr>
          </w:p>
        </w:tc>
        <w:tc>
          <w:tcPr>
            <w:tcW w:w="915"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Total</w:t>
            </w:r>
          </w:p>
        </w:tc>
        <w:tc>
          <w:tcPr>
            <w:tcW w:w="604" w:type="pct"/>
            <w:shd w:val="clear" w:color="auto" w:fill="6E9ECA"/>
            <w:vAlign w:val="center"/>
            <w:hideMark/>
          </w:tcPr>
          <w:p w:rsidR="00FE7FEB" w:rsidRPr="00B2297C" w:rsidRDefault="00BF4699"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4.586,07</w:t>
            </w:r>
          </w:p>
        </w:tc>
        <w:tc>
          <w:tcPr>
            <w:tcW w:w="680" w:type="pct"/>
            <w:shd w:val="clear" w:color="auto" w:fill="6E9ECA"/>
            <w:vAlign w:val="center"/>
            <w:hideMark/>
          </w:tcPr>
          <w:p w:rsidR="00FE7FEB" w:rsidRPr="00B2297C" w:rsidRDefault="00BF4699"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10.293,68</w:t>
            </w:r>
          </w:p>
        </w:tc>
        <w:tc>
          <w:tcPr>
            <w:tcW w:w="604" w:type="pct"/>
            <w:shd w:val="clear" w:color="auto" w:fill="6E9ECA"/>
            <w:vAlign w:val="center"/>
            <w:hideMark/>
          </w:tcPr>
          <w:p w:rsidR="00FE7FEB" w:rsidRPr="00B2297C" w:rsidRDefault="00BF4699"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8.876,73</w:t>
            </w:r>
          </w:p>
        </w:tc>
        <w:tc>
          <w:tcPr>
            <w:tcW w:w="53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39,04</w:t>
            </w:r>
          </w:p>
        </w:tc>
        <w:tc>
          <w:tcPr>
            <w:tcW w:w="546"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109.292</w:t>
            </w:r>
            <w:r w:rsidR="00FE7FEB" w:rsidRPr="00B2297C">
              <w:rPr>
                <w:rFonts w:eastAsia="Times New Roman" w:cstheme="minorHAnsi"/>
                <w:b/>
                <w:bCs/>
                <w:color w:val="000000"/>
                <w:sz w:val="20"/>
                <w:szCs w:val="20"/>
                <w:lang w:eastAsia="tr-TR"/>
              </w:rPr>
              <w:t>,</w:t>
            </w:r>
            <w:r w:rsidRPr="00B2297C">
              <w:rPr>
                <w:rFonts w:eastAsia="Times New Roman" w:cstheme="minorHAnsi"/>
                <w:b/>
                <w:bCs/>
                <w:color w:val="000000"/>
                <w:sz w:val="20"/>
                <w:szCs w:val="20"/>
                <w:lang w:eastAsia="tr-TR"/>
              </w:rPr>
              <w:t>39</w:t>
            </w:r>
          </w:p>
        </w:tc>
        <w:tc>
          <w:tcPr>
            <w:tcW w:w="49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1.648</w:t>
            </w:r>
          </w:p>
        </w:tc>
      </w:tr>
      <w:tr w:rsidR="00FE7FEB" w:rsidRPr="004E7F7B" w:rsidTr="00B2297C">
        <w:trPr>
          <w:trHeight w:val="20"/>
        </w:trPr>
        <w:tc>
          <w:tcPr>
            <w:tcW w:w="623" w:type="pct"/>
            <w:vAlign w:val="center"/>
            <w:hideMark/>
          </w:tcPr>
          <w:p w:rsidR="00FE7FEB" w:rsidRPr="00B2297C" w:rsidRDefault="00FE7FEB" w:rsidP="004E7F7B">
            <w:pPr>
              <w:spacing w:after="0" w:line="240" w:lineRule="auto"/>
              <w:rPr>
                <w:rFonts w:eastAsia="Times New Roman" w:cstheme="minorHAnsi"/>
                <w:b/>
                <w:bCs/>
                <w:sz w:val="20"/>
                <w:szCs w:val="20"/>
                <w:lang w:eastAsia="tr-TR"/>
              </w:rPr>
            </w:pPr>
            <w:r w:rsidRPr="00B2297C">
              <w:rPr>
                <w:rFonts w:eastAsia="Times New Roman" w:cstheme="minorHAnsi"/>
                <w:b/>
                <w:bCs/>
                <w:sz w:val="20"/>
                <w:szCs w:val="20"/>
                <w:lang w:eastAsia="tr-TR"/>
              </w:rPr>
              <w:t> </w:t>
            </w:r>
          </w:p>
        </w:tc>
        <w:tc>
          <w:tcPr>
            <w:tcW w:w="915" w:type="pct"/>
            <w:shd w:val="clear" w:color="auto" w:fill="6E9ECA"/>
            <w:vAlign w:val="center"/>
            <w:hideMark/>
          </w:tcPr>
          <w:p w:rsidR="00FE7FEB" w:rsidRPr="00B2297C" w:rsidRDefault="00FE7FEB"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Total</w:t>
            </w:r>
          </w:p>
        </w:tc>
        <w:tc>
          <w:tcPr>
            <w:tcW w:w="60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5.986,53</w:t>
            </w:r>
          </w:p>
        </w:tc>
        <w:tc>
          <w:tcPr>
            <w:tcW w:w="680"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11.379,80</w:t>
            </w:r>
          </w:p>
        </w:tc>
        <w:tc>
          <w:tcPr>
            <w:tcW w:w="60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10.367,19</w:t>
            </w:r>
          </w:p>
        </w:tc>
        <w:tc>
          <w:tcPr>
            <w:tcW w:w="53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41,068</w:t>
            </w:r>
          </w:p>
        </w:tc>
        <w:tc>
          <w:tcPr>
            <w:tcW w:w="546"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121.596,38</w:t>
            </w:r>
          </w:p>
        </w:tc>
        <w:tc>
          <w:tcPr>
            <w:tcW w:w="494" w:type="pct"/>
            <w:shd w:val="clear" w:color="auto" w:fill="6E9ECA"/>
            <w:vAlign w:val="center"/>
            <w:hideMark/>
          </w:tcPr>
          <w:p w:rsidR="00FE7FEB" w:rsidRPr="00B2297C" w:rsidRDefault="00BD3818" w:rsidP="004E7F7B">
            <w:pPr>
              <w:spacing w:after="0" w:line="240" w:lineRule="auto"/>
              <w:rPr>
                <w:rFonts w:eastAsia="Times New Roman" w:cstheme="minorHAnsi"/>
                <w:b/>
                <w:bCs/>
                <w:color w:val="000000"/>
                <w:sz w:val="20"/>
                <w:szCs w:val="20"/>
                <w:lang w:eastAsia="tr-TR"/>
              </w:rPr>
            </w:pPr>
            <w:r w:rsidRPr="00B2297C">
              <w:rPr>
                <w:rFonts w:eastAsia="Times New Roman" w:cstheme="minorHAnsi"/>
                <w:b/>
                <w:bCs/>
                <w:color w:val="000000"/>
                <w:sz w:val="20"/>
                <w:szCs w:val="20"/>
                <w:lang w:eastAsia="tr-TR"/>
              </w:rPr>
              <w:t>1.973</w:t>
            </w:r>
          </w:p>
        </w:tc>
      </w:tr>
    </w:tbl>
    <w:p w:rsidR="00FE7FEB" w:rsidRPr="004E7F7B" w:rsidRDefault="00FE7FEB" w:rsidP="004E7F7B">
      <w:pPr>
        <w:rPr>
          <w:rFonts w:ascii="Times New Roman" w:hAnsi="Times New Roman" w:cs="Times New Roman"/>
        </w:rPr>
      </w:pPr>
    </w:p>
    <w:p w:rsidR="00FE7FEB" w:rsidRPr="004E7F7B" w:rsidRDefault="004530BB" w:rsidP="004E7F7B">
      <w:pPr>
        <w:pStyle w:val="Balk3"/>
        <w:rPr>
          <w:rFonts w:ascii="Times New Roman" w:hAnsi="Times New Roman" w:cs="Times New Roman"/>
          <w:sz w:val="22"/>
          <w:szCs w:val="22"/>
        </w:rPr>
      </w:pPr>
      <w:bookmarkStart w:id="72" w:name="_Toc48817843"/>
      <w:r w:rsidRPr="004E7F7B">
        <w:rPr>
          <w:rFonts w:ascii="Times New Roman" w:hAnsi="Times New Roman" w:cs="Times New Roman"/>
          <w:sz w:val="22"/>
          <w:szCs w:val="22"/>
        </w:rPr>
        <w:lastRenderedPageBreak/>
        <w:t>3.2.1.</w:t>
      </w:r>
      <w:r w:rsidR="00FE7FEB" w:rsidRPr="004E7F7B">
        <w:rPr>
          <w:rFonts w:ascii="Times New Roman" w:hAnsi="Times New Roman" w:cs="Times New Roman"/>
          <w:sz w:val="22"/>
          <w:szCs w:val="22"/>
        </w:rPr>
        <w:t>Import and Export Permits</w:t>
      </w:r>
      <w:bookmarkEnd w:id="72"/>
    </w:p>
    <w:p w:rsidR="00FE7FEB" w:rsidRPr="004E7F7B" w:rsidRDefault="00FE7FEB" w:rsidP="00C51FE5">
      <w:pPr>
        <w:rPr>
          <w:lang w:eastAsia="tr-TR"/>
        </w:rPr>
      </w:pPr>
      <w:r w:rsidRPr="004E7F7B">
        <w:rPr>
          <w:lang w:eastAsia="tr-TR"/>
        </w:rPr>
        <w:t xml:space="preserve">Legal persons holding supply licenses can engage in import and/or export; legal persons holding generation license can engage in export activities. Within that scope; </w:t>
      </w:r>
    </w:p>
    <w:p w:rsidR="00FE7FEB" w:rsidRPr="004E7F7B" w:rsidRDefault="00FE7FEB" w:rsidP="007B4A7D">
      <w:pPr>
        <w:pStyle w:val="ListeParagraf"/>
        <w:numPr>
          <w:ilvl w:val="0"/>
          <w:numId w:val="34"/>
        </w:numPr>
      </w:pPr>
      <w:r w:rsidRPr="004E7F7B">
        <w:t xml:space="preserve">In line with the provisions of the Law No:6490 on Approval of the Ratification on Cross-border Electricity Trade between the Republic of Turkey and Geaorgia through Meskhetian-Borçka Interconnection Line” published in te Official Gazette dated 11/06/2013 and numbered 28674 and paragraph (b) of Art.6 of “Turkey-Georgia Cross-border Electricity Trade Agreement” titled “ Available Capacity and Allocation of Capacity” which stipulates that “ In any case, the company to be allocated the available capacity shall be determined by the exporter company”, and as per the provision of the Interconnection Operation Agreement signed between TEİAŞ General Directorate and Georgian Electricity Company (GSE) dated 19/09/2013 and gained effectiveness with the decision of TEİAŞ Board of Directors dated 11/09/2013 and numbered 31-429,  stipulating that “the exporter party shall make the capacity allocation” in the 4th Art.; the license modifications on electricity import from Meskhetian-Borçka transmission line by the method of asynchroneous parallel operation are made within that scope. </w:t>
      </w:r>
    </w:p>
    <w:p w:rsidR="00FE7FEB" w:rsidRPr="004E7F7B" w:rsidRDefault="00FE7FEB" w:rsidP="007B4A7D">
      <w:pPr>
        <w:pStyle w:val="ListeParagraf"/>
        <w:numPr>
          <w:ilvl w:val="0"/>
          <w:numId w:val="34"/>
        </w:numPr>
      </w:pPr>
      <w:r w:rsidRPr="004E7F7B">
        <w:t>In addition, as a result of the synchronous parallel connection of Turkey's Electricity systemwith ENTSO-E Continental Europe Synchronous Area system started on 18/09/2010, permisison was given for elctricity exchange with limited capacity allocation among Bulgaria, Greece and Turkey between Turkish electricity system and ENTSO-E European continental synchronized region, in line with the ENTSO-E practices and the rules of the European Union.  In this context, the capacity allocations that will form the basis for the trade with the ENTSO-E region are realized in two ways. First, the participants in the tender held within the scope of Turkey-Greece line SEECAO and capacity demanding participants bid in this tender. The amendment on related Regulation was made on 28/12/2014 and the rules of procurement to be implemented by CAO were approved by the Board Decision of 08/01/2015. Turkey-Bulgaria interconection line capacity allocation is being made by the Turkish and Bulgarian transmission system operators as per the principles and procedures approved by the Regulation. The current information on the line capacity allocation is published at https:</w:t>
      </w:r>
      <w:r w:rsidR="00BD3818" w:rsidRPr="004E7F7B">
        <w:t>//tcat.teias.gov.tr/. As of 2019</w:t>
      </w:r>
      <w:r w:rsidRPr="004E7F7B">
        <w:t>, the permit implementation continues.</w:t>
      </w:r>
    </w:p>
    <w:p w:rsidR="00FE7FEB" w:rsidRPr="004E7F7B" w:rsidRDefault="00FE7FEB" w:rsidP="004E7F7B">
      <w:pPr>
        <w:pStyle w:val="Balk2"/>
        <w:rPr>
          <w:rFonts w:ascii="Times New Roman" w:hAnsi="Times New Roman" w:cs="Times New Roman"/>
          <w:sz w:val="22"/>
          <w:szCs w:val="22"/>
        </w:rPr>
      </w:pPr>
      <w:bookmarkStart w:id="73" w:name="_Toc442431258"/>
      <w:bookmarkStart w:id="74" w:name="_Toc514251636"/>
      <w:bookmarkStart w:id="75" w:name="_Toc48817844"/>
      <w:r w:rsidRPr="004E7F7B">
        <w:rPr>
          <w:rFonts w:ascii="Times New Roman" w:hAnsi="Times New Roman" w:cs="Times New Roman"/>
          <w:sz w:val="22"/>
          <w:szCs w:val="22"/>
        </w:rPr>
        <w:t>3.2.Natural Gas Market Licensing and Certification Activities</w:t>
      </w:r>
      <w:bookmarkEnd w:id="73"/>
      <w:bookmarkEnd w:id="74"/>
      <w:bookmarkEnd w:id="75"/>
    </w:p>
    <w:p w:rsidR="00FE7FEB" w:rsidRPr="004E7F7B" w:rsidRDefault="004530BB" w:rsidP="004E7F7B">
      <w:pPr>
        <w:pStyle w:val="Balk3"/>
        <w:rPr>
          <w:rFonts w:ascii="Times New Roman" w:hAnsi="Times New Roman" w:cs="Times New Roman"/>
          <w:sz w:val="22"/>
          <w:szCs w:val="22"/>
        </w:rPr>
      </w:pPr>
      <w:bookmarkStart w:id="76" w:name="_Toc442431259"/>
      <w:bookmarkStart w:id="77" w:name="_Toc514251637"/>
      <w:bookmarkStart w:id="78" w:name="_Toc48817845"/>
      <w:r w:rsidRPr="004E7F7B">
        <w:rPr>
          <w:rFonts w:ascii="Times New Roman" w:hAnsi="Times New Roman" w:cs="Times New Roman"/>
          <w:sz w:val="22"/>
          <w:szCs w:val="22"/>
        </w:rPr>
        <w:t>3.2.1.</w:t>
      </w:r>
      <w:r w:rsidR="00FE7FEB" w:rsidRPr="004E7F7B">
        <w:rPr>
          <w:rFonts w:ascii="Times New Roman" w:hAnsi="Times New Roman" w:cs="Times New Roman"/>
          <w:sz w:val="22"/>
          <w:szCs w:val="22"/>
        </w:rPr>
        <w:t>Li</w:t>
      </w:r>
      <w:bookmarkEnd w:id="76"/>
      <w:bookmarkEnd w:id="77"/>
      <w:r w:rsidR="00FE7FEB" w:rsidRPr="004E7F7B">
        <w:rPr>
          <w:rFonts w:ascii="Times New Roman" w:hAnsi="Times New Roman" w:cs="Times New Roman"/>
          <w:sz w:val="22"/>
          <w:szCs w:val="22"/>
        </w:rPr>
        <w:t>censing Activities</w:t>
      </w:r>
      <w:bookmarkEnd w:id="78"/>
    </w:p>
    <w:p w:rsidR="00FE7FEB" w:rsidRPr="00C51FE5" w:rsidRDefault="00FE7FEB" w:rsidP="00C51FE5">
      <w:r w:rsidRPr="00C51FE5">
        <w:t xml:space="preserve">The market activities are defined in the Article 4 of the Natural Gas Market Law No: 4646 and it is stipulated that the legal persons to be engaged in market activities shall obtain a license. The production of natural gas is not provided for as a market activity, it is performed within the scope of the search and operation certificates taken as per the Petroleum Law No: 6491. However, the companies producing natural gas should get wholesale and/or export license to sell the gas as per the Law No: 4646.  </w:t>
      </w:r>
    </w:p>
    <w:p w:rsidR="00FE7FEB" w:rsidRPr="00C51FE5" w:rsidRDefault="00FE7FEB" w:rsidP="00C51FE5">
      <w:r w:rsidRPr="00C51FE5">
        <w:t xml:space="preserve">The principles and procedures regarding the licenses for natural gas market activities are set forth in the Natural Gas Market Licensing Regulation. Licenses are granted for at least 10 and at most 30 years at once.  </w:t>
      </w:r>
    </w:p>
    <w:p w:rsidR="00FE7FEB" w:rsidRPr="00C51FE5" w:rsidRDefault="00FE7FEB" w:rsidP="00C51FE5">
      <w:r w:rsidRPr="00C51FE5">
        <w:t>The types of licenses that can be obtained from the Authority according to the field of activity are; import, export, wholesale, storage, transmission, CNG, distribution license.</w:t>
      </w:r>
    </w:p>
    <w:p w:rsidR="00FE7FEB" w:rsidRPr="004E7F7B" w:rsidRDefault="00FE7FEB" w:rsidP="004E7F7B">
      <w:pPr>
        <w:pStyle w:val="Balk5"/>
        <w:jc w:val="both"/>
        <w:rPr>
          <w:rFonts w:ascii="Times New Roman" w:hAnsi="Times New Roman" w:cs="Times New Roman"/>
        </w:rPr>
      </w:pPr>
      <w:bookmarkStart w:id="79" w:name="_Toc48818017"/>
      <w:bookmarkStart w:id="80" w:name="_Toc416447580"/>
      <w:bookmarkStart w:id="81" w:name="_Toc442441732"/>
      <w:bookmarkStart w:id="82" w:name="_Toc512874130"/>
      <w:r w:rsidRPr="004E7F7B">
        <w:rPr>
          <w:rStyle w:val="Gl"/>
          <w:rFonts w:ascii="Times New Roman" w:hAnsi="Times New Roman" w:cs="Times New Roman"/>
          <w:b/>
          <w:bCs w:val="0"/>
        </w:rPr>
        <w:lastRenderedPageBreak/>
        <w:t>Table 3.3: Lic</w:t>
      </w:r>
      <w:r w:rsidR="00947E5F" w:rsidRPr="004E7F7B">
        <w:rPr>
          <w:rStyle w:val="Gl"/>
          <w:rFonts w:ascii="Times New Roman" w:hAnsi="Times New Roman" w:cs="Times New Roman"/>
          <w:b/>
          <w:bCs w:val="0"/>
        </w:rPr>
        <w:t>ensing Activities in 2019</w:t>
      </w:r>
      <w:r w:rsidRPr="004E7F7B">
        <w:rPr>
          <w:rStyle w:val="Gl"/>
          <w:rFonts w:ascii="Times New Roman" w:hAnsi="Times New Roman" w:cs="Times New Roman"/>
          <w:b/>
          <w:bCs w:val="0"/>
        </w:rPr>
        <w:t xml:space="preserve"> in the Natural Gas Market (Numbers)</w:t>
      </w:r>
      <w:bookmarkEnd w:id="79"/>
      <w:r w:rsidRPr="004E7F7B">
        <w:rPr>
          <w:rStyle w:val="Gl"/>
          <w:rFonts w:ascii="Times New Roman" w:hAnsi="Times New Roman" w:cs="Times New Roman"/>
          <w:b/>
          <w:bCs w:val="0"/>
        </w:rPr>
        <w:t xml:space="preserve"> </w:t>
      </w:r>
      <w:bookmarkEnd w:id="80"/>
      <w:bookmarkEnd w:id="81"/>
      <w:bookmarkEnd w:id="82"/>
    </w:p>
    <w:tbl>
      <w:tblPr>
        <w:tblW w:w="5000" w:type="pct"/>
        <w:tblCellMar>
          <w:left w:w="70" w:type="dxa"/>
          <w:right w:w="70" w:type="dxa"/>
        </w:tblCellMar>
        <w:tblLook w:val="04A0" w:firstRow="1" w:lastRow="0" w:firstColumn="1" w:lastColumn="0" w:noHBand="0" w:noVBand="1"/>
      </w:tblPr>
      <w:tblGrid>
        <w:gridCol w:w="1522"/>
        <w:gridCol w:w="1241"/>
        <w:gridCol w:w="1048"/>
        <w:gridCol w:w="1253"/>
        <w:gridCol w:w="1069"/>
        <w:gridCol w:w="1338"/>
        <w:gridCol w:w="1027"/>
        <w:gridCol w:w="1048"/>
      </w:tblGrid>
      <w:tr w:rsidR="00FE7FEB" w:rsidRPr="004E7F7B" w:rsidTr="00D816E6">
        <w:trPr>
          <w:trHeight w:val="780"/>
        </w:trPr>
        <w:tc>
          <w:tcPr>
            <w:tcW w:w="842"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License Type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License Application</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Granted Licenses</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Terminated License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Cancelled License</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amendments</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Total</w:t>
            </w:r>
          </w:p>
        </w:tc>
        <w:tc>
          <w:tcPr>
            <w:tcW w:w="594"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licenses in effect</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Distribution License</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72</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Storage License</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Export License</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r w:rsidR="00572798" w:rsidRPr="004E7F7B">
              <w:rPr>
                <w:rFonts w:ascii="Times New Roman" w:eastAsia="Times New Roman" w:hAnsi="Times New Roman" w:cs="Times New Roman"/>
                <w:b/>
                <w:bCs/>
                <w:lang w:eastAsia="tr-TR"/>
              </w:rPr>
              <w:t>7</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Transmission License</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Import License</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r w:rsidR="00FE7FEB" w:rsidRPr="004E7F7B">
              <w:rPr>
                <w:rFonts w:ascii="Times New Roman" w:eastAsia="Times New Roman" w:hAnsi="Times New Roman" w:cs="Times New Roman"/>
                <w:lang w:eastAsia="tr-TR"/>
              </w:rPr>
              <w:t>8</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67</w:t>
            </w:r>
          </w:p>
        </w:tc>
      </w:tr>
      <w:tr w:rsidR="00FE7FEB" w:rsidRPr="004E7F7B" w:rsidTr="00D816E6">
        <w:trPr>
          <w:trHeight w:val="52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Compressed Natural Gas (CNG) License*</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93</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Wholesale License**</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51</w:t>
            </w:r>
          </w:p>
        </w:tc>
      </w:tr>
      <w:tr w:rsidR="00FE7FEB" w:rsidRPr="004E7F7B" w:rsidTr="00D816E6">
        <w:trPr>
          <w:trHeight w:val="315"/>
        </w:trPr>
        <w:tc>
          <w:tcPr>
            <w:tcW w:w="842"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17</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w:t>
            </w:r>
          </w:p>
        </w:tc>
        <w:tc>
          <w:tcPr>
            <w:tcW w:w="594" w:type="pct"/>
            <w:tcBorders>
              <w:top w:val="nil"/>
              <w:left w:val="nil"/>
              <w:bottom w:val="single" w:sz="8" w:space="0" w:color="D9D9D9"/>
              <w:right w:val="single" w:sz="8" w:space="0" w:color="D9D9D9"/>
            </w:tcBorders>
            <w:vAlign w:val="center"/>
            <w:hideMark/>
          </w:tcPr>
          <w:p w:rsidR="00FE7FEB" w:rsidRPr="004E7F7B" w:rsidRDefault="000D2E62"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20</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68</w:t>
            </w:r>
          </w:p>
        </w:tc>
        <w:tc>
          <w:tcPr>
            <w:tcW w:w="594" w:type="pct"/>
            <w:tcBorders>
              <w:top w:val="nil"/>
              <w:left w:val="nil"/>
              <w:bottom w:val="single" w:sz="8" w:space="0" w:color="D9D9D9"/>
              <w:right w:val="single" w:sz="8" w:space="0" w:color="D9D9D9"/>
            </w:tcBorders>
            <w:vAlign w:val="center"/>
            <w:hideMark/>
          </w:tcPr>
          <w:p w:rsidR="00FE7FEB" w:rsidRPr="004E7F7B" w:rsidRDefault="0057279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324</w:t>
            </w:r>
          </w:p>
        </w:tc>
      </w:tr>
    </w:tbl>
    <w:p w:rsidR="00FE7FEB" w:rsidRPr="00C51FE5" w:rsidRDefault="00FE7FEB" w:rsidP="00C51FE5">
      <w:pPr>
        <w:spacing w:after="0"/>
      </w:pPr>
      <w:r w:rsidRPr="00C51FE5">
        <w:t xml:space="preserve">* </w:t>
      </w:r>
      <w:r w:rsidR="00711499" w:rsidRPr="00C51FE5">
        <w:t>U</w:t>
      </w:r>
      <w:r w:rsidRPr="00C51FE5">
        <w:t xml:space="preserve">nder the scope of CNG License, there are three sub-license types namely CNG sale, CNG transmision/distribution and Auto CNG. The number of CNG licenses in Table 3.3 consists of the total number of CNG license sub-types. </w:t>
      </w:r>
    </w:p>
    <w:p w:rsidR="00711499" w:rsidRPr="00C51FE5" w:rsidRDefault="00FE7FEB" w:rsidP="00C51FE5">
      <w:pPr>
        <w:spacing w:after="0"/>
      </w:pPr>
      <w:r w:rsidRPr="00C51FE5">
        <w:t xml:space="preserve">** </w:t>
      </w:r>
      <w:r w:rsidR="00711499" w:rsidRPr="00C51FE5">
        <w:t xml:space="preserve">Production companies are also 10 companies with wholesale licenses </w:t>
      </w:r>
      <w:r w:rsidRPr="00C51FE5">
        <w:t>and there is no wholesale (Auto LNG) licensee as of the end of 201</w:t>
      </w:r>
      <w:r w:rsidR="00711499" w:rsidRPr="00C51FE5">
        <w:t>9</w:t>
      </w:r>
      <w:r w:rsidRPr="00C51FE5">
        <w:t xml:space="preserve">. </w:t>
      </w:r>
    </w:p>
    <w:p w:rsidR="00FE7FEB" w:rsidRDefault="00FE7FEB" w:rsidP="004E7F7B">
      <w:pPr>
        <w:pStyle w:val="Balk5"/>
        <w:jc w:val="both"/>
        <w:rPr>
          <w:rStyle w:val="Gl"/>
          <w:rFonts w:ascii="Times New Roman" w:hAnsi="Times New Roman" w:cs="Times New Roman"/>
          <w:b/>
          <w:bCs w:val="0"/>
        </w:rPr>
      </w:pPr>
      <w:bookmarkStart w:id="83" w:name="_Toc512874131"/>
      <w:bookmarkStart w:id="84" w:name="_Toc48818018"/>
      <w:r w:rsidRPr="004E7F7B">
        <w:rPr>
          <w:rStyle w:val="Gl"/>
          <w:rFonts w:ascii="Times New Roman" w:hAnsi="Times New Roman" w:cs="Times New Roman"/>
          <w:b/>
          <w:bCs w:val="0"/>
        </w:rPr>
        <w:t>Table 3.4: Information on Licensed Natural Gas Storage Facilities</w:t>
      </w:r>
      <w:bookmarkEnd w:id="83"/>
      <w:bookmarkEnd w:id="84"/>
    </w:p>
    <w:tbl>
      <w:tblPr>
        <w:tblW w:w="10260" w:type="dxa"/>
        <w:tblInd w:w="-80" w:type="dxa"/>
        <w:tblCellMar>
          <w:left w:w="70" w:type="dxa"/>
          <w:right w:w="70" w:type="dxa"/>
        </w:tblCellMar>
        <w:tblLook w:val="04A0" w:firstRow="1" w:lastRow="0" w:firstColumn="1" w:lastColumn="0" w:noHBand="0" w:noVBand="1"/>
      </w:tblPr>
      <w:tblGrid>
        <w:gridCol w:w="3820"/>
        <w:gridCol w:w="1740"/>
        <w:gridCol w:w="1960"/>
        <w:gridCol w:w="2740"/>
      </w:tblGrid>
      <w:tr w:rsidR="00FE7FEB" w:rsidRPr="004E7F7B" w:rsidTr="00542DD6">
        <w:trPr>
          <w:trHeight w:val="765"/>
          <w:tblHeader/>
        </w:trPr>
        <w:tc>
          <w:tcPr>
            <w:tcW w:w="3820" w:type="dxa"/>
            <w:tcBorders>
              <w:top w:val="single" w:sz="8" w:space="0" w:color="D3D3D3"/>
              <w:left w:val="single" w:sz="8" w:space="0" w:color="D3D3D3"/>
              <w:bottom w:val="nil"/>
              <w:right w:val="single" w:sz="8" w:space="0" w:color="D3D3D3"/>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License Holder</w:t>
            </w:r>
          </w:p>
        </w:tc>
        <w:tc>
          <w:tcPr>
            <w:tcW w:w="1740" w:type="dxa"/>
            <w:tcBorders>
              <w:top w:val="single" w:sz="8" w:space="0" w:color="D3D3D3"/>
              <w:left w:val="nil"/>
              <w:bottom w:val="nil"/>
              <w:right w:val="single" w:sz="8" w:space="0" w:color="D3D3D3"/>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Province of the facility</w:t>
            </w:r>
          </w:p>
        </w:tc>
        <w:tc>
          <w:tcPr>
            <w:tcW w:w="1960" w:type="dxa"/>
            <w:tcBorders>
              <w:top w:val="single" w:sz="8" w:space="0" w:color="D3D3D3"/>
              <w:left w:val="nil"/>
              <w:bottom w:val="nil"/>
              <w:right w:val="single" w:sz="8" w:space="0" w:color="D3D3D3"/>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Type of Storage</w:t>
            </w:r>
          </w:p>
        </w:tc>
        <w:tc>
          <w:tcPr>
            <w:tcW w:w="2740" w:type="dxa"/>
            <w:tcBorders>
              <w:top w:val="single" w:sz="8" w:space="0" w:color="D3D3D3"/>
              <w:left w:val="nil"/>
              <w:bottom w:val="nil"/>
              <w:right w:val="single" w:sz="8" w:space="0" w:color="D3D3D3"/>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 xml:space="preserve">Total Storage Capacity (Registered in the licenses </w:t>
            </w:r>
            <w:r w:rsidRPr="004E7F7B">
              <w:rPr>
                <w:rFonts w:ascii="Times New Roman" w:eastAsia="Times New Roman" w:hAnsi="Times New Roman" w:cs="Times New Roman"/>
                <w:b/>
                <w:bCs/>
                <w:color w:val="FFFFFF"/>
                <w:lang w:eastAsia="tr-TR"/>
              </w:rPr>
              <w:br/>
              <w:t>(m3)</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08288D"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TOREN</w:t>
            </w:r>
            <w:r w:rsidR="00D129CF" w:rsidRPr="004E7F7B">
              <w:rPr>
                <w:rFonts w:ascii="Times New Roman" w:eastAsia="Times New Roman" w:hAnsi="Times New Roman" w:cs="Times New Roman"/>
                <w:lang w:eastAsia="tr-TR"/>
              </w:rPr>
              <w:t xml:space="preserve"> NATURAL GAS STORAGE AND MINING </w:t>
            </w:r>
            <w:r w:rsidR="00E1629A" w:rsidRPr="004E7F7B">
              <w:rPr>
                <w:rFonts w:ascii="Times New Roman" w:hAnsi="Times New Roman" w:cs="Times New Roman"/>
              </w:rPr>
              <w:t>CO.INC.</w:t>
            </w:r>
            <w:r w:rsidR="00D129CF" w:rsidRPr="004E7F7B">
              <w:rPr>
                <w:rFonts w:ascii="Times New Roman" w:hAnsi="Times New Roman" w:cs="Times New Roman"/>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MERSİN</w:t>
            </w:r>
          </w:p>
        </w:tc>
        <w:tc>
          <w:tcPr>
            <w:tcW w:w="1960" w:type="dxa"/>
            <w:tcBorders>
              <w:top w:val="nil"/>
              <w:left w:val="nil"/>
              <w:bottom w:val="single" w:sz="8" w:space="0" w:color="D3D3D3"/>
              <w:right w:val="single" w:sz="8" w:space="0" w:color="D3D3D3"/>
            </w:tcBorders>
            <w:vAlign w:val="center"/>
            <w:hideMark/>
          </w:tcPr>
          <w:p w:rsidR="00FE7FEB" w:rsidRPr="004E7F7B" w:rsidRDefault="009127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U</w:t>
            </w:r>
            <w:r w:rsidRPr="004E7F7B">
              <w:rPr>
                <w:rFonts w:ascii="Times New Roman" w:hAnsi="Times New Roman" w:cs="Times New Roman"/>
              </w:rPr>
              <w:t>nderground</w:t>
            </w:r>
          </w:p>
        </w:tc>
        <w:tc>
          <w:tcPr>
            <w:tcW w:w="2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w:t>
            </w:r>
            <w:r w:rsidR="00FE7FEB" w:rsidRPr="004E7F7B">
              <w:rPr>
                <w:rFonts w:ascii="Times New Roman" w:eastAsia="Times New Roman" w:hAnsi="Times New Roman" w:cs="Times New Roman"/>
                <w:lang w:eastAsia="tr-TR"/>
              </w:rPr>
              <w:t>00.000.000</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BOTAŞ (</w:t>
            </w:r>
            <w:r w:rsidR="0008288D" w:rsidRPr="004E7F7B">
              <w:rPr>
                <w:rFonts w:ascii="Times New Roman" w:hAnsi="Times New Roman" w:cs="Times New Roman"/>
              </w:rPr>
              <w:t>TURKISH PETROLEUM PIPELINE COMPANY</w:t>
            </w:r>
            <w:r w:rsidRPr="004E7F7B">
              <w:rPr>
                <w:rFonts w:ascii="Times New Roman" w:eastAsia="Times New Roman" w:hAnsi="Times New Roman" w:cs="Times New Roman"/>
                <w:lang w:eastAsia="tr-TR"/>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İSTANBUL</w:t>
            </w:r>
          </w:p>
        </w:tc>
        <w:tc>
          <w:tcPr>
            <w:tcW w:w="1960" w:type="dxa"/>
            <w:tcBorders>
              <w:top w:val="nil"/>
              <w:left w:val="nil"/>
              <w:bottom w:val="single" w:sz="8" w:space="0" w:color="D3D3D3"/>
              <w:right w:val="single" w:sz="8" w:space="0" w:color="D3D3D3"/>
            </w:tcBorders>
            <w:vAlign w:val="center"/>
            <w:hideMark/>
          </w:tcPr>
          <w:p w:rsidR="00FE7FEB" w:rsidRPr="004E7F7B" w:rsidRDefault="009127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U</w:t>
            </w:r>
            <w:r w:rsidRPr="004E7F7B">
              <w:rPr>
                <w:rFonts w:ascii="Times New Roman" w:hAnsi="Times New Roman" w:cs="Times New Roman"/>
              </w:rPr>
              <w:t>nderground</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2.841</w:t>
            </w:r>
            <w:r w:rsidR="00FE7FEB" w:rsidRPr="004E7F7B">
              <w:rPr>
                <w:rFonts w:ascii="Times New Roman" w:eastAsia="Times New Roman" w:hAnsi="Times New Roman" w:cs="Times New Roman"/>
                <w:lang w:eastAsia="tr-TR"/>
              </w:rPr>
              <w:t>.000.000</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08288D"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BOTAŞ (</w:t>
            </w:r>
            <w:r w:rsidRPr="004E7F7B">
              <w:rPr>
                <w:rFonts w:ascii="Times New Roman" w:hAnsi="Times New Roman" w:cs="Times New Roman"/>
              </w:rPr>
              <w:t>TURKISH PETROLEUM PIPELINE COMPANY</w:t>
            </w:r>
            <w:r w:rsidRPr="004E7F7B">
              <w:rPr>
                <w:rFonts w:ascii="Times New Roman" w:eastAsia="Times New Roman" w:hAnsi="Times New Roman" w:cs="Times New Roman"/>
                <w:lang w:eastAsia="tr-TR"/>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AKSARAY</w:t>
            </w:r>
          </w:p>
        </w:tc>
        <w:tc>
          <w:tcPr>
            <w:tcW w:w="1960" w:type="dxa"/>
            <w:tcBorders>
              <w:top w:val="nil"/>
              <w:left w:val="nil"/>
              <w:bottom w:val="single" w:sz="8" w:space="0" w:color="D3D3D3"/>
              <w:right w:val="single" w:sz="8" w:space="0" w:color="D3D3D3"/>
            </w:tcBorders>
            <w:vAlign w:val="center"/>
            <w:hideMark/>
          </w:tcPr>
          <w:p w:rsidR="00FE7FEB" w:rsidRPr="004E7F7B" w:rsidRDefault="009127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U</w:t>
            </w:r>
            <w:r w:rsidRPr="004E7F7B">
              <w:rPr>
                <w:rFonts w:ascii="Times New Roman" w:hAnsi="Times New Roman" w:cs="Times New Roman"/>
              </w:rPr>
              <w:t>nderground</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550</w:t>
            </w:r>
            <w:r w:rsidR="00FE7FEB" w:rsidRPr="004E7F7B">
              <w:rPr>
                <w:rFonts w:ascii="Times New Roman" w:eastAsia="Times New Roman" w:hAnsi="Times New Roman" w:cs="Times New Roman"/>
                <w:lang w:eastAsia="tr-TR"/>
              </w:rPr>
              <w:t>.000.000</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D129C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GAS STORAGE AND MINING GAS </w:t>
            </w:r>
            <w:r w:rsidR="00E1629A" w:rsidRPr="004E7F7B">
              <w:rPr>
                <w:rFonts w:ascii="Times New Roman" w:hAnsi="Times New Roman" w:cs="Times New Roman"/>
              </w:rPr>
              <w:t>CO.INC.</w:t>
            </w:r>
            <w:r w:rsidR="00711499" w:rsidRPr="004E7F7B">
              <w:rPr>
                <w:rFonts w:ascii="Times New Roman" w:eastAsia="Times New Roman" w:hAnsi="Times New Roman" w:cs="Times New Roman"/>
                <w:lang w:eastAsia="tr-TR"/>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MERSİN</w:t>
            </w:r>
          </w:p>
        </w:tc>
        <w:tc>
          <w:tcPr>
            <w:tcW w:w="1960" w:type="dxa"/>
            <w:tcBorders>
              <w:top w:val="nil"/>
              <w:left w:val="nil"/>
              <w:bottom w:val="single" w:sz="8" w:space="0" w:color="D3D3D3"/>
              <w:right w:val="single" w:sz="8" w:space="0" w:color="D3D3D3"/>
            </w:tcBorders>
            <w:vAlign w:val="center"/>
            <w:hideMark/>
          </w:tcPr>
          <w:p w:rsidR="00FE7FEB" w:rsidRPr="004E7F7B" w:rsidRDefault="009127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U</w:t>
            </w:r>
            <w:r w:rsidRPr="004E7F7B">
              <w:rPr>
                <w:rFonts w:ascii="Times New Roman" w:hAnsi="Times New Roman" w:cs="Times New Roman"/>
              </w:rPr>
              <w:t>nderground</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000.</w:t>
            </w:r>
            <w:r w:rsidR="00FE7FEB" w:rsidRPr="004E7F7B">
              <w:rPr>
                <w:rFonts w:ascii="Times New Roman" w:eastAsia="Times New Roman" w:hAnsi="Times New Roman" w:cs="Times New Roman"/>
                <w:lang w:eastAsia="tr-TR"/>
              </w:rPr>
              <w:t>000.000</w:t>
            </w:r>
          </w:p>
        </w:tc>
      </w:tr>
      <w:tr w:rsidR="00FE7FEB" w:rsidRPr="004E7F7B" w:rsidTr="00542DD6">
        <w:trPr>
          <w:trHeight w:val="31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D129C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ETKI LIMAN ISLETMELERI</w:t>
            </w:r>
            <w:r w:rsidR="00711499" w:rsidRPr="004E7F7B">
              <w:rPr>
                <w:rFonts w:ascii="Times New Roman" w:eastAsia="Times New Roman" w:hAnsi="Times New Roman" w:cs="Times New Roman"/>
                <w:lang w:eastAsia="tr-TR"/>
              </w:rPr>
              <w:t xml:space="preserve"> DOĞALGAZ </w:t>
            </w:r>
            <w:r w:rsidRPr="004E7F7B">
              <w:rPr>
                <w:rFonts w:ascii="Times New Roman" w:eastAsia="Times New Roman" w:hAnsi="Times New Roman" w:cs="Times New Roman"/>
                <w:lang w:eastAsia="tr-TR"/>
              </w:rPr>
              <w:t xml:space="preserve">IMPORT AND TRADE </w:t>
            </w:r>
            <w:r w:rsidR="00E1629A" w:rsidRPr="004E7F7B">
              <w:rPr>
                <w:rFonts w:ascii="Times New Roman" w:hAnsi="Times New Roman" w:cs="Times New Roman"/>
              </w:rPr>
              <w:t>CO.INC.</w:t>
            </w:r>
          </w:p>
        </w:tc>
        <w:tc>
          <w:tcPr>
            <w:tcW w:w="1740" w:type="dxa"/>
            <w:tcBorders>
              <w:top w:val="nil"/>
              <w:left w:val="nil"/>
              <w:bottom w:val="single" w:sz="8" w:space="0" w:color="D3D3D3"/>
              <w:right w:val="single" w:sz="8" w:space="0" w:color="D3D3D3"/>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İZMİR</w:t>
            </w:r>
          </w:p>
        </w:tc>
        <w:tc>
          <w:tcPr>
            <w:tcW w:w="1960" w:type="dxa"/>
            <w:tcBorders>
              <w:top w:val="nil"/>
              <w:left w:val="nil"/>
              <w:bottom w:val="single" w:sz="8" w:space="0" w:color="D3D3D3"/>
              <w:right w:val="single" w:sz="8" w:space="0" w:color="D3D3D3"/>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LNG</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166.631</w:t>
            </w:r>
            <w:r w:rsidR="00FE7FEB" w:rsidRPr="004E7F7B">
              <w:rPr>
                <w:rFonts w:ascii="Times New Roman" w:eastAsia="Times New Roman" w:hAnsi="Times New Roman" w:cs="Times New Roman"/>
                <w:lang w:eastAsia="tr-TR"/>
              </w:rPr>
              <w:t>**</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D129C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EGE GAS</w:t>
            </w:r>
            <w:r w:rsidR="00711499" w:rsidRPr="004E7F7B">
              <w:rPr>
                <w:rFonts w:ascii="Times New Roman" w:eastAsia="Times New Roman" w:hAnsi="Times New Roman" w:cs="Times New Roman"/>
                <w:lang w:eastAsia="tr-TR"/>
              </w:rPr>
              <w:t xml:space="preserve"> </w:t>
            </w:r>
            <w:r w:rsidR="00E1629A" w:rsidRPr="004E7F7B">
              <w:rPr>
                <w:rFonts w:ascii="Times New Roman" w:hAnsi="Times New Roman" w:cs="Times New Roman"/>
              </w:rPr>
              <w:t>CO.INC.</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İZMİR</w:t>
            </w:r>
          </w:p>
        </w:tc>
        <w:tc>
          <w:tcPr>
            <w:tcW w:w="1960" w:type="dxa"/>
            <w:tcBorders>
              <w:top w:val="nil"/>
              <w:left w:val="nil"/>
              <w:bottom w:val="single" w:sz="8" w:space="0" w:color="D3D3D3"/>
              <w:right w:val="single" w:sz="8" w:space="0" w:color="D3D3D3"/>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LNG</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280</w:t>
            </w:r>
            <w:r w:rsidR="00FE7FEB" w:rsidRPr="004E7F7B">
              <w:rPr>
                <w:rFonts w:ascii="Times New Roman" w:eastAsia="Times New Roman" w:hAnsi="Times New Roman" w:cs="Times New Roman"/>
                <w:lang w:eastAsia="tr-TR"/>
              </w:rPr>
              <w:t>.000**</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BOTAŞ (</w:t>
            </w:r>
            <w:r w:rsidR="009127AC" w:rsidRPr="004E7F7B">
              <w:rPr>
                <w:rFonts w:ascii="Times New Roman" w:hAnsi="Times New Roman" w:cs="Times New Roman"/>
              </w:rPr>
              <w:t>TURKISH PETROLEUM PIPELINE COMPANY</w:t>
            </w:r>
            <w:r w:rsidRPr="004E7F7B">
              <w:rPr>
                <w:rFonts w:ascii="Times New Roman" w:eastAsia="Times New Roman" w:hAnsi="Times New Roman" w:cs="Times New Roman"/>
                <w:lang w:eastAsia="tr-TR"/>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HATAY</w:t>
            </w:r>
          </w:p>
        </w:tc>
        <w:tc>
          <w:tcPr>
            <w:tcW w:w="1960" w:type="dxa"/>
            <w:tcBorders>
              <w:top w:val="nil"/>
              <w:left w:val="nil"/>
              <w:bottom w:val="single" w:sz="8" w:space="0" w:color="D3D3D3"/>
              <w:right w:val="single" w:sz="8" w:space="0" w:color="D3D3D3"/>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LNG</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263</w:t>
            </w:r>
            <w:r w:rsidR="00FE7FEB" w:rsidRPr="004E7F7B">
              <w:rPr>
                <w:rFonts w:ascii="Times New Roman" w:eastAsia="Times New Roman" w:hAnsi="Times New Roman" w:cs="Times New Roman"/>
                <w:lang w:eastAsia="tr-TR"/>
              </w:rPr>
              <w:t>.000**</w:t>
            </w:r>
          </w:p>
        </w:tc>
      </w:tr>
      <w:tr w:rsidR="00FE7FEB" w:rsidRPr="004E7F7B" w:rsidTr="00542DD6">
        <w:trPr>
          <w:trHeight w:val="525"/>
        </w:trPr>
        <w:tc>
          <w:tcPr>
            <w:tcW w:w="3820" w:type="dxa"/>
            <w:tcBorders>
              <w:top w:val="nil"/>
              <w:left w:val="single" w:sz="8" w:space="0" w:color="D3D3D3"/>
              <w:bottom w:val="single" w:sz="8" w:space="0" w:color="D3D3D3"/>
              <w:right w:val="single" w:sz="8" w:space="0" w:color="D3D3D3"/>
            </w:tcBorders>
            <w:vAlign w:val="center"/>
            <w:hideMark/>
          </w:tcPr>
          <w:p w:rsidR="00FE7FEB" w:rsidRPr="004E7F7B" w:rsidRDefault="009127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BOTAŞ (</w:t>
            </w:r>
            <w:r w:rsidRPr="004E7F7B">
              <w:rPr>
                <w:rFonts w:ascii="Times New Roman" w:hAnsi="Times New Roman" w:cs="Times New Roman"/>
              </w:rPr>
              <w:t>TURKISH PETROLEUM PIPELINE COMPANY</w:t>
            </w:r>
            <w:r w:rsidRPr="004E7F7B">
              <w:rPr>
                <w:rFonts w:ascii="Times New Roman" w:eastAsia="Times New Roman" w:hAnsi="Times New Roman" w:cs="Times New Roman"/>
                <w:lang w:eastAsia="tr-TR"/>
              </w:rPr>
              <w:t>)</w:t>
            </w:r>
          </w:p>
        </w:tc>
        <w:tc>
          <w:tcPr>
            <w:tcW w:w="1740" w:type="dxa"/>
            <w:tcBorders>
              <w:top w:val="nil"/>
              <w:left w:val="nil"/>
              <w:bottom w:val="single" w:sz="8" w:space="0" w:color="D3D3D3"/>
              <w:right w:val="single" w:sz="8" w:space="0" w:color="D3D3D3"/>
            </w:tcBorders>
            <w:vAlign w:val="center"/>
            <w:hideMark/>
          </w:tcPr>
          <w:p w:rsidR="00FE7FEB" w:rsidRPr="004E7F7B" w:rsidRDefault="0071149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TEKİRDAĞ</w:t>
            </w:r>
          </w:p>
        </w:tc>
        <w:tc>
          <w:tcPr>
            <w:tcW w:w="1960" w:type="dxa"/>
            <w:tcBorders>
              <w:top w:val="nil"/>
              <w:left w:val="nil"/>
              <w:bottom w:val="single" w:sz="8" w:space="0" w:color="D3D3D3"/>
              <w:right w:val="single" w:sz="8" w:space="0" w:color="D3D3D3"/>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LNG</w:t>
            </w:r>
          </w:p>
        </w:tc>
        <w:tc>
          <w:tcPr>
            <w:tcW w:w="2740" w:type="dxa"/>
            <w:tcBorders>
              <w:top w:val="nil"/>
              <w:left w:val="nil"/>
              <w:bottom w:val="single" w:sz="8" w:space="0" w:color="D3D3D3"/>
              <w:right w:val="single" w:sz="8" w:space="0" w:color="D3D3D3"/>
            </w:tcBorders>
            <w:vAlign w:val="center"/>
            <w:hideMark/>
          </w:tcPr>
          <w:p w:rsidR="00FE7FEB" w:rsidRPr="004E7F7B" w:rsidRDefault="001D7FAF"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255</w:t>
            </w:r>
            <w:r w:rsidR="00FE7FEB" w:rsidRPr="004E7F7B">
              <w:rPr>
                <w:rFonts w:ascii="Times New Roman" w:eastAsia="Times New Roman" w:hAnsi="Times New Roman" w:cs="Times New Roman"/>
                <w:lang w:eastAsia="tr-TR"/>
              </w:rPr>
              <w:t>.000**</w:t>
            </w:r>
          </w:p>
        </w:tc>
      </w:tr>
    </w:tbl>
    <w:p w:rsidR="00FE7FEB" w:rsidRPr="004E7F7B" w:rsidRDefault="00FE7FEB" w:rsidP="00C51FE5">
      <w:pPr>
        <w:spacing w:after="0"/>
      </w:pPr>
      <w:r w:rsidRPr="004E7F7B">
        <w:t>*The facilities are not in operation yet.</w:t>
      </w:r>
    </w:p>
    <w:p w:rsidR="00FE7FEB" w:rsidRPr="004E7F7B" w:rsidRDefault="00FE7FEB" w:rsidP="00C51FE5">
      <w:pPr>
        <w:spacing w:after="0"/>
      </w:pPr>
      <w:r w:rsidRPr="004E7F7B">
        <w:lastRenderedPageBreak/>
        <w:t>**Liquefied natural gas (LNG)</w:t>
      </w:r>
    </w:p>
    <w:p w:rsidR="004530BB" w:rsidRPr="004E7F7B" w:rsidRDefault="00FE7FEB" w:rsidP="00C51FE5">
      <w:pPr>
        <w:spacing w:after="0"/>
      </w:pPr>
      <w:r w:rsidRPr="004E7F7B">
        <w:t>***The amounts are the total capacity amounts registered in the license.</w:t>
      </w:r>
      <w:r w:rsidR="00CD57D6" w:rsidRPr="004E7F7B">
        <w:t xml:space="preserve"> This is the amount of storage capacity for facilities that are not in operation at the time they will start operating.</w:t>
      </w:r>
      <w:r w:rsidRPr="004E7F7B">
        <w:t xml:space="preserve"> There are eight storage licenses, four of which are underground and fo</w:t>
      </w:r>
      <w:r w:rsidR="001D7FAF" w:rsidRPr="004E7F7B">
        <w:t>ur are LNG terminals. As of 2019</w:t>
      </w:r>
      <w:r w:rsidRPr="004E7F7B">
        <w:t>, the actual underground storage capacity reached 3.39</w:t>
      </w:r>
      <w:r w:rsidR="00D06D50" w:rsidRPr="004E7F7B">
        <w:t>1</w:t>
      </w:r>
      <w:r w:rsidRPr="004E7F7B">
        <w:t xml:space="preserve"> billion m</w:t>
      </w:r>
      <w:r w:rsidRPr="004E7F7B">
        <w:rPr>
          <w:vertAlign w:val="superscript"/>
        </w:rPr>
        <w:t>3</w:t>
      </w:r>
      <w:r w:rsidRPr="004E7F7B">
        <w:t xml:space="preserve"> w</w:t>
      </w:r>
      <w:r w:rsidR="00CD57D6" w:rsidRPr="004E7F7B">
        <w:t>ithin the scope of granted under</w:t>
      </w:r>
      <w:r w:rsidRPr="004E7F7B">
        <w:t>ground storage licenses.</w:t>
      </w:r>
    </w:p>
    <w:p w:rsidR="00FE7FEB" w:rsidRPr="004E7F7B" w:rsidRDefault="004530BB" w:rsidP="004E7F7B">
      <w:pPr>
        <w:pStyle w:val="Balk3"/>
        <w:rPr>
          <w:rFonts w:ascii="Times New Roman" w:hAnsi="Times New Roman" w:cs="Times New Roman"/>
          <w:sz w:val="22"/>
          <w:szCs w:val="22"/>
        </w:rPr>
      </w:pPr>
      <w:bookmarkStart w:id="85" w:name="_Toc48817846"/>
      <w:r w:rsidRPr="004E7F7B">
        <w:rPr>
          <w:rFonts w:ascii="Times New Roman" w:hAnsi="Times New Roman" w:cs="Times New Roman"/>
          <w:sz w:val="22"/>
          <w:szCs w:val="22"/>
        </w:rPr>
        <w:t>3.2.2.</w:t>
      </w:r>
      <w:r w:rsidR="00FE7FEB" w:rsidRPr="004E7F7B">
        <w:rPr>
          <w:rFonts w:ascii="Times New Roman" w:hAnsi="Times New Roman" w:cs="Times New Roman"/>
          <w:sz w:val="22"/>
          <w:szCs w:val="22"/>
        </w:rPr>
        <w:t>Certification Activities</w:t>
      </w:r>
      <w:bookmarkEnd w:id="85"/>
    </w:p>
    <w:p w:rsidR="00691612" w:rsidRPr="004E7F7B" w:rsidRDefault="00691612" w:rsidP="00C51FE5">
      <w:pPr>
        <w:rPr>
          <w:b/>
        </w:rPr>
      </w:pPr>
      <w:r w:rsidRPr="004E7F7B">
        <w:t>The principles and procedures regarding the certificates to be granted to the real or legal persons engaged in internal installation and service lines and construction and service activities in the natural gas market are set forth in the Natural Gas Market Certificate Regulation.</w:t>
      </w:r>
    </w:p>
    <w:p w:rsidR="00691612" w:rsidRPr="004E7F7B" w:rsidRDefault="00691612" w:rsidP="00C51FE5">
      <w:pPr>
        <w:rPr>
          <w:b/>
        </w:rPr>
      </w:pPr>
      <w:r w:rsidRPr="004E7F7B">
        <w:t xml:space="preserve">Any construction and service activity related with natural gas may not be performed by persons not holding certificates. The ones who will deal with the services related with the system such as feasibility, preliminary study, project, consultancy, control and audit, construction, service, maintenance and repair are obliged to get a certificate form the Authority.   </w:t>
      </w:r>
    </w:p>
    <w:p w:rsidR="00691612" w:rsidRPr="004E7F7B" w:rsidRDefault="00691612" w:rsidP="00C51FE5">
      <w:pPr>
        <w:rPr>
          <w:b/>
        </w:rPr>
      </w:pPr>
      <w:r w:rsidRPr="004E7F7B">
        <w:t>Certificates are granted for at least ten and at most thirty years at once. Certificates are also subject to visa procedure. Certificate holders may not continue its activities until getting a visa. The visa period is 2 years for construction and service certificate and 1 year for internal installation and service lines certificate starting from the validity date.</w:t>
      </w:r>
    </w:p>
    <w:p w:rsidR="00691612" w:rsidRPr="004E7F7B" w:rsidRDefault="00691612" w:rsidP="00C51FE5">
      <w:pPr>
        <w:rPr>
          <w:b/>
        </w:rPr>
      </w:pPr>
      <w:r w:rsidRPr="004E7F7B">
        <w:t>Following the issuance of each certificate, a separate registry file shall be opened for the relevant certificate holder and registry records shall be kept in accordance with the provisions of the relevant legislation. The real and legal persons granted construction and service certificate are published in the web site of the Authority, and the ones granted internal installation and service lines certificate are published in the web site of the distribution company granting the certificate.</w:t>
      </w:r>
    </w:p>
    <w:p w:rsidR="00FE7FEB" w:rsidRPr="004E7F7B" w:rsidRDefault="00FE7FEB" w:rsidP="004E7F7B">
      <w:pPr>
        <w:pStyle w:val="Balk5"/>
        <w:jc w:val="both"/>
        <w:rPr>
          <w:rFonts w:ascii="Times New Roman" w:hAnsi="Times New Roman" w:cs="Times New Roman"/>
        </w:rPr>
      </w:pPr>
      <w:bookmarkStart w:id="86" w:name="_Toc48818019"/>
      <w:r w:rsidRPr="004E7F7B">
        <w:rPr>
          <w:rStyle w:val="Gl"/>
          <w:rFonts w:ascii="Times New Roman" w:hAnsi="Times New Roman" w:cs="Times New Roman"/>
          <w:b/>
          <w:bCs w:val="0"/>
        </w:rPr>
        <w:t>Table 3.5: Certfications in the Natural Gas Market in 201</w:t>
      </w:r>
      <w:r w:rsidR="00912790" w:rsidRPr="004E7F7B">
        <w:rPr>
          <w:rStyle w:val="Gl"/>
          <w:rFonts w:ascii="Times New Roman" w:hAnsi="Times New Roman" w:cs="Times New Roman"/>
          <w:b/>
          <w:bCs w:val="0"/>
        </w:rPr>
        <w:t>9</w:t>
      </w:r>
      <w:bookmarkEnd w:id="8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77"/>
        <w:gridCol w:w="1745"/>
        <w:gridCol w:w="1228"/>
        <w:gridCol w:w="1253"/>
        <w:gridCol w:w="1142"/>
        <w:gridCol w:w="1093"/>
        <w:gridCol w:w="642"/>
        <w:gridCol w:w="1166"/>
      </w:tblGrid>
      <w:tr w:rsidR="00FE7FEB" w:rsidRPr="004E7F7B" w:rsidTr="00D816E6">
        <w:trPr>
          <w:trHeight w:val="300"/>
        </w:trPr>
        <w:tc>
          <w:tcPr>
            <w:tcW w:w="571"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Type of Certificate</w:t>
            </w:r>
          </w:p>
        </w:tc>
        <w:tc>
          <w:tcPr>
            <w:tcW w:w="3624"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Type of activity</w:t>
            </w:r>
          </w:p>
        </w:tc>
        <w:tc>
          <w:tcPr>
            <w:tcW w:w="40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Total</w:t>
            </w:r>
          </w:p>
        </w:tc>
        <w:tc>
          <w:tcPr>
            <w:tcW w:w="40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certificates in effect</w:t>
            </w:r>
          </w:p>
        </w:tc>
      </w:tr>
      <w:tr w:rsidR="00FE7FEB" w:rsidRPr="004E7F7B" w:rsidTr="00D816E6">
        <w:trPr>
          <w:trHeight w:val="525"/>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201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Applications for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Granted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Terminated Certificates</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Certificate Visa</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Amended Certicates</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r>
      <w:tr w:rsidR="00FE7FEB" w:rsidRPr="004E7F7B" w:rsidTr="00D816E6">
        <w:trPr>
          <w:trHeight w:val="315"/>
        </w:trPr>
        <w:tc>
          <w:tcPr>
            <w:tcW w:w="5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Construction and Service Certificate</w:t>
            </w:r>
          </w:p>
        </w:tc>
        <w:tc>
          <w:tcPr>
            <w:tcW w:w="201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98</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96</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69</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83</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374</w:t>
            </w:r>
          </w:p>
        </w:tc>
        <w:tc>
          <w:tcPr>
            <w:tcW w:w="4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963</w:t>
            </w:r>
          </w:p>
        </w:tc>
      </w:tr>
    </w:tbl>
    <w:p w:rsidR="00FE7FEB" w:rsidRPr="004E7F7B" w:rsidRDefault="00FE7FEB" w:rsidP="004E7F7B">
      <w:pPr>
        <w:rPr>
          <w:rFonts w:ascii="Times New Roman" w:hAnsi="Times New Roman" w:cs="Times New Roman"/>
        </w:rPr>
      </w:pPr>
    </w:p>
    <w:p w:rsidR="00FE7FEB" w:rsidRPr="004E7F7B" w:rsidRDefault="00FE7FEB" w:rsidP="004E7F7B">
      <w:pPr>
        <w:pStyle w:val="Balk2"/>
        <w:rPr>
          <w:rFonts w:ascii="Times New Roman" w:hAnsi="Times New Roman" w:cs="Times New Roman"/>
          <w:sz w:val="22"/>
          <w:szCs w:val="22"/>
        </w:rPr>
      </w:pPr>
      <w:bookmarkStart w:id="87" w:name="_Toc514251639"/>
      <w:bookmarkStart w:id="88" w:name="_Toc48817847"/>
      <w:r w:rsidRPr="004E7F7B">
        <w:rPr>
          <w:rFonts w:ascii="Times New Roman" w:hAnsi="Times New Roman" w:cs="Times New Roman"/>
          <w:sz w:val="22"/>
          <w:szCs w:val="22"/>
        </w:rPr>
        <w:t>3.3. Petroleum Market Licensing Activities</w:t>
      </w:r>
      <w:bookmarkEnd w:id="87"/>
      <w:bookmarkEnd w:id="88"/>
    </w:p>
    <w:p w:rsidR="00FE7FEB" w:rsidRPr="004E7F7B" w:rsidRDefault="00FE7FEB" w:rsidP="00C51FE5">
      <w:r w:rsidRPr="004E7F7B">
        <w:t xml:space="preserve">It is obligatory to get a license to perform the activities related with petroleum market such as; refining, processing, lube oil production, storage, transmission, eligible consumer and bunker activities and establishing and/or operating facilities with this purpose, liquid fuel distribution, transport and vendor activities. The principles and procedures of such licenses are set forth in the Petroleum Market Licensing Regulation.   </w:t>
      </w:r>
    </w:p>
    <w:p w:rsidR="00FE7FEB" w:rsidRPr="004E7F7B" w:rsidRDefault="00FE7FEB" w:rsidP="00C51FE5">
      <w:r w:rsidRPr="004E7F7B">
        <w:t>The types of licenses granted by the Authority according to the field of activity are; Refining Undertaking License, , Processing License, Lubricant License, Storage License, Transmission License, Eligible Consumer License, Bunker Delivery License, Distributor License, Transport License, Vendorship License.</w:t>
      </w:r>
    </w:p>
    <w:p w:rsidR="00FE7FEB" w:rsidRPr="004E7F7B" w:rsidRDefault="00FE7FEB" w:rsidP="004E7F7B">
      <w:pPr>
        <w:pStyle w:val="Balk5"/>
        <w:jc w:val="both"/>
        <w:rPr>
          <w:rFonts w:ascii="Times New Roman" w:hAnsi="Times New Roman" w:cs="Times New Roman"/>
        </w:rPr>
      </w:pPr>
      <w:bookmarkStart w:id="89" w:name="_Toc512874133"/>
      <w:bookmarkStart w:id="90" w:name="_Toc48818020"/>
      <w:r w:rsidRPr="004E7F7B">
        <w:rPr>
          <w:rStyle w:val="Gl"/>
          <w:rFonts w:ascii="Times New Roman" w:hAnsi="Times New Roman" w:cs="Times New Roman"/>
          <w:b/>
          <w:bCs w:val="0"/>
        </w:rPr>
        <w:lastRenderedPageBreak/>
        <w:t>Table 3.6: License Procedures in the Petroleum Market in 201</w:t>
      </w:r>
      <w:bookmarkEnd w:id="89"/>
      <w:r w:rsidR="008B64E8" w:rsidRPr="004E7F7B">
        <w:rPr>
          <w:rStyle w:val="Gl"/>
          <w:rFonts w:ascii="Times New Roman" w:hAnsi="Times New Roman" w:cs="Times New Roman"/>
          <w:b/>
          <w:bCs w:val="0"/>
        </w:rPr>
        <w:t>9</w:t>
      </w:r>
      <w:bookmarkEnd w:id="9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0"/>
        <w:gridCol w:w="1241"/>
        <w:gridCol w:w="1096"/>
        <w:gridCol w:w="1253"/>
        <w:gridCol w:w="1096"/>
        <w:gridCol w:w="1096"/>
        <w:gridCol w:w="1097"/>
        <w:gridCol w:w="1097"/>
      </w:tblGrid>
      <w:tr w:rsidR="00FE7FEB" w:rsidRPr="004E7F7B" w:rsidTr="00B2297C">
        <w:trPr>
          <w:trHeight w:val="780"/>
          <w:tblHeader/>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License Type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License Application</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Granted Licenses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Terminated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Cancelled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Renewals</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licenses in effect</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Vendorship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1.643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1.613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1.564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2.264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7.086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13.002</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Distribution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93</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Storage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95</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Bunker Delivery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r w:rsidR="009E4472" w:rsidRPr="004E7F7B">
              <w:rPr>
                <w:rFonts w:ascii="Times New Roman" w:eastAsia="Times New Roman" w:hAnsi="Times New Roman" w:cs="Times New Roman"/>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69</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Tranmission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34</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Processing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9E4472"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Lube Oil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126</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Refining </w:t>
            </w:r>
          </w:p>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Undertaking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Eligible User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38</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Transportation License</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62</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74</w:t>
            </w:r>
          </w:p>
        </w:tc>
      </w:tr>
      <w:tr w:rsidR="00FE7FEB" w:rsidRPr="004E7F7B" w:rsidTr="00D816E6">
        <w:trPr>
          <w:trHeight w:val="315"/>
        </w:trPr>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1.741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22447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1.677</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1.638</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2.471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7.531</w:t>
            </w:r>
          </w:p>
        </w:tc>
        <w:tc>
          <w:tcPr>
            <w:tcW w:w="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8B64E8"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13.550</w:t>
            </w:r>
          </w:p>
        </w:tc>
      </w:tr>
    </w:tbl>
    <w:p w:rsidR="00FE7FEB" w:rsidRPr="004E7F7B" w:rsidRDefault="00FE7FEB" w:rsidP="004E7F7B">
      <w:pPr>
        <w:pStyle w:val="Balk5"/>
        <w:jc w:val="both"/>
        <w:rPr>
          <w:rFonts w:ascii="Times New Roman" w:hAnsi="Times New Roman" w:cs="Times New Roman"/>
        </w:rPr>
      </w:pPr>
      <w:bookmarkStart w:id="91" w:name="_Toc48818021"/>
      <w:bookmarkStart w:id="92" w:name="_Toc416447588"/>
      <w:bookmarkStart w:id="93" w:name="_Toc442441738"/>
      <w:bookmarkStart w:id="94" w:name="_Toc512874134"/>
      <w:r w:rsidRPr="004E7F7B">
        <w:rPr>
          <w:rStyle w:val="Gl"/>
          <w:rFonts w:ascii="Times New Roman" w:hAnsi="Times New Roman" w:cs="Times New Roman"/>
          <w:b/>
          <w:bCs w:val="0"/>
        </w:rPr>
        <w:t xml:space="preserve">Table 3.7: Information on Refining Undertakings as of the </w:t>
      </w:r>
      <w:r w:rsidR="003B585D" w:rsidRPr="004E7F7B">
        <w:rPr>
          <w:rStyle w:val="Gl"/>
          <w:rFonts w:ascii="Times New Roman" w:hAnsi="Times New Roman" w:cs="Times New Roman"/>
          <w:b/>
          <w:bCs w:val="0"/>
        </w:rPr>
        <w:t>e</w:t>
      </w:r>
      <w:r w:rsidRPr="004E7F7B">
        <w:rPr>
          <w:rStyle w:val="Gl"/>
          <w:rFonts w:ascii="Times New Roman" w:hAnsi="Times New Roman" w:cs="Times New Roman"/>
          <w:b/>
          <w:bCs w:val="0"/>
        </w:rPr>
        <w:t>nd of 201</w:t>
      </w:r>
      <w:r w:rsidR="008B64E8" w:rsidRPr="004E7F7B">
        <w:rPr>
          <w:rStyle w:val="Gl"/>
          <w:rFonts w:ascii="Times New Roman" w:hAnsi="Times New Roman" w:cs="Times New Roman"/>
          <w:b/>
          <w:bCs w:val="0"/>
        </w:rPr>
        <w:t>9</w:t>
      </w:r>
      <w:bookmarkEnd w:id="91"/>
      <w:r w:rsidRPr="004E7F7B">
        <w:rPr>
          <w:rStyle w:val="Gl"/>
          <w:rFonts w:ascii="Times New Roman" w:hAnsi="Times New Roman" w:cs="Times New Roman"/>
          <w:b/>
          <w:bCs w:val="0"/>
        </w:rPr>
        <w:t xml:space="preserve"> </w:t>
      </w:r>
      <w:bookmarkEnd w:id="92"/>
      <w:bookmarkEnd w:id="93"/>
      <w:bookmarkEnd w:id="94"/>
    </w:p>
    <w:tbl>
      <w:tblPr>
        <w:tblW w:w="5000" w:type="pct"/>
        <w:tblCellMar>
          <w:left w:w="70" w:type="dxa"/>
          <w:right w:w="70" w:type="dxa"/>
        </w:tblCellMar>
        <w:tblLook w:val="04A0" w:firstRow="1" w:lastRow="0" w:firstColumn="1" w:lastColumn="0" w:noHBand="0" w:noVBand="1"/>
      </w:tblPr>
      <w:tblGrid>
        <w:gridCol w:w="3245"/>
        <w:gridCol w:w="2219"/>
        <w:gridCol w:w="2340"/>
        <w:gridCol w:w="1742"/>
      </w:tblGrid>
      <w:tr w:rsidR="00FE7FEB" w:rsidRPr="004E7F7B" w:rsidTr="008B64E8">
        <w:trPr>
          <w:trHeight w:val="780"/>
        </w:trPr>
        <w:tc>
          <w:tcPr>
            <w:tcW w:w="2013" w:type="pct"/>
            <w:tcBorders>
              <w:top w:val="single" w:sz="8" w:space="0" w:color="D9D9D9"/>
              <w:left w:val="single" w:sz="8" w:space="0" w:color="D9D9D9"/>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License Holder</w:t>
            </w:r>
          </w:p>
        </w:tc>
        <w:tc>
          <w:tcPr>
            <w:tcW w:w="940"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Province of the facility</w:t>
            </w:r>
          </w:p>
        </w:tc>
        <w:tc>
          <w:tcPr>
            <w:tcW w:w="1165"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Crude Oil Processing Capacity(Tonnes/Year)</w:t>
            </w:r>
          </w:p>
        </w:tc>
        <w:tc>
          <w:tcPr>
            <w:tcW w:w="883" w:type="pct"/>
            <w:tcBorders>
              <w:top w:val="single" w:sz="8" w:space="0" w:color="D9D9D9"/>
              <w:left w:val="nil"/>
              <w:bottom w:val="single" w:sz="8" w:space="0" w:color="D9D9D9"/>
              <w:right w:val="single" w:sz="8" w:space="0" w:color="D9D9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Storage Capacity(tonnes)</w:t>
            </w:r>
          </w:p>
        </w:tc>
      </w:tr>
      <w:tr w:rsidR="00FE7FEB" w:rsidRPr="004E7F7B" w:rsidTr="008B64E8">
        <w:trPr>
          <w:trHeight w:val="31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val="it-IT" w:eastAsia="tr-TR"/>
              </w:rPr>
            </w:pPr>
            <w:r w:rsidRPr="004E7F7B">
              <w:rPr>
                <w:rFonts w:ascii="Times New Roman" w:eastAsia="Times New Roman" w:hAnsi="Times New Roman" w:cs="Times New Roman"/>
                <w:lang w:val="it-IT" w:eastAsia="tr-TR"/>
              </w:rPr>
              <w:t>ERSAN PETROL</w:t>
            </w:r>
            <w:r w:rsidR="009127AC" w:rsidRPr="004E7F7B">
              <w:rPr>
                <w:rFonts w:ascii="Times New Roman" w:eastAsia="Times New Roman" w:hAnsi="Times New Roman" w:cs="Times New Roman"/>
                <w:lang w:val="it-IT" w:eastAsia="tr-TR"/>
              </w:rPr>
              <w:t>EUM</w:t>
            </w:r>
            <w:r w:rsidRPr="004E7F7B">
              <w:rPr>
                <w:rFonts w:ascii="Times New Roman" w:eastAsia="Times New Roman" w:hAnsi="Times New Roman" w:cs="Times New Roman"/>
                <w:lang w:val="it-IT" w:eastAsia="tr-TR"/>
              </w:rPr>
              <w:t xml:space="preserve"> </w:t>
            </w:r>
            <w:r w:rsidR="009127AC" w:rsidRPr="004E7F7B">
              <w:rPr>
                <w:rFonts w:ascii="Times New Roman" w:eastAsia="Times New Roman" w:hAnsi="Times New Roman" w:cs="Times New Roman"/>
                <w:lang w:val="it-IT" w:eastAsia="tr-TR"/>
              </w:rPr>
              <w:t xml:space="preserve">INDUSTRIAL </w:t>
            </w:r>
            <w:r w:rsidR="00E1629A" w:rsidRPr="004E7F7B">
              <w:rPr>
                <w:rFonts w:ascii="Times New Roman" w:eastAsia="Times New Roman" w:hAnsi="Times New Roman" w:cs="Times New Roman"/>
                <w:lang w:val="it-IT" w:eastAsia="tr-TR"/>
              </w:rPr>
              <w:t>CO.INC.</w:t>
            </w:r>
            <w:r w:rsidRPr="004E7F7B">
              <w:rPr>
                <w:rFonts w:ascii="Times New Roman" w:eastAsia="Times New Roman" w:hAnsi="Times New Roman" w:cs="Times New Roman"/>
                <w:lang w:val="it-IT" w:eastAsia="tr-TR"/>
              </w:rPr>
              <w:t>*</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KAHRAMANMARAŞ</w:t>
            </w:r>
          </w:p>
        </w:tc>
        <w:tc>
          <w:tcPr>
            <w:tcW w:w="1165"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1.400.000*</w:t>
            </w:r>
          </w:p>
        </w:tc>
        <w:tc>
          <w:tcPr>
            <w:tcW w:w="883"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r>
      <w:tr w:rsidR="00FE7FEB" w:rsidRPr="004E7F7B" w:rsidTr="008B64E8">
        <w:trPr>
          <w:trHeight w:val="31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STAR </w:t>
            </w:r>
            <w:r w:rsidR="009127AC" w:rsidRPr="004E7F7B">
              <w:rPr>
                <w:rFonts w:ascii="Times New Roman" w:eastAsia="Times New Roman" w:hAnsi="Times New Roman" w:cs="Times New Roman"/>
                <w:lang w:eastAsia="tr-TR"/>
              </w:rPr>
              <w:t xml:space="preserve">RAFINERY </w:t>
            </w:r>
            <w:r w:rsidR="00E1629A" w:rsidRPr="004E7F7B">
              <w:rPr>
                <w:rFonts w:ascii="Times New Roman" w:eastAsia="Times New Roman" w:hAnsi="Times New Roman" w:cs="Times New Roman"/>
                <w:lang w:eastAsia="tr-TR"/>
              </w:rPr>
              <w:t>CO.INC.</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İZMİR</w:t>
            </w:r>
          </w:p>
        </w:tc>
        <w:tc>
          <w:tcPr>
            <w:tcW w:w="1165"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10.000.000</w:t>
            </w:r>
          </w:p>
        </w:tc>
        <w:tc>
          <w:tcPr>
            <w:tcW w:w="883" w:type="pct"/>
            <w:tcBorders>
              <w:top w:val="nil"/>
              <w:left w:val="nil"/>
              <w:bottom w:val="single" w:sz="8" w:space="0" w:color="D9D9D9"/>
              <w:right w:val="single" w:sz="8" w:space="0" w:color="D9D9D9"/>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036.051</w:t>
            </w:r>
          </w:p>
        </w:tc>
      </w:tr>
      <w:tr w:rsidR="00FE7FEB" w:rsidRPr="004E7F7B" w:rsidTr="008B64E8">
        <w:trPr>
          <w:trHeight w:val="52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TÜPRAŞ, </w:t>
            </w:r>
            <w:r w:rsidR="009127AC" w:rsidRPr="004E7F7B">
              <w:rPr>
                <w:rFonts w:ascii="Times New Roman" w:hAnsi="Times New Roman" w:cs="Times New Roman"/>
              </w:rPr>
              <w:t>TURKISH PETROLEUM REFINERIES CORPORATION</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İZMİR</w:t>
            </w:r>
          </w:p>
        </w:tc>
        <w:tc>
          <w:tcPr>
            <w:tcW w:w="1165" w:type="pct"/>
            <w:tcBorders>
              <w:top w:val="nil"/>
              <w:left w:val="nil"/>
              <w:bottom w:val="single" w:sz="8" w:space="0" w:color="D9D9D9"/>
              <w:right w:val="single" w:sz="8" w:space="0" w:color="D9D9D9"/>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1.190</w:t>
            </w:r>
            <w:r w:rsidR="00FE7FEB" w:rsidRPr="004E7F7B">
              <w:rPr>
                <w:rFonts w:ascii="Times New Roman" w:eastAsia="Times New Roman" w:hAnsi="Times New Roman" w:cs="Times New Roman"/>
                <w:lang w:eastAsia="tr-TR"/>
              </w:rPr>
              <w:t>.000</w:t>
            </w:r>
          </w:p>
        </w:tc>
        <w:tc>
          <w:tcPr>
            <w:tcW w:w="883"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2.508.219</w:t>
            </w:r>
          </w:p>
        </w:tc>
      </w:tr>
      <w:tr w:rsidR="00FE7FEB" w:rsidRPr="004E7F7B" w:rsidTr="008B64E8">
        <w:trPr>
          <w:trHeight w:val="52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TÜPRAŞ, </w:t>
            </w:r>
            <w:r w:rsidR="009127AC" w:rsidRPr="004E7F7B">
              <w:rPr>
                <w:rFonts w:ascii="Times New Roman" w:hAnsi="Times New Roman" w:cs="Times New Roman"/>
              </w:rPr>
              <w:t>TURKISH PETROLEUM REFINERIES CORPORATION</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KOCAELİ</w:t>
            </w:r>
          </w:p>
        </w:tc>
        <w:tc>
          <w:tcPr>
            <w:tcW w:w="1165"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r w:rsidR="008B64E8" w:rsidRPr="004E7F7B">
              <w:rPr>
                <w:rFonts w:ascii="Times New Roman" w:eastAsia="Times New Roman" w:hAnsi="Times New Roman" w:cs="Times New Roman"/>
                <w:lang w:eastAsia="tr-TR"/>
              </w:rPr>
              <w:t>3</w:t>
            </w:r>
            <w:r w:rsidRPr="004E7F7B">
              <w:rPr>
                <w:rFonts w:ascii="Times New Roman" w:eastAsia="Times New Roman" w:hAnsi="Times New Roman" w:cs="Times New Roman"/>
                <w:lang w:eastAsia="tr-TR"/>
              </w:rPr>
              <w:t>00.000</w:t>
            </w:r>
          </w:p>
        </w:tc>
        <w:tc>
          <w:tcPr>
            <w:tcW w:w="883"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2.99</w:t>
            </w:r>
            <w:r w:rsidR="008B64E8" w:rsidRPr="004E7F7B">
              <w:rPr>
                <w:rFonts w:ascii="Times New Roman" w:eastAsia="Times New Roman" w:hAnsi="Times New Roman" w:cs="Times New Roman"/>
                <w:lang w:eastAsia="tr-TR"/>
              </w:rPr>
              <w:t>5.441</w:t>
            </w:r>
          </w:p>
        </w:tc>
      </w:tr>
      <w:tr w:rsidR="00FE7FEB" w:rsidRPr="004E7F7B" w:rsidTr="008B64E8">
        <w:trPr>
          <w:trHeight w:val="52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TÜPRAŞ,</w:t>
            </w:r>
            <w:r w:rsidR="009127AC" w:rsidRPr="004E7F7B">
              <w:rPr>
                <w:rFonts w:ascii="Times New Roman" w:hAnsi="Times New Roman" w:cs="Times New Roman"/>
              </w:rPr>
              <w:t xml:space="preserve"> TURKISH PETROLEUM REFINERIES CORPORATION</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KIRIKKALE</w:t>
            </w:r>
          </w:p>
        </w:tc>
        <w:tc>
          <w:tcPr>
            <w:tcW w:w="1165"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w:t>
            </w:r>
            <w:r w:rsidR="008B64E8" w:rsidRPr="004E7F7B">
              <w:rPr>
                <w:rFonts w:ascii="Times New Roman" w:eastAsia="Times New Roman" w:hAnsi="Times New Roman" w:cs="Times New Roman"/>
                <w:lang w:eastAsia="tr-TR"/>
              </w:rPr>
              <w:t>4</w:t>
            </w:r>
            <w:r w:rsidRPr="004E7F7B">
              <w:rPr>
                <w:rFonts w:ascii="Times New Roman" w:eastAsia="Times New Roman" w:hAnsi="Times New Roman" w:cs="Times New Roman"/>
                <w:lang w:eastAsia="tr-TR"/>
              </w:rPr>
              <w:t>00.000</w:t>
            </w:r>
          </w:p>
        </w:tc>
        <w:tc>
          <w:tcPr>
            <w:tcW w:w="883" w:type="pct"/>
            <w:tcBorders>
              <w:top w:val="nil"/>
              <w:left w:val="nil"/>
              <w:bottom w:val="single" w:sz="8" w:space="0" w:color="D9D9D9"/>
              <w:right w:val="single" w:sz="8" w:space="0" w:color="D9D9D9"/>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1.265.609</w:t>
            </w:r>
          </w:p>
        </w:tc>
      </w:tr>
      <w:tr w:rsidR="00FE7FEB" w:rsidRPr="004E7F7B" w:rsidTr="008B64E8">
        <w:trPr>
          <w:trHeight w:val="525"/>
        </w:trPr>
        <w:tc>
          <w:tcPr>
            <w:tcW w:w="2013" w:type="pct"/>
            <w:tcBorders>
              <w:top w:val="nil"/>
              <w:left w:val="single" w:sz="8" w:space="0" w:color="D9D9D9"/>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TÜPRAŞ, </w:t>
            </w:r>
            <w:r w:rsidR="009127AC" w:rsidRPr="004E7F7B">
              <w:rPr>
                <w:rFonts w:ascii="Times New Roman" w:hAnsi="Times New Roman" w:cs="Times New Roman"/>
              </w:rPr>
              <w:t>TURKISH PETROLEUM REFINERIES CORPORATION</w:t>
            </w:r>
          </w:p>
        </w:tc>
        <w:tc>
          <w:tcPr>
            <w:tcW w:w="940"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BATMAN</w:t>
            </w:r>
          </w:p>
        </w:tc>
        <w:tc>
          <w:tcPr>
            <w:tcW w:w="1165" w:type="pct"/>
            <w:tcBorders>
              <w:top w:val="nil"/>
              <w:left w:val="nil"/>
              <w:bottom w:val="single" w:sz="8" w:space="0" w:color="D9D9D9"/>
              <w:right w:val="single" w:sz="8" w:space="0" w:color="D9D9D9"/>
            </w:tcBorders>
            <w:vAlign w:val="center"/>
            <w:hideMark/>
          </w:tcPr>
          <w:p w:rsidR="00FE7FEB" w:rsidRPr="004E7F7B" w:rsidRDefault="008B64E8"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1.400.000</w:t>
            </w:r>
          </w:p>
        </w:tc>
        <w:tc>
          <w:tcPr>
            <w:tcW w:w="883" w:type="pct"/>
            <w:tcBorders>
              <w:top w:val="nil"/>
              <w:left w:val="nil"/>
              <w:bottom w:val="single" w:sz="8" w:space="0" w:color="D9D9D9"/>
              <w:right w:val="single" w:sz="8" w:space="0" w:color="D9D9D9"/>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268.265</w:t>
            </w:r>
          </w:p>
        </w:tc>
      </w:tr>
    </w:tbl>
    <w:p w:rsidR="00FE7FEB" w:rsidRPr="004E7F7B" w:rsidRDefault="00FE7FE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*Facilities are not in operation yet</w:t>
      </w:r>
    </w:p>
    <w:p w:rsidR="00FE7FEB" w:rsidRPr="004E7F7B" w:rsidRDefault="00FE7FEB" w:rsidP="004E7F7B">
      <w:pPr>
        <w:pStyle w:val="Balk5"/>
        <w:jc w:val="both"/>
        <w:rPr>
          <w:rFonts w:ascii="Times New Roman" w:hAnsi="Times New Roman" w:cs="Times New Roman"/>
        </w:rPr>
      </w:pPr>
      <w:bookmarkStart w:id="95" w:name="_Toc48818022"/>
      <w:bookmarkStart w:id="96" w:name="_Toc505346070"/>
      <w:bookmarkStart w:id="97" w:name="_Toc514251651"/>
      <w:r w:rsidRPr="004E7F7B">
        <w:rPr>
          <w:rStyle w:val="Gl"/>
          <w:rFonts w:ascii="Times New Roman" w:hAnsi="Times New Roman" w:cs="Times New Roman"/>
          <w:b/>
          <w:bCs w:val="0"/>
        </w:rPr>
        <w:lastRenderedPageBreak/>
        <w:t>Table 3.8: Information on Petroleum Mar</w:t>
      </w:r>
      <w:r w:rsidR="003B585D" w:rsidRPr="004E7F7B">
        <w:rPr>
          <w:rStyle w:val="Gl"/>
          <w:rFonts w:ascii="Times New Roman" w:hAnsi="Times New Roman" w:cs="Times New Roman"/>
          <w:b/>
          <w:bCs w:val="0"/>
        </w:rPr>
        <w:t>ket Storage Licenses as of the e</w:t>
      </w:r>
      <w:r w:rsidRPr="004E7F7B">
        <w:rPr>
          <w:rStyle w:val="Gl"/>
          <w:rFonts w:ascii="Times New Roman" w:hAnsi="Times New Roman" w:cs="Times New Roman"/>
          <w:b/>
          <w:bCs w:val="0"/>
        </w:rPr>
        <w:t>nd of 201</w:t>
      </w:r>
      <w:r w:rsidR="007F0A1D" w:rsidRPr="004E7F7B">
        <w:rPr>
          <w:rStyle w:val="Gl"/>
          <w:rFonts w:ascii="Times New Roman" w:hAnsi="Times New Roman" w:cs="Times New Roman"/>
          <w:b/>
          <w:bCs w:val="0"/>
        </w:rPr>
        <w:t>9</w:t>
      </w:r>
      <w:bookmarkEnd w:id="95"/>
    </w:p>
    <w:tbl>
      <w:tblPr>
        <w:tblW w:w="3452" w:type="pct"/>
        <w:tblInd w:w="1488" w:type="dxa"/>
        <w:tblCellMar>
          <w:left w:w="70" w:type="dxa"/>
          <w:right w:w="70" w:type="dxa"/>
        </w:tblCellMar>
        <w:tblLook w:val="04A0" w:firstRow="1" w:lastRow="0" w:firstColumn="1" w:lastColumn="0" w:noHBand="0" w:noVBand="1"/>
      </w:tblPr>
      <w:tblGrid>
        <w:gridCol w:w="1479"/>
        <w:gridCol w:w="2287"/>
        <w:gridCol w:w="2825"/>
      </w:tblGrid>
      <w:tr w:rsidR="00FE7FEB" w:rsidRPr="00B2297C" w:rsidTr="00B2297C">
        <w:trPr>
          <w:trHeight w:val="20"/>
          <w:tblHeader/>
        </w:trPr>
        <w:tc>
          <w:tcPr>
            <w:tcW w:w="112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B2297C" w:rsidRDefault="00FE7FEB" w:rsidP="004E7F7B">
            <w:pPr>
              <w:spacing w:after="0" w:line="240" w:lineRule="auto"/>
              <w:rPr>
                <w:rFonts w:ascii="Times New Roman" w:eastAsia="Times New Roman" w:hAnsi="Times New Roman" w:cs="Times New Roman"/>
                <w:b/>
                <w:bCs/>
                <w:color w:val="FFFFFF"/>
                <w:sz w:val="20"/>
                <w:szCs w:val="20"/>
                <w:lang w:val="tr-TR" w:eastAsia="tr-TR"/>
              </w:rPr>
            </w:pPr>
            <w:r w:rsidRPr="00B2297C">
              <w:rPr>
                <w:rFonts w:ascii="Times New Roman" w:eastAsia="Times New Roman" w:hAnsi="Times New Roman" w:cs="Times New Roman"/>
                <w:b/>
                <w:bCs/>
                <w:color w:val="FFFFFF"/>
                <w:sz w:val="20"/>
                <w:szCs w:val="20"/>
                <w:lang w:eastAsia="tr-TR"/>
              </w:rPr>
              <w:t>Province of the facility</w:t>
            </w:r>
          </w:p>
        </w:tc>
        <w:tc>
          <w:tcPr>
            <w:tcW w:w="1735" w:type="pct"/>
            <w:tcBorders>
              <w:top w:val="single" w:sz="8" w:space="0" w:color="BFBFBF"/>
              <w:left w:val="nil"/>
              <w:bottom w:val="single" w:sz="8" w:space="0" w:color="BFBFBF"/>
              <w:right w:val="single" w:sz="8" w:space="0" w:color="BFBFBF"/>
            </w:tcBorders>
            <w:shd w:val="clear" w:color="auto" w:fill="6E9ECA"/>
            <w:vAlign w:val="center"/>
            <w:hideMark/>
          </w:tcPr>
          <w:p w:rsidR="00FE7FEB" w:rsidRPr="00B2297C" w:rsidRDefault="00FE7FEB" w:rsidP="004E7F7B">
            <w:pPr>
              <w:spacing w:after="0" w:line="240" w:lineRule="auto"/>
              <w:rPr>
                <w:rFonts w:ascii="Times New Roman" w:eastAsia="Times New Roman" w:hAnsi="Times New Roman" w:cs="Times New Roman"/>
                <w:b/>
                <w:bCs/>
                <w:color w:val="FFFFFF"/>
                <w:sz w:val="20"/>
                <w:szCs w:val="20"/>
                <w:lang w:eastAsia="tr-TR"/>
              </w:rPr>
            </w:pPr>
            <w:r w:rsidRPr="00B2297C">
              <w:rPr>
                <w:rFonts w:ascii="Times New Roman" w:eastAsia="Times New Roman" w:hAnsi="Times New Roman" w:cs="Times New Roman"/>
                <w:b/>
                <w:bCs/>
                <w:color w:val="FFFFFF"/>
                <w:sz w:val="20"/>
                <w:szCs w:val="20"/>
                <w:lang w:eastAsia="tr-TR"/>
              </w:rPr>
              <w:t>Total capacity (m3)</w:t>
            </w:r>
          </w:p>
        </w:tc>
        <w:tc>
          <w:tcPr>
            <w:tcW w:w="2143" w:type="pct"/>
            <w:tcBorders>
              <w:top w:val="single" w:sz="8" w:space="0" w:color="BFBFBF"/>
              <w:left w:val="nil"/>
              <w:bottom w:val="single" w:sz="8" w:space="0" w:color="BFBFBF"/>
              <w:right w:val="single" w:sz="8" w:space="0" w:color="BFBFBF"/>
            </w:tcBorders>
            <w:shd w:val="clear" w:color="auto" w:fill="6E9ECA"/>
            <w:vAlign w:val="center"/>
            <w:hideMark/>
          </w:tcPr>
          <w:p w:rsidR="00FE7FEB" w:rsidRPr="00B2297C" w:rsidRDefault="00FE7FEB" w:rsidP="004E7F7B">
            <w:pPr>
              <w:spacing w:after="0" w:line="240" w:lineRule="auto"/>
              <w:rPr>
                <w:rFonts w:ascii="Times New Roman" w:eastAsia="Times New Roman" w:hAnsi="Times New Roman" w:cs="Times New Roman"/>
                <w:b/>
                <w:bCs/>
                <w:color w:val="FFFFFF"/>
                <w:sz w:val="20"/>
                <w:szCs w:val="20"/>
                <w:lang w:eastAsia="tr-TR"/>
              </w:rPr>
            </w:pPr>
            <w:r w:rsidRPr="00B2297C">
              <w:rPr>
                <w:rFonts w:ascii="Times New Roman" w:eastAsia="Times New Roman" w:hAnsi="Times New Roman" w:cs="Times New Roman"/>
                <w:b/>
                <w:bCs/>
                <w:color w:val="FFFFFF"/>
                <w:sz w:val="20"/>
                <w:szCs w:val="20"/>
                <w:lang w:eastAsia="tr-TR"/>
              </w:rPr>
              <w:t>Share in Total Storage Capacity(%)</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ADANA</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2.568</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0,04</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ANKARA</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73.924</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1,14</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ANTALYA</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440.380</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6,80</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ARTVİN</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24.500</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0,38</w:t>
            </w:r>
          </w:p>
        </w:tc>
      </w:tr>
      <w:tr w:rsidR="007F0A1D"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BALIKESİR</w:t>
            </w:r>
          </w:p>
        </w:tc>
        <w:tc>
          <w:tcPr>
            <w:tcW w:w="1735"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13.000</w:t>
            </w:r>
          </w:p>
        </w:tc>
        <w:tc>
          <w:tcPr>
            <w:tcW w:w="2143"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0,20</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BURSA</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2.000</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0,03</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ÇANAKKALE</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8.581</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0,13</w:t>
            </w:r>
          </w:p>
        </w:tc>
      </w:tr>
      <w:tr w:rsidR="007F0A1D"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DENİZLİ</w:t>
            </w:r>
          </w:p>
        </w:tc>
        <w:tc>
          <w:tcPr>
            <w:tcW w:w="1735"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122</w:t>
            </w:r>
          </w:p>
        </w:tc>
        <w:tc>
          <w:tcPr>
            <w:tcW w:w="2143"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0,00</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DİYARBAKIR</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9.744</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0,15</w:t>
            </w:r>
          </w:p>
        </w:tc>
      </w:tr>
      <w:tr w:rsidR="007F0A1D"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ELAZIĞ</w:t>
            </w:r>
          </w:p>
        </w:tc>
        <w:tc>
          <w:tcPr>
            <w:tcW w:w="1735"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1.972</w:t>
            </w:r>
          </w:p>
        </w:tc>
        <w:tc>
          <w:tcPr>
            <w:tcW w:w="2143"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0,03</w:t>
            </w:r>
          </w:p>
        </w:tc>
      </w:tr>
      <w:tr w:rsidR="007F0A1D"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ERZURUM</w:t>
            </w:r>
          </w:p>
        </w:tc>
        <w:tc>
          <w:tcPr>
            <w:tcW w:w="1735"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781</w:t>
            </w:r>
          </w:p>
        </w:tc>
        <w:tc>
          <w:tcPr>
            <w:tcW w:w="2143" w:type="pct"/>
            <w:tcBorders>
              <w:top w:val="nil"/>
              <w:left w:val="nil"/>
              <w:bottom w:val="single" w:sz="8" w:space="0" w:color="BFBFBF"/>
              <w:right w:val="single" w:sz="8" w:space="0" w:color="BFBFBF"/>
            </w:tcBorders>
            <w:noWrap/>
            <w:vAlign w:val="center"/>
          </w:tcPr>
          <w:p w:rsidR="007F0A1D"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0,01</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GAZİANTEP</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9.339</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0,14</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GİRESUN</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43.130</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0,67</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HATAY</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354.147</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5,47</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ISPARTA</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728</w:t>
            </w:r>
          </w:p>
        </w:tc>
        <w:tc>
          <w:tcPr>
            <w:tcW w:w="2143"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0,01</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MERSİN</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1.904.828</w:t>
            </w:r>
          </w:p>
        </w:tc>
        <w:tc>
          <w:tcPr>
            <w:tcW w:w="2143"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29,40</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İSTANBUL</w:t>
            </w:r>
          </w:p>
        </w:tc>
        <w:tc>
          <w:tcPr>
            <w:tcW w:w="1735" w:type="pct"/>
            <w:tcBorders>
              <w:top w:val="nil"/>
              <w:left w:val="nil"/>
              <w:bottom w:val="single" w:sz="8" w:space="0" w:color="BFBFBF"/>
              <w:right w:val="single" w:sz="8" w:space="0" w:color="BFBFBF"/>
            </w:tcBorders>
            <w:noWrap/>
            <w:vAlign w:val="center"/>
            <w:hideMark/>
          </w:tcPr>
          <w:p w:rsidR="00FE7FEB" w:rsidRPr="00B2297C" w:rsidRDefault="007F0A1D"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480.886</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7,42</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İZMİR</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806.718</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12,45</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KAYSERİ</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789</w:t>
            </w:r>
          </w:p>
        </w:tc>
        <w:tc>
          <w:tcPr>
            <w:tcW w:w="2143"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0,01</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KOCAELİ</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861.568</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13,30</w:t>
            </w:r>
          </w:p>
        </w:tc>
      </w:tr>
      <w:tr w:rsidR="003A09C8"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KONYA</w:t>
            </w:r>
          </w:p>
        </w:tc>
        <w:tc>
          <w:tcPr>
            <w:tcW w:w="1735"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121</w:t>
            </w:r>
          </w:p>
        </w:tc>
        <w:tc>
          <w:tcPr>
            <w:tcW w:w="2143"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0,00</w:t>
            </w:r>
          </w:p>
        </w:tc>
      </w:tr>
      <w:tr w:rsidR="003A09C8"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MARDİN</w:t>
            </w:r>
          </w:p>
        </w:tc>
        <w:tc>
          <w:tcPr>
            <w:tcW w:w="1735"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3.931</w:t>
            </w:r>
          </w:p>
        </w:tc>
        <w:tc>
          <w:tcPr>
            <w:tcW w:w="2143"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0,06</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MUĞLA</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17.31</w:t>
            </w:r>
            <w:r w:rsidR="00FE7FEB" w:rsidRPr="00B2297C">
              <w:rPr>
                <w:rFonts w:ascii="Times New Roman" w:eastAsia="Times New Roman" w:hAnsi="Times New Roman" w:cs="Times New Roman"/>
                <w:sz w:val="20"/>
                <w:szCs w:val="20"/>
                <w:lang w:eastAsia="tr-TR"/>
              </w:rPr>
              <w:t>5</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0,27</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NEVŞEHİR</w:t>
            </w:r>
          </w:p>
        </w:tc>
        <w:tc>
          <w:tcPr>
            <w:tcW w:w="1735"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1.091</w:t>
            </w:r>
          </w:p>
        </w:tc>
        <w:tc>
          <w:tcPr>
            <w:tcW w:w="2143" w:type="pct"/>
            <w:tcBorders>
              <w:top w:val="nil"/>
              <w:left w:val="nil"/>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0,02</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SAMSUN</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195</w:t>
            </w:r>
            <w:r w:rsidR="00FE7FEB" w:rsidRPr="00B2297C">
              <w:rPr>
                <w:rFonts w:ascii="Times New Roman" w:eastAsia="Times New Roman" w:hAnsi="Times New Roman" w:cs="Times New Roman"/>
                <w:sz w:val="20"/>
                <w:szCs w:val="20"/>
                <w:lang w:eastAsia="tr-TR"/>
              </w:rPr>
              <w:t>.890</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3,02</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TEKİRDAĞ</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849.969</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13,12</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TRABZON</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143.915</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2,22</w:t>
            </w:r>
          </w:p>
        </w:tc>
      </w:tr>
      <w:tr w:rsidR="003A09C8"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ŞANLIURFA</w:t>
            </w:r>
          </w:p>
        </w:tc>
        <w:tc>
          <w:tcPr>
            <w:tcW w:w="1735"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60</w:t>
            </w:r>
          </w:p>
        </w:tc>
        <w:tc>
          <w:tcPr>
            <w:tcW w:w="2143"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0,00</w:t>
            </w:r>
          </w:p>
        </w:tc>
      </w:tr>
      <w:tr w:rsidR="003A09C8"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VAN</w:t>
            </w:r>
          </w:p>
        </w:tc>
        <w:tc>
          <w:tcPr>
            <w:tcW w:w="1735"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1.304</w:t>
            </w:r>
          </w:p>
        </w:tc>
        <w:tc>
          <w:tcPr>
            <w:tcW w:w="2143"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0,02</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KIRIKKALE</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200.669</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3,10</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hideMark/>
          </w:tcPr>
          <w:p w:rsidR="00FE7FEB" w:rsidRPr="00B2297C" w:rsidRDefault="00FE7FEB"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BATMAN</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16.763</w:t>
            </w:r>
          </w:p>
        </w:tc>
        <w:tc>
          <w:tcPr>
            <w:tcW w:w="2143"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0,26</w:t>
            </w:r>
          </w:p>
        </w:tc>
      </w:tr>
      <w:tr w:rsidR="003A09C8" w:rsidRPr="00B2297C" w:rsidTr="00B2297C">
        <w:trPr>
          <w:trHeight w:val="20"/>
        </w:trPr>
        <w:tc>
          <w:tcPr>
            <w:tcW w:w="1122" w:type="pct"/>
            <w:tcBorders>
              <w:top w:val="nil"/>
              <w:left w:val="single" w:sz="8" w:space="0" w:color="BFBFBF"/>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BARTIN</w:t>
            </w:r>
          </w:p>
        </w:tc>
        <w:tc>
          <w:tcPr>
            <w:tcW w:w="1735"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9.326</w:t>
            </w:r>
          </w:p>
        </w:tc>
        <w:tc>
          <w:tcPr>
            <w:tcW w:w="2143" w:type="pct"/>
            <w:tcBorders>
              <w:top w:val="nil"/>
              <w:left w:val="nil"/>
              <w:bottom w:val="single" w:sz="8" w:space="0" w:color="BFBFBF"/>
              <w:right w:val="single" w:sz="8" w:space="0" w:color="BFBFBF"/>
            </w:tcBorders>
            <w:noWrap/>
            <w:vAlign w:val="center"/>
          </w:tcPr>
          <w:p w:rsidR="003A09C8" w:rsidRPr="00B2297C" w:rsidRDefault="003A09C8" w:rsidP="004E7F7B">
            <w:pPr>
              <w:spacing w:after="0" w:line="240" w:lineRule="auto"/>
              <w:rPr>
                <w:rFonts w:ascii="Times New Roman" w:eastAsia="Times New Roman" w:hAnsi="Times New Roman" w:cs="Times New Roman"/>
                <w:sz w:val="20"/>
                <w:szCs w:val="20"/>
                <w:lang w:eastAsia="tr-TR"/>
              </w:rPr>
            </w:pPr>
            <w:r w:rsidRPr="00B2297C">
              <w:rPr>
                <w:rFonts w:ascii="Times New Roman" w:eastAsia="Times New Roman" w:hAnsi="Times New Roman" w:cs="Times New Roman"/>
                <w:sz w:val="20"/>
                <w:szCs w:val="20"/>
                <w:lang w:eastAsia="tr-TR"/>
              </w:rPr>
              <w:t>0,14</w:t>
            </w:r>
          </w:p>
        </w:tc>
      </w:tr>
      <w:tr w:rsidR="00FE7FEB" w:rsidRPr="00B2297C" w:rsidTr="00B2297C">
        <w:trPr>
          <w:trHeight w:val="20"/>
        </w:trPr>
        <w:tc>
          <w:tcPr>
            <w:tcW w:w="1122" w:type="pct"/>
            <w:tcBorders>
              <w:top w:val="nil"/>
              <w:left w:val="single" w:sz="8" w:space="0" w:color="BFBFBF"/>
              <w:bottom w:val="single" w:sz="8" w:space="0" w:color="BFBFBF"/>
              <w:right w:val="single" w:sz="8" w:space="0" w:color="BFBFBF"/>
            </w:tcBorders>
            <w:vAlign w:val="center"/>
            <w:hideMark/>
          </w:tcPr>
          <w:p w:rsidR="00FE7FEB" w:rsidRPr="00B2297C" w:rsidRDefault="00FE7FEB" w:rsidP="004E7F7B">
            <w:pPr>
              <w:spacing w:after="0" w:line="240" w:lineRule="auto"/>
              <w:rPr>
                <w:rFonts w:ascii="Times New Roman" w:eastAsia="Times New Roman" w:hAnsi="Times New Roman" w:cs="Times New Roman"/>
                <w:b/>
                <w:bCs/>
                <w:sz w:val="20"/>
                <w:szCs w:val="20"/>
                <w:lang w:eastAsia="tr-TR"/>
              </w:rPr>
            </w:pPr>
            <w:r w:rsidRPr="00B2297C">
              <w:rPr>
                <w:rFonts w:ascii="Times New Roman" w:eastAsia="Times New Roman" w:hAnsi="Times New Roman" w:cs="Times New Roman"/>
                <w:b/>
                <w:bCs/>
                <w:sz w:val="20"/>
                <w:szCs w:val="20"/>
                <w:lang w:eastAsia="tr-TR"/>
              </w:rPr>
              <w:t>Total</w:t>
            </w:r>
          </w:p>
        </w:tc>
        <w:tc>
          <w:tcPr>
            <w:tcW w:w="1735" w:type="pct"/>
            <w:tcBorders>
              <w:top w:val="nil"/>
              <w:left w:val="nil"/>
              <w:bottom w:val="single" w:sz="8" w:space="0" w:color="BFBFBF"/>
              <w:right w:val="single" w:sz="8" w:space="0" w:color="BFBFBF"/>
            </w:tcBorders>
            <w:noWrap/>
            <w:vAlign w:val="center"/>
            <w:hideMark/>
          </w:tcPr>
          <w:p w:rsidR="00FE7FEB" w:rsidRPr="00B2297C" w:rsidRDefault="003A09C8" w:rsidP="004E7F7B">
            <w:pPr>
              <w:spacing w:after="0" w:line="240" w:lineRule="auto"/>
              <w:rPr>
                <w:rFonts w:ascii="Times New Roman" w:eastAsia="Times New Roman" w:hAnsi="Times New Roman" w:cs="Times New Roman"/>
                <w:b/>
                <w:bCs/>
                <w:sz w:val="20"/>
                <w:szCs w:val="20"/>
                <w:lang w:eastAsia="tr-TR"/>
              </w:rPr>
            </w:pPr>
            <w:r w:rsidRPr="00B2297C">
              <w:rPr>
                <w:rFonts w:ascii="Times New Roman" w:eastAsia="Times New Roman" w:hAnsi="Times New Roman" w:cs="Times New Roman"/>
                <w:b/>
                <w:bCs/>
                <w:sz w:val="20"/>
                <w:szCs w:val="20"/>
                <w:lang w:eastAsia="tr-TR"/>
              </w:rPr>
              <w:t>6.480.059</w:t>
            </w:r>
          </w:p>
        </w:tc>
        <w:tc>
          <w:tcPr>
            <w:tcW w:w="2143" w:type="pct"/>
            <w:tcBorders>
              <w:top w:val="nil"/>
              <w:left w:val="nil"/>
              <w:bottom w:val="single" w:sz="8" w:space="0" w:color="BFBFBF"/>
              <w:right w:val="single" w:sz="8" w:space="0" w:color="BFBFBF"/>
            </w:tcBorders>
            <w:vAlign w:val="center"/>
            <w:hideMark/>
          </w:tcPr>
          <w:p w:rsidR="00FE7FEB" w:rsidRPr="00B2297C" w:rsidRDefault="00FE7FEB" w:rsidP="004E7F7B">
            <w:pPr>
              <w:spacing w:after="0" w:line="240" w:lineRule="auto"/>
              <w:rPr>
                <w:rFonts w:ascii="Times New Roman" w:eastAsia="Times New Roman" w:hAnsi="Times New Roman" w:cs="Times New Roman"/>
                <w:b/>
                <w:bCs/>
                <w:sz w:val="20"/>
                <w:szCs w:val="20"/>
                <w:lang w:eastAsia="tr-TR"/>
              </w:rPr>
            </w:pPr>
            <w:r w:rsidRPr="00B2297C">
              <w:rPr>
                <w:rFonts w:ascii="Times New Roman" w:eastAsia="Times New Roman" w:hAnsi="Times New Roman" w:cs="Times New Roman"/>
                <w:b/>
                <w:bCs/>
                <w:sz w:val="20"/>
                <w:szCs w:val="20"/>
                <w:lang w:eastAsia="tr-TR"/>
              </w:rPr>
              <w:t>100</w:t>
            </w:r>
          </w:p>
        </w:tc>
      </w:tr>
    </w:tbl>
    <w:p w:rsidR="00FE7FEB" w:rsidRPr="004E7F7B" w:rsidRDefault="00FE7FEB" w:rsidP="004E7F7B">
      <w:pPr>
        <w:spacing w:after="0"/>
        <w:ind w:left="708" w:firstLine="708"/>
        <w:rPr>
          <w:rFonts w:ascii="Times New Roman" w:hAnsi="Times New Roman" w:cs="Times New Roman"/>
        </w:rPr>
      </w:pPr>
      <w:r w:rsidRPr="004E7F7B">
        <w:rPr>
          <w:rFonts w:ascii="Times New Roman" w:hAnsi="Times New Roman" w:cs="Times New Roman"/>
        </w:rPr>
        <w:t>*Storage capacities under the title of distributor and bunker delivery licenses are included.</w:t>
      </w:r>
    </w:p>
    <w:p w:rsidR="00FE7FEB" w:rsidRPr="004E7F7B" w:rsidRDefault="003B585D" w:rsidP="004E7F7B">
      <w:pPr>
        <w:pStyle w:val="Balk3"/>
        <w:rPr>
          <w:rFonts w:ascii="Times New Roman" w:hAnsi="Times New Roman" w:cs="Times New Roman"/>
          <w:sz w:val="22"/>
          <w:szCs w:val="22"/>
        </w:rPr>
      </w:pPr>
      <w:bookmarkStart w:id="98" w:name="_Toc48817848"/>
      <w:bookmarkStart w:id="99" w:name="_Toc442431262"/>
      <w:bookmarkStart w:id="100" w:name="_Toc514251640"/>
      <w:r w:rsidRPr="004E7F7B">
        <w:rPr>
          <w:rFonts w:ascii="Times New Roman" w:hAnsi="Times New Roman" w:cs="Times New Roman"/>
          <w:sz w:val="22"/>
          <w:szCs w:val="22"/>
        </w:rPr>
        <w:t>3.3.1.Procedures Regarding the Non- Petroleum Products A</w:t>
      </w:r>
      <w:r w:rsidR="00FE7FEB" w:rsidRPr="004E7F7B">
        <w:rPr>
          <w:rFonts w:ascii="Times New Roman" w:hAnsi="Times New Roman" w:cs="Times New Roman"/>
          <w:sz w:val="22"/>
          <w:szCs w:val="22"/>
        </w:rPr>
        <w:t>uthorizations</w:t>
      </w:r>
      <w:bookmarkEnd w:id="98"/>
      <w:r w:rsidR="00FE7FEB" w:rsidRPr="004E7F7B">
        <w:rPr>
          <w:rFonts w:ascii="Times New Roman" w:hAnsi="Times New Roman" w:cs="Times New Roman"/>
          <w:sz w:val="22"/>
          <w:szCs w:val="22"/>
        </w:rPr>
        <w:t xml:space="preserve"> </w:t>
      </w:r>
      <w:bookmarkEnd w:id="99"/>
      <w:bookmarkEnd w:id="100"/>
    </w:p>
    <w:p w:rsidR="00FE7FEB" w:rsidRPr="004E7F7B" w:rsidRDefault="00FE7FEB" w:rsidP="00C51FE5">
      <w:r w:rsidRPr="004E7F7B">
        <w:t>“Communiqué on the Principles and Procedures for Supply of non-petroleum poducts from domestic and foreign sourecs” was published in the Offcial Gazette dated 24/04/2013 and numbered 28627. Accordingly, with the condition of getting a letter of conformity from EMRA, the domestic supply of non-petroleum products can be done by industrialists and the import shall be made directly by industrialists or by exporters on behalf of industralists. Withi</w:t>
      </w:r>
      <w:r w:rsidR="003A09C8" w:rsidRPr="004E7F7B">
        <w:t>n the scope of the Communiqué, 999</w:t>
      </w:r>
      <w:r w:rsidRPr="004E7F7B">
        <w:t xml:space="preserve"> Certificates o</w:t>
      </w:r>
      <w:r w:rsidR="003A09C8" w:rsidRPr="004E7F7B">
        <w:t>f Conformity were issued in 2019</w:t>
      </w:r>
      <w:r w:rsidRPr="004E7F7B">
        <w:t>.</w:t>
      </w:r>
    </w:p>
    <w:p w:rsidR="00FE7FEB" w:rsidRPr="004E7F7B" w:rsidRDefault="00FE7FEB" w:rsidP="004E7F7B">
      <w:pPr>
        <w:pStyle w:val="Balk3"/>
        <w:rPr>
          <w:rFonts w:ascii="Times New Roman" w:hAnsi="Times New Roman" w:cs="Times New Roman"/>
          <w:sz w:val="22"/>
          <w:szCs w:val="22"/>
        </w:rPr>
      </w:pPr>
      <w:bookmarkStart w:id="101" w:name="_Toc48817849"/>
      <w:r w:rsidRPr="004E7F7B">
        <w:rPr>
          <w:rFonts w:ascii="Times New Roman" w:hAnsi="Times New Roman" w:cs="Times New Roman"/>
          <w:sz w:val="22"/>
          <w:szCs w:val="22"/>
        </w:rPr>
        <w:t>3.3.2.Automation Works for License Holders</w:t>
      </w:r>
      <w:bookmarkEnd w:id="101"/>
    </w:p>
    <w:p w:rsidR="00FE7FEB" w:rsidRPr="004E7F7B" w:rsidRDefault="00FE7FEB" w:rsidP="004E7F7B">
      <w:pPr>
        <w:pStyle w:val="Balk4"/>
        <w:rPr>
          <w:rFonts w:ascii="Times New Roman" w:hAnsi="Times New Roman" w:cs="Times New Roman"/>
          <w:sz w:val="22"/>
        </w:rPr>
      </w:pPr>
      <w:r w:rsidRPr="004E7F7B">
        <w:rPr>
          <w:rFonts w:ascii="Times New Roman" w:hAnsi="Times New Roman" w:cs="Times New Roman"/>
          <w:sz w:val="22"/>
        </w:rPr>
        <w:t xml:space="preserve">3.3.2.1.National Marker </w:t>
      </w:r>
    </w:p>
    <w:p w:rsidR="00FE7FEB" w:rsidRPr="004E7F7B" w:rsidRDefault="00FE7FEB" w:rsidP="00C51FE5">
      <w:r w:rsidRPr="004E7F7B">
        <w:t xml:space="preserve">In accordance with Article 18 of the Petroleum Market Law No. 5015 and Regulation on the Application of the National Marker on the Petroleum Market in order to prevent the illegal and non-standard </w:t>
      </w:r>
      <w:r w:rsidRPr="004E7F7B">
        <w:lastRenderedPageBreak/>
        <w:t>product sales by determining whether the petroleum circulating in our country is entering the market through legitimate means, the National Marker application started on 01/01/2007.</w:t>
      </w:r>
    </w:p>
    <w:p w:rsidR="00FE7FEB" w:rsidRPr="004E7F7B" w:rsidRDefault="00FE7FEB" w:rsidP="00C51FE5">
      <w:r w:rsidRPr="004E7F7B">
        <w:t>Within the scope of the implementation, the amount of fuel delivered to the</w:t>
      </w:r>
      <w:r w:rsidR="003A09C8" w:rsidRPr="004E7F7B">
        <w:t xml:space="preserve"> related license holders in 2019</w:t>
      </w:r>
      <w:r w:rsidRPr="004E7F7B">
        <w:t xml:space="preserve"> and marked with UM is given in the table below.</w:t>
      </w:r>
    </w:p>
    <w:p w:rsidR="00FE7FEB" w:rsidRPr="004E7F7B" w:rsidRDefault="00FE7FEB" w:rsidP="004E7F7B">
      <w:pPr>
        <w:pStyle w:val="Balk5"/>
        <w:jc w:val="both"/>
        <w:rPr>
          <w:rFonts w:ascii="Times New Roman" w:hAnsi="Times New Roman" w:cs="Times New Roman"/>
        </w:rPr>
      </w:pPr>
      <w:bookmarkStart w:id="102" w:name="_Toc48818023"/>
      <w:r w:rsidRPr="004E7F7B">
        <w:rPr>
          <w:rStyle w:val="Gl"/>
          <w:rFonts w:ascii="Times New Roman" w:hAnsi="Times New Roman" w:cs="Times New Roman"/>
          <w:b/>
          <w:bCs w:val="0"/>
        </w:rPr>
        <w:t>Table 3.9: Used National Marker and</w:t>
      </w:r>
      <w:r w:rsidR="003B585D" w:rsidRPr="004E7F7B">
        <w:rPr>
          <w:rStyle w:val="Gl"/>
          <w:rFonts w:ascii="Times New Roman" w:hAnsi="Times New Roman" w:cs="Times New Roman"/>
          <w:b/>
          <w:bCs w:val="0"/>
        </w:rPr>
        <w:t xml:space="preserve"> Marked Liquid Fuel Amounts by Y</w:t>
      </w:r>
      <w:r w:rsidRPr="004E7F7B">
        <w:rPr>
          <w:rStyle w:val="Gl"/>
          <w:rFonts w:ascii="Times New Roman" w:hAnsi="Times New Roman" w:cs="Times New Roman"/>
          <w:b/>
          <w:bCs w:val="0"/>
        </w:rPr>
        <w:t>ears</w:t>
      </w:r>
      <w:bookmarkEnd w:id="102"/>
    </w:p>
    <w:tbl>
      <w:tblPr>
        <w:tblW w:w="5052"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96"/>
        <w:gridCol w:w="1053"/>
        <w:gridCol w:w="1100"/>
        <w:gridCol w:w="1100"/>
        <w:gridCol w:w="1190"/>
        <w:gridCol w:w="1281"/>
        <w:gridCol w:w="1946"/>
        <w:gridCol w:w="1379"/>
      </w:tblGrid>
      <w:tr w:rsidR="00C046B4" w:rsidRPr="00B2297C" w:rsidTr="00B2297C">
        <w:trPr>
          <w:cantSplit/>
          <w:trHeight w:val="20"/>
          <w:tblHeader/>
        </w:trPr>
        <w:tc>
          <w:tcPr>
            <w:tcW w:w="309"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Years</w:t>
            </w:r>
          </w:p>
        </w:tc>
        <w:tc>
          <w:tcPr>
            <w:tcW w:w="546"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License Type</w:t>
            </w:r>
          </w:p>
        </w:tc>
        <w:tc>
          <w:tcPr>
            <w:tcW w:w="570"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Amount of NM delivered(lt)</w:t>
            </w:r>
          </w:p>
        </w:tc>
        <w:tc>
          <w:tcPr>
            <w:tcW w:w="570"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Used NM Amount(lt)</w:t>
            </w:r>
          </w:p>
        </w:tc>
        <w:tc>
          <w:tcPr>
            <w:tcW w:w="617"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Marked benzene amount(m³)</w:t>
            </w:r>
          </w:p>
        </w:tc>
        <w:tc>
          <w:tcPr>
            <w:tcW w:w="664"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Marked diesel amount(m³)</w:t>
            </w:r>
          </w:p>
        </w:tc>
        <w:tc>
          <w:tcPr>
            <w:tcW w:w="1009"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Marked biodiesel/ethanol/gasoil amount(m³)</w:t>
            </w:r>
          </w:p>
        </w:tc>
        <w:tc>
          <w:tcPr>
            <w:tcW w:w="715" w:type="pct"/>
            <w:shd w:val="clear" w:color="000000" w:fill="6E9ECA"/>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FFFFFF"/>
                <w:sz w:val="18"/>
                <w:szCs w:val="18"/>
                <w:lang w:val="tr-TR" w:eastAsia="tr-TR"/>
              </w:rPr>
            </w:pPr>
            <w:r w:rsidRPr="00B2297C">
              <w:rPr>
                <w:rFonts w:ascii="Times New Roman" w:eastAsia="Times New Roman" w:hAnsi="Times New Roman" w:cs="Times New Roman"/>
                <w:b/>
                <w:bCs/>
                <w:noProof w:val="0"/>
                <w:color w:val="FFFFFF"/>
                <w:sz w:val="18"/>
                <w:szCs w:val="18"/>
                <w:lang w:eastAsia="tr-TR"/>
              </w:rPr>
              <w:t>Total Marked Liquid Fuel Amount(m³)</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2007</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105.502,64</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100.936,65</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2.550.960,00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9.813.110,00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12.364.070,00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63.270,89</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56.522,89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751.636,00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6.247.129,00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26.719,00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7.025.484,00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168.773,53</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157.459,54</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3.302.596,00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16.060.239,00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26.719,00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19.389.554,00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2008</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99.646,23</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97.632,10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2.632.398,00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9.527.443,00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12.159.841,00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58.378,19</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58.724,41</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394.211,00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6.843.603,00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18.568,00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7.256.382,00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158.024,42</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156.356,51</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3.026.609,00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16.371.046,00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18.568,00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19.416.223,00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2009</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87.617,32</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88.218,87</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2.675.966,00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8.320.760,00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10.996.726,00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66.726,45</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66.141,29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276.821,00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7.975.514,00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12.231,00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8.264.566,00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154.343,77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154.360,16</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2.952.787,00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16.296.274,00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12.231,00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19.261.292,00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2010</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79.641,87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79.614,98</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2.380.445,00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7.571.627,00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9.952.072,00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80.050,80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78.335,93</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367.442,00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9.405.426,00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18.591,00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9.791.459,00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159.692,67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157.950,90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2.747.888,00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16.977.053,00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18.591,00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19.743.532,00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2011</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91.993,00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92.304,00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2.413.099,00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9.124.916,00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11.538.015,00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72.401,00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72.963,00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193.624,00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8.903.953,00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22.982,00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9.120.559,00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164.394,00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165.267,00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2.606.723,00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18.028.869,00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22.982,00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20.658.574,00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2012</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99.958,02</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98.531,33</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2.398.835,00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9.917.338,00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237</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12.316.410,00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74.187,38</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74.738,16</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66.004,00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9.245.186,00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30.915,00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9.342.105,00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174.145,40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173.269,49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2.464.839,00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19.162.524,00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31.152,00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21.658.515,00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2013</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94.351,72</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94.683,00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2.438.404,00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9.361.800,00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7.140,00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11.807.344,00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95.664,74</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90.253,68</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17.806,00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11.180.726,00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68.796,00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11.267.328,00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190.016,47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184.936,69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2.456.210,00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20.542.526,00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75.936,00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23.074.672,00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2014</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83.288,36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82.046,06</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2.464.564,00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7.731.514,00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59.754,00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10.255.832,00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110.635,56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109.330,47</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2.051,00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13.558.513,00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105.822,00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13.666.386,00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193.923,93</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191.376,54</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2.466.616,00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21.290.027,00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165.577,00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23.922.220,00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2015</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108.111,46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108.536,59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2.823.176,00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10.664.398,00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79.484,00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13.567.058,00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108.758,10</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109.350,88</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13.516.467,00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152.793,00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13.669.260,00</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216.869,56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217.887,47</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2.823.176,00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24.180.865,00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232.277,00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27.236.318,00</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2016</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124.068,39</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126.088,45</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2.918.536,74</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12.814.129,71</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28.389,19</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15.761.055,64</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111.493,34</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108.872,34</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13.455.607,96</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153.577,87</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13.609.185,83</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235.561,73</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234.960,79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2.918.536,74</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26.269.737,67</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181.967,06</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29.370.241,47</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2017</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133.762,01</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130.937,80</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2.982.718,02</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13.369.035,61</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15.473,43</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16.367.227,06</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119.137,46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117.971,15</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14.588.287,66</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158.433,03</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14.746.720,69</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252.899,47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248.908,95</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2.982.718,02</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27.957.323,26</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173.906,46</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31.113.947,74</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2018</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Refining 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137.217,16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136.097,38</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3.033.684,35</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13.966.248,42</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12.237,88</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17.012.170,64</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107.606,46</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108.945,34</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13.412.442,25</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205.871,57</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13.618.313,81</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244.823,61</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245.042,72</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3.033.684,35</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27.378.690,66</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218.109,44</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30.630.484,46</w:t>
            </w:r>
          </w:p>
        </w:tc>
      </w:tr>
      <w:tr w:rsidR="00C046B4" w:rsidRPr="00B2297C" w:rsidTr="00B2297C">
        <w:trPr>
          <w:trHeight w:val="20"/>
        </w:trPr>
        <w:tc>
          <w:tcPr>
            <w:tcW w:w="309" w:type="pct"/>
            <w:vMerge w:val="restar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2019</w:t>
            </w: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 xml:space="preserve">Refining </w:t>
            </w:r>
            <w:r w:rsidRPr="00B2297C">
              <w:rPr>
                <w:rFonts w:ascii="Times New Roman" w:eastAsia="Times New Roman" w:hAnsi="Times New Roman" w:cs="Times New Roman"/>
                <w:noProof w:val="0"/>
                <w:color w:val="000000"/>
                <w:sz w:val="18"/>
                <w:szCs w:val="18"/>
                <w:lang w:eastAsia="tr-TR"/>
              </w:rPr>
              <w:lastRenderedPageBreak/>
              <w:t>Undertaking</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lastRenderedPageBreak/>
              <w:t>139.047,49</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138.857,97</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3.138.062,08</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14.205.698,60</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13.483,34</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17.357.244,02</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eastAsia="tr-TR"/>
              </w:rPr>
              <w:t>Distributors</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98.834,02</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101.826,72</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0</w:t>
            </w:r>
            <w:r w:rsidR="00C576C6" w:rsidRPr="00B2297C">
              <w:rPr>
                <w:rFonts w:ascii="Times New Roman" w:eastAsia="Times New Roman" w:hAnsi="Times New Roman" w:cs="Times New Roman"/>
                <w:noProof w:val="0"/>
                <w:color w:val="000000"/>
                <w:sz w:val="18"/>
                <w:szCs w:val="18"/>
                <w:lang w:val="tr-TR" w:eastAsia="tr-TR"/>
              </w:rPr>
              <w:t>,00</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12.508.538,44</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219.817,70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r w:rsidRPr="00B2297C">
              <w:rPr>
                <w:rFonts w:ascii="Times New Roman" w:eastAsia="Times New Roman" w:hAnsi="Times New Roman" w:cs="Times New Roman"/>
                <w:noProof w:val="0"/>
                <w:color w:val="000000"/>
                <w:sz w:val="18"/>
                <w:szCs w:val="18"/>
                <w:lang w:val="tr-TR" w:eastAsia="tr-TR"/>
              </w:rPr>
              <w:t>12.728.356,14</w:t>
            </w:r>
          </w:p>
        </w:tc>
      </w:tr>
      <w:tr w:rsidR="00C046B4" w:rsidRPr="00B2297C" w:rsidTr="00B2297C">
        <w:trPr>
          <w:trHeight w:val="20"/>
        </w:trPr>
        <w:tc>
          <w:tcPr>
            <w:tcW w:w="309" w:type="pct"/>
            <w:vMerge/>
            <w:vAlign w:val="center"/>
            <w:hideMark/>
          </w:tcPr>
          <w:p w:rsidR="00C046B4" w:rsidRPr="00B2297C" w:rsidRDefault="00C046B4" w:rsidP="004E7F7B">
            <w:pPr>
              <w:spacing w:after="0" w:line="240" w:lineRule="auto"/>
              <w:rPr>
                <w:rFonts w:ascii="Times New Roman" w:eastAsia="Times New Roman" w:hAnsi="Times New Roman" w:cs="Times New Roman"/>
                <w:noProof w:val="0"/>
                <w:color w:val="000000"/>
                <w:sz w:val="18"/>
                <w:szCs w:val="18"/>
                <w:lang w:val="tr-TR" w:eastAsia="tr-TR"/>
              </w:rPr>
            </w:pPr>
          </w:p>
        </w:tc>
        <w:tc>
          <w:tcPr>
            <w:tcW w:w="546"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eastAsia="tr-TR"/>
              </w:rPr>
              <w:t>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237.181,51</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240.684,69</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3.138.062,08</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26.714.237,04</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233.301,04</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30.085.600,17</w:t>
            </w:r>
          </w:p>
        </w:tc>
      </w:tr>
      <w:tr w:rsidR="00C046B4" w:rsidRPr="00B2297C" w:rsidTr="00B2297C">
        <w:trPr>
          <w:trHeight w:val="20"/>
        </w:trPr>
        <w:tc>
          <w:tcPr>
            <w:tcW w:w="855" w:type="pct"/>
            <w:gridSpan w:val="2"/>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General Total</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2.551.350,07</w:t>
            </w:r>
          </w:p>
        </w:tc>
        <w:tc>
          <w:tcPr>
            <w:tcW w:w="570"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2.528.461,45</w:t>
            </w:r>
          </w:p>
        </w:tc>
        <w:tc>
          <w:tcPr>
            <w:tcW w:w="617"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36.920.445,19</w:t>
            </w:r>
          </w:p>
        </w:tc>
        <w:tc>
          <w:tcPr>
            <w:tcW w:w="664"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277.229.411,63</w:t>
            </w:r>
          </w:p>
        </w:tc>
        <w:tc>
          <w:tcPr>
            <w:tcW w:w="1009"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1.411.317,00</w:t>
            </w:r>
          </w:p>
        </w:tc>
        <w:tc>
          <w:tcPr>
            <w:tcW w:w="715" w:type="pct"/>
            <w:shd w:val="clear" w:color="auto" w:fill="auto"/>
            <w:vAlign w:val="center"/>
            <w:hideMark/>
          </w:tcPr>
          <w:p w:rsidR="00C046B4" w:rsidRPr="00B2297C" w:rsidRDefault="00C046B4" w:rsidP="004E7F7B">
            <w:pPr>
              <w:spacing w:after="0" w:line="240" w:lineRule="auto"/>
              <w:rPr>
                <w:rFonts w:ascii="Times New Roman" w:eastAsia="Times New Roman" w:hAnsi="Times New Roman" w:cs="Times New Roman"/>
                <w:b/>
                <w:bCs/>
                <w:noProof w:val="0"/>
                <w:color w:val="000000"/>
                <w:sz w:val="18"/>
                <w:szCs w:val="18"/>
                <w:lang w:val="tr-TR" w:eastAsia="tr-TR"/>
              </w:rPr>
            </w:pPr>
            <w:r w:rsidRPr="00B2297C">
              <w:rPr>
                <w:rFonts w:ascii="Times New Roman" w:eastAsia="Times New Roman" w:hAnsi="Times New Roman" w:cs="Times New Roman"/>
                <w:b/>
                <w:bCs/>
                <w:noProof w:val="0"/>
                <w:color w:val="000000"/>
                <w:sz w:val="18"/>
                <w:szCs w:val="18"/>
                <w:lang w:val="tr-TR" w:eastAsia="tr-TR"/>
              </w:rPr>
              <w:t xml:space="preserve">315.561.173,84   </w:t>
            </w:r>
          </w:p>
        </w:tc>
      </w:tr>
    </w:tbl>
    <w:p w:rsidR="00C51FE5" w:rsidRDefault="00C51FE5" w:rsidP="00C51FE5"/>
    <w:p w:rsidR="00FE7FEB" w:rsidRPr="004E7F7B" w:rsidRDefault="00FE7FEB" w:rsidP="00C51FE5">
      <w:r w:rsidRPr="004E7F7B">
        <w:t>At the conditions and level determined by the Authority, the National Marker is added to the fuel by the relevant license holders and then controlled by a leştirilmiş simplified control device geliştiril developed by TÜBİTAK before being placed on the market. “National Marker Field Control Device ilen produced by TÜBİTAK is used in the audits of the fuel supplied to the market. The audits of the fuel in free circulation in the oil market are carried out within the framework of the cooperation protocols signed between EMRA and the Ministry of Interior, the Ministry of Industry and Technology and the Ministry of Commerce.</w:t>
      </w:r>
    </w:p>
    <w:p w:rsidR="00FE7FEB" w:rsidRPr="004E7F7B" w:rsidRDefault="00FE7FEB" w:rsidP="00C51FE5">
      <w:pPr>
        <w:rPr>
          <w:color w:val="000000" w:themeColor="text1"/>
        </w:rPr>
      </w:pPr>
      <w:r w:rsidRPr="004E7F7B">
        <w:rPr>
          <w:color w:val="000000" w:themeColor="text1"/>
        </w:rPr>
        <w:t>As a result of the National Marker application, product quality control can be carried out at every stage of the product supply chain by separating the illegal fuel with the fuel that is legally in free circulation in the country and the supply of the illegal fuel to the domestic market and the mixing of the non-standard fuel with other fuel are prevented from being presented to the market. Thus, the fuel supplied to the market can be indirectly ensured to conform to the standards.</w:t>
      </w:r>
    </w:p>
    <w:p w:rsidR="00FE7FEB" w:rsidRPr="004E7F7B" w:rsidRDefault="00FE7FEB" w:rsidP="004E7F7B">
      <w:pPr>
        <w:pStyle w:val="Balk4"/>
        <w:rPr>
          <w:rFonts w:ascii="Times New Roman" w:hAnsi="Times New Roman" w:cs="Times New Roman"/>
          <w:sz w:val="22"/>
        </w:rPr>
      </w:pPr>
      <w:r w:rsidRPr="004E7F7B">
        <w:rPr>
          <w:rFonts w:ascii="Times New Roman" w:hAnsi="Times New Roman" w:cs="Times New Roman"/>
          <w:sz w:val="22"/>
        </w:rPr>
        <w:t xml:space="preserve">3.3.2.2.Liquid Fuel Vendors Automation System </w:t>
      </w:r>
    </w:p>
    <w:p w:rsidR="00FE7FEB" w:rsidRPr="004E7F7B" w:rsidRDefault="00FE7FEB" w:rsidP="00C51FE5">
      <w:r w:rsidRPr="004E7F7B">
        <w:t xml:space="preserve">In line with the provision of the seventh paragraph of Article 7 of the Petroleum Market Law,” The licensee establishes and implements an inspection system that includes technological methods to prevent the sale of fugitive oil in accordance with the principles determined by the Authority “ the necessary work have been carried out by the Authority and the Board Decision dated 27/06/2007 and numbered 1240, which was published in Official Gazette dated 2007 and numbered 26574, was taken. </w:t>
      </w:r>
    </w:p>
    <w:p w:rsidR="00FE7FEB" w:rsidRPr="004E7F7B" w:rsidRDefault="00FE7FEB" w:rsidP="00C51FE5">
      <w:r w:rsidRPr="004E7F7B">
        <w:t xml:space="preserve">In this respect, paragraph (b) of the aforementione Board Decision states that “a station automation system is established for daily monitoring of stock movements and fuel purchase and sale transactions in electronic environment at the fuel stations. It monitors and reports the fuel purchase and sale movements of its dealers with its centralized station automation system. The licensee is obliged to install and implement automation systems in accordance with the provision of “Shall promptly inform the Authority in case of unregistered supply and sales.” Such obligation for fuel stations started on 30/06/2011; for fixed village pumps and sale tanks for agricultural purposes on 30/09/2011. </w:t>
      </w:r>
    </w:p>
    <w:p w:rsidR="00FE7FEB" w:rsidRPr="004E7F7B" w:rsidRDefault="00FE7FEB" w:rsidP="00C51FE5">
      <w:r w:rsidRPr="004E7F7B">
        <w:t>Within the scope of the Board Decision Regarding the Vendor Audit System no. 1240, distributor license holders have obligations to report to our Authority on a daily and monthly basis the data they collect through the audit system they have established. Some of these data are received as electronic signed notification within the scope of EBIS and some of them are delivered to our web services. The station automation system data that reaches to our institution is shared with the institutions and organizations in charge of fighting with illegal fuels within the scope of Petroleum Market Law to the extent required by their duties. In addition, statistical information generated in the direction of the data is shared with the Ministry of Energy and Natural Resources on a weekly basis.</w:t>
      </w:r>
    </w:p>
    <w:p w:rsidR="00FE7FEB" w:rsidRPr="004E7F7B" w:rsidRDefault="00FE7FEB" w:rsidP="004E7F7B">
      <w:pPr>
        <w:pStyle w:val="Balk4"/>
        <w:rPr>
          <w:rFonts w:ascii="Times New Roman" w:hAnsi="Times New Roman" w:cs="Times New Roman"/>
          <w:sz w:val="22"/>
        </w:rPr>
      </w:pPr>
      <w:r w:rsidRPr="004E7F7B">
        <w:rPr>
          <w:rFonts w:ascii="Times New Roman" w:hAnsi="Times New Roman" w:cs="Times New Roman"/>
          <w:sz w:val="22"/>
        </w:rPr>
        <w:lastRenderedPageBreak/>
        <w:t xml:space="preserve">3.3.2.3.Petroleum Depot Stock Monitoring System </w:t>
      </w:r>
    </w:p>
    <w:p w:rsidR="00FE7FEB" w:rsidRPr="004E7F7B" w:rsidRDefault="00FE7FEB" w:rsidP="00C51FE5">
      <w:r w:rsidRPr="004E7F7B">
        <w:t>Establishment of tank tracking system has been completed so that the amount of petroleum in the tanks in Petroleum Market storage facilities that are included in national stock and monitoring of the levels in electronic environment hourly and the data generated in these systems can be followed directly by our Institution. Coupon system was added to Petroleum Stock Inventory Tracking System as of 01.01.2018.</w:t>
      </w:r>
    </w:p>
    <w:p w:rsidR="00FE7FEB" w:rsidRPr="004E7F7B" w:rsidRDefault="00FE7FEB" w:rsidP="004E7F7B">
      <w:pPr>
        <w:pStyle w:val="Balk2"/>
        <w:rPr>
          <w:rFonts w:ascii="Times New Roman" w:hAnsi="Times New Roman" w:cs="Times New Roman"/>
          <w:sz w:val="22"/>
          <w:szCs w:val="22"/>
        </w:rPr>
      </w:pPr>
      <w:bookmarkStart w:id="103" w:name="_Toc442431263"/>
      <w:bookmarkStart w:id="104" w:name="_Toc514251641"/>
      <w:bookmarkStart w:id="105" w:name="_Toc48817850"/>
      <w:r w:rsidRPr="004E7F7B">
        <w:rPr>
          <w:rFonts w:ascii="Times New Roman" w:hAnsi="Times New Roman" w:cs="Times New Roman"/>
          <w:sz w:val="22"/>
          <w:szCs w:val="22"/>
        </w:rPr>
        <w:t>3.4.Liquefied Petroleum Gases (LPG) Market Licensing Activities</w:t>
      </w:r>
      <w:bookmarkEnd w:id="103"/>
      <w:bookmarkEnd w:id="104"/>
      <w:bookmarkEnd w:id="105"/>
    </w:p>
    <w:p w:rsidR="00FE7FEB" w:rsidRPr="004E7F7B" w:rsidRDefault="00FE7FEB" w:rsidP="00C51FE5">
      <w:r w:rsidRPr="004E7F7B">
        <w:t>LPG related; It is compulsory to obtain a license to perform LPG Distributor, LPG Transportation, LPG Storage, LPG Autogas Dealership, LPG Cylinder Manufacturing, LPG Cylinder Inspection, Repair and Maintenance activities. The activities to be performed within the scope of LPG licenses and the obligations of the licensees are specified in the Liquefied Petroleum Gas (LPG) Market License Regulation.</w:t>
      </w:r>
    </w:p>
    <w:p w:rsidR="00FE7FEB" w:rsidRPr="004E7F7B" w:rsidRDefault="00FE7FEB" w:rsidP="00C51FE5">
      <w:r w:rsidRPr="004E7F7B">
        <w:t>The license transactions per</w:t>
      </w:r>
      <w:r w:rsidR="008A67FF" w:rsidRPr="004E7F7B">
        <w:t>formed in the LPG market in 2019</w:t>
      </w:r>
      <w:r w:rsidRPr="004E7F7B">
        <w:t xml:space="preserve"> are given in Table 3.10.</w:t>
      </w:r>
    </w:p>
    <w:p w:rsidR="00D129CF" w:rsidRPr="004E7F7B" w:rsidRDefault="00D129CF" w:rsidP="004E7F7B">
      <w:pPr>
        <w:rPr>
          <w:rFonts w:ascii="Times New Roman" w:hAnsi="Times New Roman" w:cs="Times New Roman"/>
        </w:rPr>
      </w:pPr>
    </w:p>
    <w:p w:rsidR="00FE7FEB" w:rsidRPr="004E7F7B" w:rsidRDefault="00FE7FEB" w:rsidP="004E7F7B">
      <w:pPr>
        <w:pStyle w:val="Balk5"/>
        <w:jc w:val="both"/>
        <w:rPr>
          <w:rFonts w:ascii="Times New Roman" w:hAnsi="Times New Roman" w:cs="Times New Roman"/>
        </w:rPr>
      </w:pPr>
      <w:bookmarkStart w:id="106" w:name="_Toc416447590"/>
      <w:bookmarkStart w:id="107" w:name="_Toc442441740"/>
      <w:bookmarkStart w:id="108" w:name="_Toc512874136"/>
      <w:bookmarkStart w:id="109" w:name="_Toc48818024"/>
      <w:r w:rsidRPr="004E7F7B">
        <w:rPr>
          <w:rStyle w:val="Gl"/>
          <w:rFonts w:ascii="Times New Roman" w:hAnsi="Times New Roman" w:cs="Times New Roman"/>
          <w:b/>
          <w:bCs w:val="0"/>
        </w:rPr>
        <w:t>Table 3.10: License Procedures in LPG Market in 201</w:t>
      </w:r>
      <w:bookmarkEnd w:id="106"/>
      <w:bookmarkEnd w:id="107"/>
      <w:bookmarkEnd w:id="108"/>
      <w:r w:rsidR="008A67FF" w:rsidRPr="004E7F7B">
        <w:rPr>
          <w:rStyle w:val="Gl"/>
          <w:rFonts w:ascii="Times New Roman" w:hAnsi="Times New Roman" w:cs="Times New Roman"/>
          <w:b/>
          <w:bCs w:val="0"/>
        </w:rPr>
        <w:t>9</w:t>
      </w:r>
      <w:bookmarkEnd w:id="109"/>
    </w:p>
    <w:tbl>
      <w:tblPr>
        <w:tblW w:w="5643" w:type="pct"/>
        <w:tblInd w:w="-49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013"/>
        <w:gridCol w:w="827"/>
        <w:gridCol w:w="627"/>
        <w:gridCol w:w="834"/>
        <w:gridCol w:w="718"/>
        <w:gridCol w:w="931"/>
        <w:gridCol w:w="808"/>
        <w:gridCol w:w="875"/>
        <w:gridCol w:w="795"/>
        <w:gridCol w:w="808"/>
        <w:gridCol w:w="980"/>
        <w:gridCol w:w="711"/>
        <w:gridCol w:w="847"/>
      </w:tblGrid>
      <w:tr w:rsidR="00C07092" w:rsidRPr="004E7F7B" w:rsidTr="0095465A">
        <w:trPr>
          <w:trHeight w:val="20"/>
        </w:trPr>
        <w:tc>
          <w:tcPr>
            <w:tcW w:w="4276" w:type="pct"/>
            <w:gridSpan w:val="11"/>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License Procedure type</w:t>
            </w:r>
          </w:p>
        </w:tc>
        <w:tc>
          <w:tcPr>
            <w:tcW w:w="330" w:type="pct"/>
            <w:vMerge w:val="restar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Total</w:t>
            </w:r>
          </w:p>
        </w:tc>
        <w:tc>
          <w:tcPr>
            <w:tcW w:w="394" w:type="pct"/>
            <w:vMerge w:val="restar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licenses in effect</w:t>
            </w:r>
          </w:p>
        </w:tc>
      </w:tr>
      <w:tr w:rsidR="00C07092" w:rsidRPr="004E7F7B" w:rsidTr="0095465A">
        <w:trPr>
          <w:trHeight w:val="20"/>
        </w:trPr>
        <w:tc>
          <w:tcPr>
            <w:tcW w:w="470"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License Type</w:t>
            </w:r>
          </w:p>
        </w:tc>
        <w:tc>
          <w:tcPr>
            <w:tcW w:w="384"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License Application</w:t>
            </w:r>
          </w:p>
        </w:tc>
        <w:tc>
          <w:tcPr>
            <w:tcW w:w="291"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Granted Licenses</w:t>
            </w:r>
          </w:p>
        </w:tc>
        <w:tc>
          <w:tcPr>
            <w:tcW w:w="387"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Terminated Licenses</w:t>
            </w:r>
          </w:p>
        </w:tc>
        <w:tc>
          <w:tcPr>
            <w:tcW w:w="33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Cancelled Licenses</w:t>
            </w:r>
          </w:p>
        </w:tc>
        <w:tc>
          <w:tcPr>
            <w:tcW w:w="432"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amendments</w:t>
            </w:r>
          </w:p>
        </w:tc>
        <w:tc>
          <w:tcPr>
            <w:tcW w:w="375"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Revocation of Cancelled Licenses</w:t>
            </w:r>
          </w:p>
        </w:tc>
        <w:tc>
          <w:tcPr>
            <w:tcW w:w="406"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it-IT" w:eastAsia="tr-TR"/>
              </w:rPr>
            </w:pPr>
            <w:r w:rsidRPr="004E7F7B">
              <w:rPr>
                <w:rFonts w:ascii="Times New Roman" w:eastAsia="Times New Roman" w:hAnsi="Times New Roman" w:cs="Times New Roman"/>
                <w:b/>
                <w:bCs/>
                <w:color w:val="FFFFFF"/>
                <w:lang w:val="it-IT" w:eastAsia="tr-TR"/>
              </w:rPr>
              <w:t>Revocation of License Termination</w:t>
            </w:r>
          </w:p>
        </w:tc>
        <w:tc>
          <w:tcPr>
            <w:tcW w:w="369"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Temporary Activity Stopping</w:t>
            </w:r>
          </w:p>
        </w:tc>
        <w:tc>
          <w:tcPr>
            <w:tcW w:w="375"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Revocation of Temporary Activity Stopping</w:t>
            </w:r>
          </w:p>
        </w:tc>
        <w:tc>
          <w:tcPr>
            <w:tcW w:w="455"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License Term Extension</w:t>
            </w:r>
          </w:p>
        </w:tc>
        <w:tc>
          <w:tcPr>
            <w:tcW w:w="330" w:type="pct"/>
            <w:vMerge/>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394" w:type="pct"/>
            <w:vMerge/>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LPG Distribution License</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p>
        </w:tc>
        <w:tc>
          <w:tcPr>
            <w:tcW w:w="387"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333"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w:t>
            </w:r>
          </w:p>
        </w:tc>
        <w:tc>
          <w:tcPr>
            <w:tcW w:w="375"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406"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369"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3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61</w:t>
            </w:r>
          </w:p>
        </w:tc>
        <w:tc>
          <w:tcPr>
            <w:tcW w:w="394" w:type="pct"/>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w:t>
            </w:r>
            <w:r w:rsidR="00E41AE3" w:rsidRPr="004E7F7B">
              <w:rPr>
                <w:rFonts w:ascii="Times New Roman" w:eastAsia="Times New Roman" w:hAnsi="Times New Roman" w:cs="Times New Roman"/>
                <w:b/>
                <w:bCs/>
                <w:lang w:eastAsia="tr-TR"/>
              </w:rPr>
              <w:t>8</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LPG Storage License</w:t>
            </w:r>
          </w:p>
        </w:tc>
        <w:tc>
          <w:tcPr>
            <w:tcW w:w="384"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w:t>
            </w:r>
          </w:p>
        </w:tc>
        <w:tc>
          <w:tcPr>
            <w:tcW w:w="387"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333"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406"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369"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w:t>
            </w:r>
          </w:p>
        </w:tc>
        <w:tc>
          <w:tcPr>
            <w:tcW w:w="394"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105</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LPG Autogas Vendorship License</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1.193</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1.187</w:t>
            </w:r>
          </w:p>
        </w:tc>
        <w:tc>
          <w:tcPr>
            <w:tcW w:w="387"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1.069</w:t>
            </w:r>
          </w:p>
        </w:tc>
        <w:tc>
          <w:tcPr>
            <w:tcW w:w="333"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430</w:t>
            </w:r>
          </w:p>
        </w:tc>
        <w:tc>
          <w:tcPr>
            <w:tcW w:w="375"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406"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w:t>
            </w:r>
          </w:p>
        </w:tc>
        <w:tc>
          <w:tcPr>
            <w:tcW w:w="369"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w:t>
            </w:r>
          </w:p>
        </w:tc>
        <w:tc>
          <w:tcPr>
            <w:tcW w:w="375"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w:t>
            </w:r>
          </w:p>
        </w:tc>
        <w:tc>
          <w:tcPr>
            <w:tcW w:w="455"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480</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4.438</w:t>
            </w:r>
          </w:p>
        </w:tc>
        <w:tc>
          <w:tcPr>
            <w:tcW w:w="394"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10.760</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LPG Transportation  License</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387"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333"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406"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369"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p>
        </w:tc>
        <w:tc>
          <w:tcPr>
            <w:tcW w:w="394"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58</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LPG Cylinder Production License</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387"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333"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406"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369"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394" w:type="pct"/>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 xml:space="preserve">LPG Cylinder </w:t>
            </w:r>
            <w:r w:rsidRPr="004E7F7B">
              <w:rPr>
                <w:rFonts w:ascii="Times New Roman" w:eastAsia="Times New Roman" w:hAnsi="Times New Roman" w:cs="Times New Roman"/>
                <w:color w:val="000000"/>
                <w:lang w:eastAsia="tr-TR"/>
              </w:rPr>
              <w:lastRenderedPageBreak/>
              <w:t>Contro, Repair and Maintenance License</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lastRenderedPageBreak/>
              <w:t>1</w:t>
            </w:r>
          </w:p>
        </w:tc>
        <w:tc>
          <w:tcPr>
            <w:tcW w:w="291"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387"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w:t>
            </w:r>
          </w:p>
        </w:tc>
        <w:tc>
          <w:tcPr>
            <w:tcW w:w="333"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406"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w:t>
            </w:r>
          </w:p>
        </w:tc>
        <w:tc>
          <w:tcPr>
            <w:tcW w:w="369"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7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5" w:type="pct"/>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p>
        </w:tc>
        <w:tc>
          <w:tcPr>
            <w:tcW w:w="394"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83</w:t>
            </w:r>
          </w:p>
        </w:tc>
      </w:tr>
      <w:tr w:rsidR="00C07092" w:rsidRPr="004E7F7B" w:rsidTr="0095465A">
        <w:trPr>
          <w:trHeight w:val="20"/>
        </w:trPr>
        <w:tc>
          <w:tcPr>
            <w:tcW w:w="470" w:type="pct"/>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lastRenderedPageBreak/>
              <w:t>Total</w:t>
            </w:r>
          </w:p>
        </w:tc>
        <w:tc>
          <w:tcPr>
            <w:tcW w:w="384"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1.212</w:t>
            </w:r>
          </w:p>
        </w:tc>
        <w:tc>
          <w:tcPr>
            <w:tcW w:w="291" w:type="pct"/>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r w:rsidR="00E41AE3" w:rsidRPr="004E7F7B">
              <w:rPr>
                <w:rFonts w:ascii="Times New Roman" w:eastAsia="Times New Roman" w:hAnsi="Times New Roman" w:cs="Times New Roman"/>
                <w:b/>
                <w:bCs/>
                <w:lang w:eastAsia="tr-TR"/>
              </w:rPr>
              <w:t>203</w:t>
            </w:r>
          </w:p>
        </w:tc>
        <w:tc>
          <w:tcPr>
            <w:tcW w:w="387" w:type="pct"/>
            <w:vAlign w:val="center"/>
            <w:hideMark/>
          </w:tcPr>
          <w:p w:rsidR="00FE7FEB" w:rsidRPr="004E7F7B" w:rsidRDefault="00FD27C6"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1.093</w:t>
            </w:r>
          </w:p>
        </w:tc>
        <w:tc>
          <w:tcPr>
            <w:tcW w:w="333"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w:t>
            </w:r>
          </w:p>
        </w:tc>
        <w:tc>
          <w:tcPr>
            <w:tcW w:w="432"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494</w:t>
            </w:r>
          </w:p>
        </w:tc>
        <w:tc>
          <w:tcPr>
            <w:tcW w:w="375"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406"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w:t>
            </w:r>
          </w:p>
        </w:tc>
        <w:tc>
          <w:tcPr>
            <w:tcW w:w="369"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29</w:t>
            </w:r>
          </w:p>
        </w:tc>
        <w:tc>
          <w:tcPr>
            <w:tcW w:w="375"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34</w:t>
            </w:r>
          </w:p>
        </w:tc>
        <w:tc>
          <w:tcPr>
            <w:tcW w:w="455"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481</w:t>
            </w:r>
          </w:p>
        </w:tc>
        <w:tc>
          <w:tcPr>
            <w:tcW w:w="330" w:type="pct"/>
            <w:vAlign w:val="center"/>
            <w:hideMark/>
          </w:tcPr>
          <w:p w:rsidR="00FE7FEB" w:rsidRPr="004E7F7B" w:rsidRDefault="00E41AE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4.557</w:t>
            </w:r>
          </w:p>
        </w:tc>
        <w:tc>
          <w:tcPr>
            <w:tcW w:w="394" w:type="pct"/>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w:t>
            </w:r>
            <w:r w:rsidR="00E41AE3" w:rsidRPr="004E7F7B">
              <w:rPr>
                <w:rFonts w:ascii="Times New Roman" w:eastAsia="Times New Roman" w:hAnsi="Times New Roman" w:cs="Times New Roman"/>
                <w:b/>
                <w:bCs/>
                <w:lang w:eastAsia="tr-TR"/>
              </w:rPr>
              <w:t>115</w:t>
            </w:r>
          </w:p>
        </w:tc>
      </w:tr>
    </w:tbl>
    <w:p w:rsidR="00E41AE3" w:rsidRPr="004E7F7B" w:rsidRDefault="00E41AE3" w:rsidP="004E7F7B">
      <w:pPr>
        <w:pStyle w:val="AralkYok"/>
        <w:jc w:val="both"/>
        <w:rPr>
          <w:rFonts w:ascii="Times New Roman" w:eastAsiaTheme="minorHAnsi" w:hAnsi="Times New Roman" w:cs="Times New Roman"/>
        </w:rPr>
      </w:pPr>
    </w:p>
    <w:p w:rsidR="00C07092" w:rsidRPr="004E7F7B" w:rsidRDefault="00C07092" w:rsidP="004E7F7B">
      <w:pPr>
        <w:rPr>
          <w:rFonts w:ascii="Times New Roman" w:hAnsi="Times New Roman" w:cs="Times New Roman"/>
        </w:rPr>
      </w:pPr>
    </w:p>
    <w:p w:rsidR="00FE7FEB" w:rsidRPr="004E7F7B" w:rsidRDefault="00FE7FEB" w:rsidP="004E7F7B">
      <w:pPr>
        <w:pStyle w:val="Balk3"/>
        <w:rPr>
          <w:rStyle w:val="Gl"/>
          <w:rFonts w:ascii="Times New Roman" w:hAnsi="Times New Roman" w:cs="Times New Roman"/>
          <w:b/>
          <w:bCs w:val="0"/>
          <w:szCs w:val="22"/>
        </w:rPr>
      </w:pPr>
      <w:bookmarkStart w:id="110" w:name="_Toc48817851"/>
      <w:r w:rsidRPr="004E7F7B">
        <w:rPr>
          <w:rStyle w:val="Gl"/>
          <w:rFonts w:ascii="Times New Roman" w:hAnsi="Times New Roman" w:cs="Times New Roman"/>
          <w:b/>
          <w:bCs w:val="0"/>
          <w:szCs w:val="22"/>
        </w:rPr>
        <w:t>3.4.1.Liquefied Petr</w:t>
      </w:r>
      <w:r w:rsidR="00D86419" w:rsidRPr="004E7F7B">
        <w:rPr>
          <w:rStyle w:val="Gl"/>
          <w:rFonts w:ascii="Times New Roman" w:hAnsi="Times New Roman" w:cs="Times New Roman"/>
          <w:b/>
          <w:bCs w:val="0"/>
          <w:szCs w:val="22"/>
        </w:rPr>
        <w:t>oleum Gases (LPG) Market Granting Permits for C</w:t>
      </w:r>
      <w:r w:rsidRPr="004E7F7B">
        <w:rPr>
          <w:rStyle w:val="Gl"/>
          <w:rFonts w:ascii="Times New Roman" w:hAnsi="Times New Roman" w:cs="Times New Roman"/>
          <w:b/>
          <w:bCs w:val="0"/>
          <w:szCs w:val="22"/>
        </w:rPr>
        <w:t>oupons</w:t>
      </w:r>
      <w:r w:rsidRPr="004E7F7B">
        <w:rPr>
          <w:rStyle w:val="Gl"/>
          <w:rFonts w:ascii="Times New Roman" w:hAnsi="Times New Roman" w:cs="Times New Roman"/>
          <w:b/>
          <w:bCs w:val="0"/>
          <w:szCs w:val="22"/>
        </w:rPr>
        <w:t> </w:t>
      </w:r>
      <w:bookmarkEnd w:id="110"/>
    </w:p>
    <w:p w:rsidR="00FE7FEB" w:rsidRPr="004E7F7B" w:rsidRDefault="00FE7FEB" w:rsidP="00C51FE5">
      <w:r w:rsidRPr="004E7F7B">
        <w:t>In accordance with Decision No. 2017/1 of the National Petroleum Stock Commission and Decree on the Possibility of Keeping Compulsory Petroleum Stoku and Compulsory Petroleum Stock in the LPG Market as LPG under the Coupon System, one distributor license</w:t>
      </w:r>
      <w:r w:rsidR="00C07092" w:rsidRPr="004E7F7B">
        <w:t xml:space="preserve"> holder and one rafinery license</w:t>
      </w:r>
      <w:r w:rsidRPr="004E7F7B">
        <w:t xml:space="preserve"> holder was granted coupon authorization</w:t>
      </w:r>
      <w:r w:rsidR="00FD27C6" w:rsidRPr="004E7F7B">
        <w:t xml:space="preserve"> for 2019</w:t>
      </w:r>
      <w:r w:rsidRPr="004E7F7B">
        <w:t>.</w:t>
      </w:r>
    </w:p>
    <w:p w:rsidR="00FE7FEB" w:rsidRPr="004E7F7B" w:rsidRDefault="00FE7FEB" w:rsidP="004E7F7B">
      <w:pPr>
        <w:pStyle w:val="Balk5"/>
        <w:jc w:val="both"/>
        <w:rPr>
          <w:rFonts w:ascii="Times New Roman" w:hAnsi="Times New Roman" w:cs="Times New Roman"/>
        </w:rPr>
      </w:pPr>
      <w:bookmarkStart w:id="111" w:name="_Toc48818025"/>
      <w:bookmarkStart w:id="112" w:name="_Toc416447593"/>
      <w:bookmarkStart w:id="113" w:name="_Toc442441742"/>
      <w:bookmarkStart w:id="114" w:name="_Toc512874137"/>
      <w:r w:rsidRPr="004E7F7B">
        <w:rPr>
          <w:rStyle w:val="Gl"/>
          <w:rFonts w:ascii="Times New Roman" w:hAnsi="Times New Roman" w:cs="Times New Roman"/>
          <w:b/>
          <w:bCs w:val="0"/>
        </w:rPr>
        <w:t>Table 3.11: Information on LPG Market Storag</w:t>
      </w:r>
      <w:r w:rsidR="00C07092" w:rsidRPr="004E7F7B">
        <w:rPr>
          <w:rStyle w:val="Gl"/>
          <w:rFonts w:ascii="Times New Roman" w:hAnsi="Times New Roman" w:cs="Times New Roman"/>
          <w:b/>
          <w:bCs w:val="0"/>
        </w:rPr>
        <w:t>e Licenses as of the end of 2019</w:t>
      </w:r>
      <w:bookmarkEnd w:id="111"/>
      <w:r w:rsidRPr="004E7F7B">
        <w:rPr>
          <w:rStyle w:val="Gl"/>
          <w:rFonts w:ascii="Times New Roman" w:hAnsi="Times New Roman" w:cs="Times New Roman"/>
          <w:b/>
          <w:bCs w:val="0"/>
        </w:rPr>
        <w:t xml:space="preserve"> </w:t>
      </w:r>
      <w:bookmarkEnd w:id="112"/>
      <w:bookmarkEnd w:id="113"/>
      <w:bookmarkEnd w:id="114"/>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60"/>
        <w:gridCol w:w="2616"/>
        <w:gridCol w:w="1908"/>
        <w:gridCol w:w="1240"/>
        <w:gridCol w:w="1376"/>
        <w:gridCol w:w="146"/>
      </w:tblGrid>
      <w:tr w:rsidR="00FE7FEB" w:rsidRPr="004E7F7B" w:rsidTr="0095465A">
        <w:trPr>
          <w:trHeight w:val="227"/>
          <w:tblHeader/>
        </w:trPr>
        <w:tc>
          <w:tcPr>
            <w:tcW w:w="99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Province of the facility</w:t>
            </w:r>
          </w:p>
        </w:tc>
        <w:tc>
          <w:tcPr>
            <w:tcW w:w="2320" w:type="pct"/>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 xml:space="preserve"> Total Capacity  (m3)</w:t>
            </w:r>
          </w:p>
        </w:tc>
        <w:tc>
          <w:tcPr>
            <w:tcW w:w="680"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 xml:space="preserve"> Total Capacity  (m3)</w:t>
            </w:r>
          </w:p>
        </w:tc>
        <w:tc>
          <w:tcPr>
            <w:tcW w:w="1008"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in Total Storage Capacity (%)</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color w:val="FFFFFF"/>
                <w:lang w:eastAsia="tr-TR"/>
              </w:rPr>
            </w:pPr>
          </w:p>
        </w:tc>
      </w:tr>
      <w:tr w:rsidR="00FE7FEB" w:rsidRPr="004E7F7B" w:rsidTr="0095465A">
        <w:trPr>
          <w:trHeight w:val="227"/>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0" w:type="auto"/>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6" w:type="dxa"/>
            <w:tcBorders>
              <w:top w:val="nil"/>
              <w:left w:val="nil"/>
              <w:bottom w:val="nil"/>
              <w:right w:val="nil"/>
            </w:tcBorders>
            <w:vAlign w:val="center"/>
            <w:hideMark/>
          </w:tcPr>
          <w:p w:rsidR="00FE7FEB" w:rsidRPr="004E7F7B" w:rsidRDefault="00FE7FEB" w:rsidP="004E7F7B">
            <w:pPr>
              <w:spacing w:after="0"/>
              <w:rPr>
                <w:rFonts w:ascii="Times New Roman" w:hAnsi="Times New Roman" w:cs="Times New Roman"/>
                <w:lang w:eastAsia="tr-TR"/>
              </w:rPr>
            </w:pPr>
          </w:p>
        </w:tc>
      </w:tr>
      <w:tr w:rsidR="00FE7FEB" w:rsidRPr="004E7F7B" w:rsidTr="0095465A">
        <w:trPr>
          <w:trHeight w:val="227"/>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noWrap/>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LPG Distribution  License</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F81BD"/>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LPG Storage License</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color w:val="FFFFFF"/>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HATAY</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63006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540</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225.260,000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225.800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28,7</w:t>
            </w:r>
            <w:r w:rsidR="00FE7FEB" w:rsidRPr="004E7F7B">
              <w:rPr>
                <w:rFonts w:ascii="Times New Roman" w:eastAsia="Times New Roman" w:hAnsi="Times New Roman" w:cs="Times New Roman"/>
                <w:color w:val="000000"/>
                <w:lang w:eastAsia="tr-TR"/>
              </w:rPr>
              <w:t>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KOCAELİ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63006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330</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192.553,720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w:t>
            </w:r>
            <w:r w:rsidR="001F4720" w:rsidRPr="004E7F7B">
              <w:rPr>
                <w:rFonts w:ascii="Times New Roman" w:eastAsia="Times New Roman" w:hAnsi="Times New Roman" w:cs="Times New Roman"/>
                <w:color w:val="000000"/>
                <w:lang w:eastAsia="tr-TR"/>
              </w:rPr>
              <w:t>4</w:t>
            </w:r>
            <w:r w:rsidRPr="004E7F7B">
              <w:rPr>
                <w:rFonts w:ascii="Times New Roman" w:eastAsia="Times New Roman" w:hAnsi="Times New Roman" w:cs="Times New Roman"/>
                <w:color w:val="000000"/>
                <w:lang w:eastAsia="tr-TR"/>
              </w:rPr>
              <w:t>.</w:t>
            </w:r>
            <w:r w:rsidR="001F4720" w:rsidRPr="004E7F7B">
              <w:rPr>
                <w:rFonts w:ascii="Times New Roman" w:eastAsia="Times New Roman" w:hAnsi="Times New Roman" w:cs="Times New Roman"/>
                <w:color w:val="000000"/>
                <w:lang w:eastAsia="tr-TR"/>
              </w:rPr>
              <w:t>883</w:t>
            </w:r>
            <w:r w:rsidRPr="004E7F7B">
              <w:rPr>
                <w:rFonts w:ascii="Times New Roman" w:eastAsia="Times New Roman" w:hAnsi="Times New Roman" w:cs="Times New Roman"/>
                <w:color w:val="000000"/>
                <w:lang w:eastAsia="tr-TR"/>
              </w:rPr>
              <w:t>,720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24,79</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İZMİR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63006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126.722,980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126.862</w:t>
            </w:r>
            <w:r w:rsidR="00FE7FEB" w:rsidRPr="004E7F7B">
              <w:rPr>
                <w:rFonts w:ascii="Times New Roman" w:eastAsia="Times New Roman" w:hAnsi="Times New Roman" w:cs="Times New Roman"/>
                <w:color w:val="000000"/>
                <w:lang w:eastAsia="tr-TR"/>
              </w:rPr>
              <w:t>,</w:t>
            </w:r>
            <w:r w:rsidRPr="004E7F7B">
              <w:rPr>
                <w:rFonts w:ascii="Times New Roman" w:eastAsia="Times New Roman" w:hAnsi="Times New Roman" w:cs="Times New Roman"/>
                <w:color w:val="000000"/>
                <w:lang w:eastAsia="tr-TR"/>
              </w:rPr>
              <w:t>980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16,14</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TEKİRDAĞ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63006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53.674</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53</w:t>
            </w:r>
            <w:r w:rsidR="00FE7FEB" w:rsidRPr="004E7F7B">
              <w:rPr>
                <w:rFonts w:ascii="Times New Roman" w:eastAsia="Times New Roman" w:hAnsi="Times New Roman" w:cs="Times New Roman"/>
                <w:color w:val="000000"/>
                <w:lang w:eastAsia="tr-TR"/>
              </w:rPr>
              <w:t>.</w:t>
            </w:r>
            <w:r w:rsidRPr="004E7F7B">
              <w:rPr>
                <w:rFonts w:ascii="Times New Roman" w:eastAsia="Times New Roman" w:hAnsi="Times New Roman" w:cs="Times New Roman"/>
                <w:color w:val="000000"/>
                <w:lang w:eastAsia="tr-TR"/>
              </w:rPr>
              <w:t>864</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6,85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ANTALYA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63006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460,000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37.139,000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37.599</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4,78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SAMSUN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26.711,000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26.711,000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3,40</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TRABZON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792,000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20.821,000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w:t>
            </w:r>
            <w:r w:rsidR="00FE7FEB" w:rsidRPr="004E7F7B">
              <w:rPr>
                <w:rFonts w:ascii="Times New Roman" w:eastAsia="Times New Roman" w:hAnsi="Times New Roman" w:cs="Times New Roman"/>
                <w:color w:val="000000"/>
                <w:lang w:eastAsia="tr-TR"/>
              </w:rPr>
              <w:t>.</w:t>
            </w:r>
            <w:r w:rsidRPr="004E7F7B">
              <w:rPr>
                <w:rFonts w:ascii="Times New Roman" w:eastAsia="Times New Roman" w:hAnsi="Times New Roman" w:cs="Times New Roman"/>
                <w:color w:val="000000"/>
                <w:lang w:eastAsia="tr-TR"/>
              </w:rPr>
              <w:t>613</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2,75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ANKARA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462,000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15.775,000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16.237,000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2,06</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İSTANBUL</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15.180,000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15.180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KIRIKKALE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5.838,000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5.154,000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w:t>
            </w:r>
            <w:r w:rsidR="00FE7FEB" w:rsidRPr="004E7F7B">
              <w:rPr>
                <w:rFonts w:ascii="Times New Roman" w:eastAsia="Times New Roman" w:hAnsi="Times New Roman" w:cs="Times New Roman"/>
                <w:color w:val="000000"/>
                <w:lang w:eastAsia="tr-TR"/>
              </w:rPr>
              <w:t>.</w:t>
            </w:r>
            <w:r w:rsidRPr="004E7F7B">
              <w:rPr>
                <w:rFonts w:ascii="Times New Roman" w:eastAsia="Times New Roman" w:hAnsi="Times New Roman" w:cs="Times New Roman"/>
                <w:color w:val="000000"/>
                <w:lang w:eastAsia="tr-TR"/>
              </w:rPr>
              <w:t>992</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1,40</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102087"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MERSİN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5.280,000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1.000,000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6.280,000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0,80</w:t>
            </w:r>
          </w:p>
        </w:tc>
        <w:tc>
          <w:tcPr>
            <w:tcW w:w="6" w:type="dxa"/>
            <w:tcBorders>
              <w:top w:val="nil"/>
              <w:left w:val="nil"/>
              <w:bottom w:val="nil"/>
              <w:right w:val="nil"/>
            </w:tcBorders>
            <w:vAlign w:val="center"/>
          </w:tcPr>
          <w:p w:rsidR="00102087" w:rsidRPr="004E7F7B" w:rsidRDefault="00102087"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GİRESUN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6.139,000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6.139,000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0,78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OSMANİYE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1.512,000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3.224,000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4.736</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0,60</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KONYA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3.123,000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1.053,000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4.176</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ERZURUM</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4.035,000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4.035,000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0,51</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MARDİN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2.012,000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1.295,000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3.307</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0,42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DİYARBAKIR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2.595,000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2.595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0,33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MALATYA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1.640,000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1.985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KAYSERİ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1.893,000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1.893,000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0,24</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ISPARTA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1.775,000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1.775,000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F472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0,22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ADIYAMAN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1.475,000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1.475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0,19</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GAZİANTEP</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115</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1.315,000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1.430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NİĞDE</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1.203</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1.368</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0,17</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KAHRAMANMARAŞ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1.065</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1.280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0,16</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ÇORUM</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1.275</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1.275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0,16</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lastRenderedPageBreak/>
              <w:t>TOKAT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360</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790,000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1.150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AMASYA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1.020</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1.020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ADANA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704</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246,000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950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MANİSA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945</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945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AYDIN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870</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0,11</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BATMAN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676,000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50</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726</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0,09</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ELAZIĞ</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687</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687</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0,09</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YOZGAT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645,000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645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BURDUR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640,000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640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ZONGULDAK</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264,000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365</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629</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0,08</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VAN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575</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575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0,07</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BURSA</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552</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552</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0,07</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ESKİŞEHİR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476</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476</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0,06</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KARABÜK</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w:t>
            </w:r>
            <w:r w:rsidR="00FE7FEB" w:rsidRPr="004E7F7B">
              <w:rPr>
                <w:rFonts w:ascii="Times New Roman" w:eastAsia="Times New Roman" w:hAnsi="Times New Roman" w:cs="Times New Roman"/>
                <w:color w:val="000000"/>
                <w:lang w:eastAsia="tr-TR"/>
              </w:rPr>
              <w:t>,000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460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ARTVİN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420,000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420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ÇANKIRI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0,05</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ORDU</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345,000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0,04</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SİVAS</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345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0,04</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SİİRT</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295</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0,04</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AKSARAY</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EC6322"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254</w:t>
            </w:r>
            <w:r w:rsidR="00FE7FEB" w:rsidRPr="004E7F7B">
              <w:rPr>
                <w:rFonts w:ascii="Times New Roman" w:eastAsia="Times New Roman" w:hAnsi="Times New Roman" w:cs="Times New Roman"/>
                <w:color w:val="000000"/>
                <w:lang w:eastAsia="tr-TR"/>
              </w:rPr>
              <w:t>,000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254</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IĞDIR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230,000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w:t>
            </w:r>
            <w:r w:rsidR="00FE7FEB" w:rsidRPr="004E7F7B">
              <w:rPr>
                <w:rFonts w:ascii="Times New Roman" w:eastAsia="Times New Roman" w:hAnsi="Times New Roman" w:cs="Times New Roman"/>
                <w:color w:val="000000"/>
                <w:lang w:eastAsia="tr-TR"/>
              </w:rPr>
              <w:t>,000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NEVŞEHİR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230,000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BALIKESİR</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r w:rsidR="001957E6" w:rsidRPr="004E7F7B">
              <w:rPr>
                <w:rFonts w:ascii="Times New Roman" w:eastAsia="Times New Roman" w:hAnsi="Times New Roman" w:cs="Times New Roman"/>
                <w:color w:val="000000"/>
                <w:lang w:eastAsia="tr-TR"/>
              </w:rPr>
              <w:t>0</w:t>
            </w:r>
            <w:r w:rsidRPr="004E7F7B">
              <w:rPr>
                <w:rFonts w:ascii="Times New Roman" w:eastAsia="Times New Roman" w:hAnsi="Times New Roman" w:cs="Times New Roman"/>
                <w:color w:val="000000"/>
                <w:lang w:eastAsia="tr-TR"/>
              </w:rPr>
              <w:t>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0,03</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KİLİS</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165,000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165,000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0,02</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AĞRI</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w:t>
            </w:r>
            <w:r w:rsidR="00FE7FEB" w:rsidRPr="004E7F7B">
              <w:rPr>
                <w:rFonts w:ascii="Times New Roman" w:eastAsia="Times New Roman" w:hAnsi="Times New Roman" w:cs="Times New Roman"/>
                <w:color w:val="000000"/>
                <w:lang w:eastAsia="tr-TR"/>
              </w:rPr>
              <w:t>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FE7FEB" w:rsidRPr="004E7F7B" w:rsidRDefault="00FE7FE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color w:val="000000"/>
                <w:lang w:eastAsia="tr-TR"/>
              </w:rPr>
            </w:pPr>
          </w:p>
        </w:tc>
      </w:tr>
      <w:tr w:rsidR="00102087"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02087"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KARAMAN</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70,000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02087" w:rsidP="004E7F7B">
            <w:pPr>
              <w:spacing w:after="0" w:line="240" w:lineRule="auto"/>
              <w:rPr>
                <w:rFonts w:ascii="Times New Roman" w:eastAsia="Times New Roman" w:hAnsi="Times New Roman" w:cs="Times New Roman"/>
                <w:color w:val="000000"/>
                <w:lang w:eastAsia="tr-TR"/>
              </w:rPr>
            </w:pP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70,000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102087" w:rsidRPr="004E7F7B" w:rsidRDefault="001957E6"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0,01</w:t>
            </w:r>
          </w:p>
        </w:tc>
        <w:tc>
          <w:tcPr>
            <w:tcW w:w="6" w:type="dxa"/>
            <w:tcBorders>
              <w:top w:val="nil"/>
              <w:left w:val="nil"/>
              <w:bottom w:val="nil"/>
              <w:right w:val="nil"/>
            </w:tcBorders>
            <w:vAlign w:val="center"/>
          </w:tcPr>
          <w:p w:rsidR="00102087" w:rsidRPr="004E7F7B" w:rsidRDefault="00102087" w:rsidP="004E7F7B">
            <w:pPr>
              <w:rPr>
                <w:rFonts w:ascii="Times New Roman" w:eastAsia="Times New Roman" w:hAnsi="Times New Roman" w:cs="Times New Roman"/>
                <w:color w:val="000000"/>
                <w:lang w:eastAsia="tr-TR"/>
              </w:rPr>
            </w:pPr>
          </w:p>
        </w:tc>
      </w:tr>
      <w:tr w:rsidR="00FE7FEB" w:rsidRPr="004E7F7B" w:rsidTr="0095465A">
        <w:trPr>
          <w:trHeight w:val="227"/>
        </w:trPr>
        <w:tc>
          <w:tcPr>
            <w:tcW w:w="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Total</w:t>
            </w:r>
          </w:p>
        </w:tc>
        <w:tc>
          <w:tcPr>
            <w:tcW w:w="11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4E7F7B" w:rsidRDefault="001957E6"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35.570</w:t>
            </w:r>
            <w:r w:rsidR="00FE7FEB" w:rsidRPr="004E7F7B">
              <w:rPr>
                <w:rFonts w:ascii="Times New Roman" w:eastAsia="Times New Roman" w:hAnsi="Times New Roman" w:cs="Times New Roman"/>
                <w:b/>
                <w:bCs/>
                <w:lang w:eastAsia="tr-TR"/>
              </w:rPr>
              <w:t>,00</w:t>
            </w:r>
          </w:p>
        </w:tc>
        <w:tc>
          <w:tcPr>
            <w:tcW w:w="11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4E7F7B" w:rsidRDefault="001957E6"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751.210,70</w:t>
            </w:r>
          </w:p>
        </w:tc>
        <w:tc>
          <w:tcPr>
            <w:tcW w:w="6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4E7F7B" w:rsidRDefault="001957E6"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786.780</w:t>
            </w:r>
            <w:r w:rsidR="00FE7FEB" w:rsidRPr="004E7F7B">
              <w:rPr>
                <w:rFonts w:ascii="Times New Roman" w:eastAsia="Times New Roman" w:hAnsi="Times New Roman" w:cs="Times New Roman"/>
                <w:b/>
                <w:bCs/>
                <w:lang w:eastAsia="tr-TR"/>
              </w:rPr>
              <w:t>,70</w:t>
            </w:r>
          </w:p>
        </w:tc>
        <w:tc>
          <w:tcPr>
            <w:tcW w:w="1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100</w:t>
            </w:r>
          </w:p>
        </w:tc>
        <w:tc>
          <w:tcPr>
            <w:tcW w:w="6" w:type="dxa"/>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bl>
    <w:p w:rsidR="00902D3B" w:rsidRPr="004E7F7B" w:rsidRDefault="00902D3B" w:rsidP="004E7F7B">
      <w:pPr>
        <w:pStyle w:val="AralkYok"/>
        <w:jc w:val="both"/>
        <w:rPr>
          <w:rFonts w:ascii="Times New Roman" w:hAnsi="Times New Roman" w:cs="Times New Roman"/>
        </w:rPr>
      </w:pPr>
      <w:bookmarkStart w:id="115" w:name="_Toc442431264"/>
      <w:bookmarkStart w:id="116" w:name="_Toc514251642"/>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117" w:name="_Toc48817852"/>
      <w:r w:rsidRPr="004E7F7B">
        <w:rPr>
          <w:rFonts w:ascii="Times New Roman" w:hAnsi="Times New Roman" w:cs="Times New Roman"/>
          <w:sz w:val="22"/>
          <w:szCs w:val="22"/>
        </w:rPr>
        <w:lastRenderedPageBreak/>
        <w:t>4.    PRICE FORMATION AND TARIFICATION ACTIVITIES</w:t>
      </w:r>
      <w:bookmarkEnd w:id="115"/>
      <w:bookmarkEnd w:id="116"/>
      <w:bookmarkEnd w:id="117"/>
    </w:p>
    <w:p w:rsidR="00FE7FEB" w:rsidRPr="004E7F7B" w:rsidRDefault="00FE7FEB" w:rsidP="00C51FE5">
      <w:r w:rsidRPr="004E7F7B">
        <w:t>In this section, activities related to price formation and tarification are included for Electricity, Natural Gas, P</w:t>
      </w:r>
      <w:r w:rsidR="001957E6" w:rsidRPr="004E7F7B">
        <w:t>etroleum and LPG markets in 2019</w:t>
      </w:r>
      <w:r w:rsidRPr="004E7F7B">
        <w:t>.</w:t>
      </w:r>
    </w:p>
    <w:p w:rsidR="00FE7FEB" w:rsidRPr="004E7F7B" w:rsidRDefault="00FE7FEB" w:rsidP="004E7F7B">
      <w:pPr>
        <w:pStyle w:val="Balk2"/>
        <w:rPr>
          <w:rFonts w:ascii="Times New Roman" w:hAnsi="Times New Roman" w:cs="Times New Roman"/>
          <w:sz w:val="22"/>
          <w:szCs w:val="22"/>
        </w:rPr>
      </w:pPr>
      <w:bookmarkStart w:id="118" w:name="_Toc442431265"/>
      <w:bookmarkStart w:id="119" w:name="_Toc505346062"/>
      <w:bookmarkStart w:id="120" w:name="_Toc514251643"/>
      <w:bookmarkStart w:id="121" w:name="_Toc48817853"/>
      <w:r w:rsidRPr="004E7F7B">
        <w:rPr>
          <w:rFonts w:ascii="Times New Roman" w:hAnsi="Times New Roman" w:cs="Times New Roman"/>
          <w:sz w:val="22"/>
          <w:szCs w:val="22"/>
        </w:rPr>
        <w:t>4.1.Electricity Market Tarif</w:t>
      </w:r>
      <w:bookmarkEnd w:id="118"/>
      <w:bookmarkEnd w:id="119"/>
      <w:bookmarkEnd w:id="120"/>
      <w:r w:rsidRPr="004E7F7B">
        <w:rPr>
          <w:rFonts w:ascii="Times New Roman" w:hAnsi="Times New Roman" w:cs="Times New Roman"/>
          <w:sz w:val="22"/>
          <w:szCs w:val="22"/>
        </w:rPr>
        <w:t>fs</w:t>
      </w:r>
      <w:bookmarkEnd w:id="121"/>
    </w:p>
    <w:p w:rsidR="00FE7FEB" w:rsidRPr="004E7F7B" w:rsidRDefault="00FE7FEB" w:rsidP="00C51FE5">
      <w:r w:rsidRPr="004E7F7B">
        <w:t>The principles and procedures for preparation, examination, evaluatiation, modification and approval of regulated tariffs in the Electricity Market are regulated in the Electricity Market Tariffs Regulation and in the relevant Communiqués.</w:t>
      </w:r>
      <w:r w:rsidR="001957E6" w:rsidRPr="004E7F7B">
        <w:t xml:space="preserve"> Important decisions regarding the Board Decisions and procedures regarding the tariff practices in 2019 are given below.</w:t>
      </w:r>
    </w:p>
    <w:p w:rsidR="00FE7FEB" w:rsidRPr="004E7F7B" w:rsidRDefault="00FE7FEB" w:rsidP="004E7F7B">
      <w:pPr>
        <w:pStyle w:val="Balk3"/>
        <w:rPr>
          <w:rFonts w:ascii="Times New Roman" w:hAnsi="Times New Roman" w:cs="Times New Roman"/>
          <w:sz w:val="22"/>
          <w:szCs w:val="22"/>
        </w:rPr>
      </w:pPr>
      <w:bookmarkStart w:id="122" w:name="_Toc442431266"/>
      <w:bookmarkStart w:id="123" w:name="_Toc505346063"/>
      <w:bookmarkStart w:id="124" w:name="_Toc514251644"/>
      <w:bookmarkStart w:id="125" w:name="_Toc48817854"/>
      <w:r w:rsidRPr="004E7F7B">
        <w:rPr>
          <w:rFonts w:ascii="Times New Roman" w:hAnsi="Times New Roman" w:cs="Times New Roman"/>
          <w:sz w:val="22"/>
          <w:szCs w:val="22"/>
        </w:rPr>
        <w:t>4.1.1.Transmission Tarif</w:t>
      </w:r>
      <w:bookmarkEnd w:id="122"/>
      <w:bookmarkEnd w:id="123"/>
      <w:bookmarkEnd w:id="124"/>
      <w:r w:rsidRPr="004E7F7B">
        <w:rPr>
          <w:rFonts w:ascii="Times New Roman" w:hAnsi="Times New Roman" w:cs="Times New Roman"/>
          <w:sz w:val="22"/>
          <w:szCs w:val="22"/>
        </w:rPr>
        <w:t>f</w:t>
      </w:r>
      <w:bookmarkEnd w:id="125"/>
    </w:p>
    <w:p w:rsidR="00FE7FEB" w:rsidRPr="004E7F7B" w:rsidRDefault="001957E6" w:rsidP="00C51FE5">
      <w:r w:rsidRPr="004E7F7B">
        <w:t>With the Board Decision dated 26.12.2019 and numbered 9033</w:t>
      </w:r>
      <w:r w:rsidR="00FE7FEB" w:rsidRPr="004E7F7B">
        <w:t xml:space="preserve"> published </w:t>
      </w:r>
      <w:r w:rsidRPr="004E7F7B">
        <w:t>in the Official Gazette dated 29.12.2019 and numbered 30993</w:t>
      </w:r>
      <w:r w:rsidR="00FE7FEB" w:rsidRPr="004E7F7B">
        <w:t>, the system usage and system operation i</w:t>
      </w:r>
      <w:r w:rsidRPr="004E7F7B">
        <w:t>ncome ceilings of TEİAŞ for 2020</w:t>
      </w:r>
      <w:r w:rsidR="00FE7FEB" w:rsidRPr="004E7F7B">
        <w:t xml:space="preserve"> were approved as given in Table 4.1.</w:t>
      </w:r>
    </w:p>
    <w:p w:rsidR="00FE7FEB" w:rsidRPr="004E7F7B" w:rsidRDefault="00FE7FEB" w:rsidP="004E7F7B">
      <w:pPr>
        <w:pStyle w:val="Balk5"/>
        <w:jc w:val="both"/>
        <w:rPr>
          <w:rStyle w:val="Gl"/>
          <w:rFonts w:ascii="Times New Roman" w:hAnsi="Times New Roman" w:cs="Times New Roman"/>
          <w:b/>
          <w:bCs w:val="0"/>
        </w:rPr>
      </w:pPr>
      <w:bookmarkStart w:id="126" w:name="_Toc6684349"/>
      <w:bookmarkStart w:id="127" w:name="_Toc505346172"/>
      <w:bookmarkStart w:id="128" w:name="_Toc48818026"/>
      <w:r w:rsidRPr="004E7F7B">
        <w:rPr>
          <w:rStyle w:val="Gl"/>
          <w:rFonts w:ascii="Times New Roman" w:hAnsi="Times New Roman" w:cs="Times New Roman"/>
          <w:b/>
          <w:bCs w:val="0"/>
        </w:rPr>
        <w:t xml:space="preserve">Table 4.1: </w:t>
      </w:r>
      <w:bookmarkEnd w:id="126"/>
      <w:bookmarkEnd w:id="127"/>
      <w:r w:rsidRPr="004E7F7B">
        <w:rPr>
          <w:rStyle w:val="Gl"/>
          <w:rFonts w:ascii="Times New Roman" w:hAnsi="Times New Roman" w:cs="Times New Roman"/>
          <w:b/>
          <w:bCs w:val="0"/>
        </w:rPr>
        <w:t>System Use and System Operation Price Caps of TEİAŞ in 20</w:t>
      </w:r>
      <w:r w:rsidR="00AA21DA" w:rsidRPr="004E7F7B">
        <w:rPr>
          <w:rStyle w:val="Gl"/>
          <w:rFonts w:ascii="Times New Roman" w:hAnsi="Times New Roman" w:cs="Times New Roman"/>
          <w:b/>
          <w:bCs w:val="0"/>
        </w:rPr>
        <w:t>20</w:t>
      </w:r>
      <w:bookmarkEnd w:id="128"/>
      <w:r w:rsidRPr="004E7F7B">
        <w:rPr>
          <w:rStyle w:val="Gl"/>
          <w:rFonts w:ascii="Times New Roman" w:hAnsi="Times New Roman" w:cs="Times New Roman"/>
          <w:b/>
          <w:bCs w:val="0"/>
        </w:rPr>
        <w:t xml:space="preserve"> </w:t>
      </w:r>
    </w:p>
    <w:tbl>
      <w:tblPr>
        <w:tblW w:w="5000" w:type="pct"/>
        <w:jc w:val="center"/>
        <w:tblCellMar>
          <w:left w:w="70" w:type="dxa"/>
          <w:right w:w="70" w:type="dxa"/>
        </w:tblCellMar>
        <w:tblLook w:val="04A0" w:firstRow="1" w:lastRow="0" w:firstColumn="1" w:lastColumn="0" w:noHBand="0" w:noVBand="1"/>
      </w:tblPr>
      <w:tblGrid>
        <w:gridCol w:w="5494"/>
        <w:gridCol w:w="2026"/>
        <w:gridCol w:w="2026"/>
      </w:tblGrid>
      <w:tr w:rsidR="00FE7FEB" w:rsidRPr="004E7F7B" w:rsidTr="00D816E6">
        <w:trPr>
          <w:trHeight w:val="522"/>
          <w:jc w:val="center"/>
        </w:trPr>
        <w:tc>
          <w:tcPr>
            <w:tcW w:w="2878" w:type="pct"/>
            <w:tcBorders>
              <w:top w:val="nil"/>
              <w:left w:val="nil"/>
              <w:bottom w:val="single" w:sz="4" w:space="0" w:color="D9D9D9" w:themeColor="background1" w:themeShade="D9"/>
              <w:right w:val="single" w:sz="4" w:space="0" w:color="D9D9D9" w:themeColor="background1" w:themeShade="D9"/>
            </w:tcBorders>
            <w:noWrap/>
            <w:vAlign w:val="center"/>
            <w:hideMark/>
          </w:tcPr>
          <w:p w:rsidR="00FE7FEB" w:rsidRPr="004E7F7B" w:rsidRDefault="00FE7FEB" w:rsidP="004E7F7B">
            <w:pPr>
              <w:rPr>
                <w:rStyle w:val="Gl"/>
                <w:rFonts w:ascii="Times New Roman" w:hAnsi="Times New Roman" w:cs="Times New Roman"/>
              </w:rPr>
            </w:pP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System Use</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System Operation</w:t>
            </w:r>
          </w:p>
        </w:tc>
      </w:tr>
      <w:tr w:rsidR="00FE7FEB" w:rsidRPr="004E7F7B" w:rsidTr="00D816E6">
        <w:trPr>
          <w:trHeight w:val="645"/>
          <w:jc w:val="center"/>
        </w:trPr>
        <w:tc>
          <w:tcPr>
            <w:tcW w:w="287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AA21DA"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2020</w:t>
            </w:r>
            <w:r w:rsidR="00FE7FEB" w:rsidRPr="004E7F7B">
              <w:rPr>
                <w:rFonts w:ascii="Times New Roman" w:eastAsia="Times New Roman" w:hAnsi="Times New Roman" w:cs="Times New Roman"/>
                <w:b/>
                <w:bCs/>
                <w:lang w:eastAsia="tr-TR"/>
              </w:rPr>
              <w:t xml:space="preserve"> Price Cap (CPI=</w:t>
            </w:r>
            <w:r w:rsidRPr="004E7F7B">
              <w:rPr>
                <w:rFonts w:ascii="Times New Roman" w:eastAsia="Times New Roman" w:hAnsi="Times New Roman" w:cs="Times New Roman"/>
                <w:b/>
                <w:bCs/>
                <w:lang w:eastAsia="tr-TR"/>
              </w:rPr>
              <w:t>435,59</w:t>
            </w:r>
            <w:r w:rsidR="00FE7FEB" w:rsidRPr="004E7F7B">
              <w:rPr>
                <w:rFonts w:ascii="Times New Roman" w:eastAsia="Times New Roman" w:hAnsi="Times New Roman" w:cs="Times New Roman"/>
                <w:b/>
                <w:bCs/>
                <w:lang w:eastAsia="tr-TR"/>
              </w:rPr>
              <w:t xml:space="preserve"> TL)</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4E7F7B" w:rsidRDefault="00AA21DA"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13.445.933.259</w:t>
            </w:r>
          </w:p>
        </w:tc>
        <w:tc>
          <w:tcPr>
            <w:tcW w:w="10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E7FEB" w:rsidRPr="004E7F7B" w:rsidRDefault="00AA21DA"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1.563.939</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153</w:t>
            </w:r>
          </w:p>
        </w:tc>
      </w:tr>
    </w:tbl>
    <w:p w:rsidR="00FE7FEB" w:rsidRPr="004E7F7B" w:rsidRDefault="00FE7FEB" w:rsidP="00C51FE5">
      <w:r w:rsidRPr="004E7F7B">
        <w:rPr>
          <w:color w:val="000000" w:themeColor="text1"/>
        </w:rPr>
        <w:t xml:space="preserve">With the Board Decision dated </w:t>
      </w:r>
      <w:r w:rsidR="00AA21DA" w:rsidRPr="004E7F7B">
        <w:t>26.12.2019</w:t>
      </w:r>
      <w:r w:rsidRPr="004E7F7B">
        <w:rPr>
          <w:color w:val="000000" w:themeColor="text1"/>
        </w:rPr>
        <w:t xml:space="preserve"> and numbered </w:t>
      </w:r>
      <w:r w:rsidR="00AA21DA" w:rsidRPr="004E7F7B">
        <w:t>9033</w:t>
      </w:r>
      <w:r w:rsidRPr="004E7F7B">
        <w:rPr>
          <w:color w:val="000000" w:themeColor="text1"/>
        </w:rPr>
        <w:t xml:space="preserve"> published in the Offcial Gazette dated 2</w:t>
      </w:r>
      <w:r w:rsidR="00AA21DA" w:rsidRPr="004E7F7B">
        <w:rPr>
          <w:color w:val="000000" w:themeColor="text1"/>
        </w:rPr>
        <w:t>9.12.2019</w:t>
      </w:r>
      <w:r w:rsidRPr="004E7F7B">
        <w:rPr>
          <w:color w:val="000000" w:themeColor="text1"/>
        </w:rPr>
        <w:t xml:space="preserve"> </w:t>
      </w:r>
      <w:r w:rsidRPr="004E7F7B">
        <w:t xml:space="preserve">and bis numbered </w:t>
      </w:r>
      <w:r w:rsidR="00AA21DA" w:rsidRPr="004E7F7B">
        <w:t>30993</w:t>
      </w:r>
      <w:r w:rsidRPr="004E7F7B">
        <w:t>, transmission system system use and system operation prices of TEİAŞ to be applicable as of 01/01/2019 were determined as follows based on 14 regions as per the Methodology Notification on Calculation and Implementation of the System Use and System Operation Tariffs for generators and consumers;</w:t>
      </w:r>
    </w:p>
    <w:p w:rsidR="00FE7FEB" w:rsidRPr="004E7F7B" w:rsidRDefault="00FE7FEB" w:rsidP="004E7F7B">
      <w:pPr>
        <w:pStyle w:val="Balk5"/>
        <w:jc w:val="both"/>
        <w:rPr>
          <w:rFonts w:ascii="Times New Roman" w:hAnsi="Times New Roman" w:cs="Times New Roman"/>
        </w:rPr>
      </w:pPr>
      <w:bookmarkStart w:id="129" w:name="_Toc416447595"/>
      <w:bookmarkStart w:id="130" w:name="_Toc442441743"/>
      <w:bookmarkStart w:id="131" w:name="_Toc505346173"/>
      <w:bookmarkStart w:id="132" w:name="_Toc512874139"/>
      <w:bookmarkStart w:id="133" w:name="_Toc48818027"/>
      <w:r w:rsidRPr="004E7F7B">
        <w:rPr>
          <w:rStyle w:val="Gl"/>
          <w:rFonts w:ascii="Times New Roman" w:hAnsi="Times New Roman" w:cs="Times New Roman"/>
          <w:b/>
          <w:bCs w:val="0"/>
        </w:rPr>
        <w:t>Table 4.2: Transmission System Use and System Operation Tariffs</w:t>
      </w:r>
      <w:bookmarkEnd w:id="129"/>
      <w:bookmarkEnd w:id="130"/>
      <w:bookmarkEnd w:id="131"/>
      <w:bookmarkEnd w:id="132"/>
      <w:bookmarkEnd w:id="13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00"/>
        <w:gridCol w:w="1463"/>
        <w:gridCol w:w="1363"/>
        <w:gridCol w:w="1363"/>
        <w:gridCol w:w="1831"/>
        <w:gridCol w:w="1363"/>
        <w:gridCol w:w="1363"/>
      </w:tblGrid>
      <w:tr w:rsidR="00FE7FEB" w:rsidRPr="004E7F7B" w:rsidTr="005E19DA">
        <w:trPr>
          <w:trHeight w:val="20"/>
        </w:trPr>
        <w:tc>
          <w:tcPr>
            <w:tcW w:w="433"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hAnsi="Times New Roman" w:cs="Times New Roman"/>
                <w:b/>
                <w:color w:val="FFFFFF" w:themeColor="background1"/>
              </w:rPr>
              <w:t>Region</w:t>
            </w:r>
          </w:p>
        </w:tc>
        <w:tc>
          <w:tcPr>
            <w:tcW w:w="21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Generation</w:t>
            </w:r>
            <w:r w:rsidRPr="004E7F7B">
              <w:rPr>
                <w:rFonts w:ascii="Times New Roman" w:hAnsi="Times New Roman" w:cs="Times New Roman"/>
                <w:b/>
                <w:color w:val="FFFFFF" w:themeColor="background1"/>
                <w:vertAlign w:val="superscript"/>
              </w:rPr>
              <w:t>(1)</w:t>
            </w:r>
          </w:p>
        </w:tc>
        <w:tc>
          <w:tcPr>
            <w:tcW w:w="2374"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Consumption</w:t>
            </w:r>
            <w:r w:rsidRPr="004E7F7B">
              <w:rPr>
                <w:rFonts w:ascii="Times New Roman" w:eastAsia="Times New Roman" w:hAnsi="Times New Roman" w:cs="Times New Roman"/>
                <w:b/>
                <w:bCs/>
                <w:color w:val="000000"/>
                <w:vertAlign w:val="superscript"/>
                <w:lang w:eastAsia="tr-TR"/>
              </w:rPr>
              <w:t xml:space="preserve"> (1)</w:t>
            </w:r>
          </w:p>
        </w:tc>
      </w:tr>
      <w:tr w:rsidR="00FE7FEB" w:rsidRPr="004E7F7B" w:rsidTr="005E19DA">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1493"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Use of System</w:t>
            </w:r>
            <w:r w:rsidRPr="004E7F7B">
              <w:rPr>
                <w:rFonts w:ascii="Times New Roman" w:eastAsia="Times New Roman" w:hAnsi="Times New Roman" w:cs="Times New Roman"/>
                <w:b/>
                <w:bCs/>
                <w:color w:val="FFFFFF" w:themeColor="background1"/>
                <w:vertAlign w:val="superscript"/>
                <w:lang w:eastAsia="tr-TR"/>
              </w:rPr>
              <w:t xml:space="preserve"> </w:t>
            </w:r>
            <w:r w:rsidRPr="004E7F7B">
              <w:rPr>
                <w:rFonts w:ascii="Times New Roman" w:eastAsia="Times New Roman" w:hAnsi="Times New Roman" w:cs="Times New Roman"/>
                <w:b/>
                <w:bCs/>
                <w:color w:val="000000"/>
                <w:vertAlign w:val="superscript"/>
                <w:lang w:eastAsia="tr-TR"/>
              </w:rPr>
              <w:t>(2)</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System Operation</w:t>
            </w:r>
          </w:p>
        </w:tc>
        <w:tc>
          <w:tcPr>
            <w:tcW w:w="167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vertAlign w:val="superscript"/>
                <w:lang w:eastAsia="tr-TR"/>
              </w:rPr>
            </w:pPr>
            <w:r w:rsidRPr="004E7F7B">
              <w:rPr>
                <w:rFonts w:ascii="Times New Roman" w:hAnsi="Times New Roman" w:cs="Times New Roman"/>
                <w:b/>
                <w:color w:val="FFFFFF" w:themeColor="background1"/>
              </w:rPr>
              <w:t>Use of System</w:t>
            </w:r>
            <w:r w:rsidRPr="004E7F7B">
              <w:rPr>
                <w:rFonts w:ascii="Times New Roman" w:eastAsia="Times New Roman" w:hAnsi="Times New Roman" w:cs="Times New Roman"/>
                <w:b/>
                <w:bCs/>
                <w:color w:val="FFFFFF" w:themeColor="background1"/>
                <w:vertAlign w:val="superscript"/>
                <w:lang w:eastAsia="tr-TR"/>
              </w:rPr>
              <w:t xml:space="preserve"> </w:t>
            </w:r>
            <w:r w:rsidRPr="004E7F7B">
              <w:rPr>
                <w:rFonts w:ascii="Times New Roman" w:eastAsia="Times New Roman" w:hAnsi="Times New Roman" w:cs="Times New Roman"/>
                <w:b/>
                <w:bCs/>
                <w:vertAlign w:val="superscript"/>
                <w:lang w:eastAsia="tr-TR"/>
              </w:rPr>
              <w:t>(2)</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System Operation</w:t>
            </w:r>
          </w:p>
        </w:tc>
      </w:tr>
      <w:tr w:rsidR="00FE7FEB" w:rsidRPr="004E7F7B" w:rsidTr="005E19DA">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hAnsi="Times New Roman" w:cs="Times New Roman"/>
                <w:b/>
                <w:color w:val="FFFFFF" w:themeColor="background1"/>
              </w:rPr>
              <w:t>(TRY/MW-y)</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w:t>
            </w:r>
            <w:r w:rsidRPr="004E7F7B">
              <w:rPr>
                <w:rFonts w:ascii="Times New Roman" w:hAnsi="Times New Roman" w:cs="Times New Roman"/>
                <w:b/>
                <w:color w:val="FFFFFF" w:themeColor="background1"/>
              </w:rPr>
              <w:t>TRY/MWh</w:t>
            </w:r>
            <w:r w:rsidRPr="004E7F7B">
              <w:rPr>
                <w:rFonts w:ascii="Times New Roman" w:eastAsia="Times New Roman" w:hAnsi="Times New Roman" w:cs="Times New Roman"/>
                <w:b/>
                <w:bCs/>
                <w:color w:val="FFFFFF"/>
                <w:lang w:eastAsia="tr-TR"/>
              </w:rPr>
              <w:t>)</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w:t>
            </w:r>
            <w:r w:rsidRPr="004E7F7B">
              <w:rPr>
                <w:rFonts w:ascii="Times New Roman" w:hAnsi="Times New Roman" w:cs="Times New Roman"/>
                <w:b/>
                <w:color w:val="FFFFFF" w:themeColor="background1"/>
              </w:rPr>
              <w:t>TRY/MWh</w:t>
            </w:r>
            <w:r w:rsidRPr="004E7F7B">
              <w:rPr>
                <w:rFonts w:ascii="Times New Roman" w:eastAsia="Times New Roman" w:hAnsi="Times New Roman" w:cs="Times New Roman"/>
                <w:b/>
                <w:bCs/>
                <w:color w:val="FFFFFF"/>
                <w:lang w:eastAsia="tr-TR"/>
              </w:rPr>
              <w:t>)</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w:t>
            </w:r>
            <w:r w:rsidRPr="004E7F7B">
              <w:rPr>
                <w:rFonts w:ascii="Times New Roman" w:hAnsi="Times New Roman" w:cs="Times New Roman"/>
                <w:b/>
                <w:color w:val="FFFFFF" w:themeColor="background1"/>
              </w:rPr>
              <w:t>TRY/MW-y</w:t>
            </w:r>
            <w:r w:rsidRPr="004E7F7B">
              <w:rPr>
                <w:rFonts w:ascii="Times New Roman" w:eastAsia="Times New Roman" w:hAnsi="Times New Roman" w:cs="Times New Roman"/>
                <w:b/>
                <w:bCs/>
                <w:color w:val="FFFFFF"/>
                <w:lang w:eastAsia="tr-TR"/>
              </w:rPr>
              <w:t>)</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w:t>
            </w:r>
            <w:r w:rsidRPr="004E7F7B">
              <w:rPr>
                <w:rFonts w:ascii="Times New Roman" w:hAnsi="Times New Roman" w:cs="Times New Roman"/>
                <w:b/>
                <w:color w:val="FFFFFF" w:themeColor="background1"/>
              </w:rPr>
              <w:t>TRY/MWh</w:t>
            </w:r>
            <w:r w:rsidRPr="004E7F7B">
              <w:rPr>
                <w:rFonts w:ascii="Times New Roman" w:eastAsia="Times New Roman" w:hAnsi="Times New Roman" w:cs="Times New Roman"/>
                <w:b/>
                <w:bCs/>
                <w:color w:val="FFFFFF"/>
                <w:lang w:eastAsia="tr-TR"/>
              </w:rPr>
              <w:t>)</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w:t>
            </w:r>
            <w:r w:rsidRPr="004E7F7B">
              <w:rPr>
                <w:rFonts w:ascii="Times New Roman" w:hAnsi="Times New Roman" w:cs="Times New Roman"/>
                <w:b/>
                <w:color w:val="FFFFFF" w:themeColor="background1"/>
              </w:rPr>
              <w:t>TRY/MWh</w:t>
            </w:r>
            <w:r w:rsidRPr="004E7F7B">
              <w:rPr>
                <w:rFonts w:ascii="Times New Roman" w:eastAsia="Times New Roman" w:hAnsi="Times New Roman" w:cs="Times New Roman"/>
                <w:b/>
                <w:bCs/>
                <w:color w:val="FFFFFF"/>
                <w:lang w:eastAsia="tr-TR"/>
              </w:rPr>
              <w:t>)</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42.584,67</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77.273,93</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46.426,15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75.075,78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46.580,18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75.232,63</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47.456,55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74.447,85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49.520,20</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73.278,88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52.038,40</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71.322,42</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52.337,00</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69.586,73</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57.648,50</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67.503,45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59.913,41</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65.224,28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66.528,63</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62.136,74</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70.072,82</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59,794,51</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12</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73.067,59</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57.677,28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76.199,53</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56.198,84</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r w:rsidR="00A563B4" w:rsidRPr="004E7F7B" w:rsidTr="005E19DA">
        <w:trPr>
          <w:trHeight w:val="20"/>
        </w:trPr>
        <w:tc>
          <w:tcPr>
            <w:tcW w:w="4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14</w:t>
            </w:r>
          </w:p>
        </w:tc>
        <w:tc>
          <w:tcPr>
            <w:tcW w:w="7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81.736,38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9,93</w:t>
            </w:r>
          </w:p>
        </w:tc>
        <w:tc>
          <w:tcPr>
            <w:tcW w:w="6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3,10</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51.788,78</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8,75</w:t>
            </w:r>
          </w:p>
        </w:tc>
        <w:tc>
          <w:tcPr>
            <w:tcW w:w="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563B4" w:rsidRPr="004E7F7B" w:rsidRDefault="00A563B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3,08</w:t>
            </w:r>
          </w:p>
        </w:tc>
      </w:tr>
    </w:tbl>
    <w:p w:rsidR="00FE7FEB" w:rsidRPr="004E7F7B" w:rsidRDefault="00FE7FEB" w:rsidP="007B4A7D">
      <w:pPr>
        <w:pStyle w:val="ListeParagraf"/>
        <w:numPr>
          <w:ilvl w:val="0"/>
          <w:numId w:val="8"/>
        </w:numPr>
        <w:spacing w:after="200" w:line="276" w:lineRule="auto"/>
        <w:rPr>
          <w:rFonts w:ascii="Times New Roman" w:hAnsi="Times New Roman" w:cs="Times New Roman"/>
        </w:rPr>
      </w:pPr>
      <w:r w:rsidRPr="004E7F7B">
        <w:rPr>
          <w:rFonts w:ascii="Times New Roman" w:hAnsi="Times New Roman" w:cs="Times New Roman"/>
        </w:rPr>
        <w:t>Transmission surcharge is not included.</w:t>
      </w:r>
    </w:p>
    <w:p w:rsidR="00FE7FEB" w:rsidRPr="004E7F7B" w:rsidRDefault="00FE7FEB" w:rsidP="007B4A7D">
      <w:pPr>
        <w:pStyle w:val="ListeParagraf"/>
        <w:numPr>
          <w:ilvl w:val="0"/>
          <w:numId w:val="8"/>
        </w:numPr>
        <w:spacing w:after="200" w:line="276" w:lineRule="auto"/>
        <w:rPr>
          <w:rFonts w:ascii="Times New Roman" w:hAnsi="Times New Roman" w:cs="Times New Roman"/>
        </w:rPr>
      </w:pPr>
      <w:r w:rsidRPr="004E7F7B">
        <w:rPr>
          <w:rFonts w:ascii="Times New Roman" w:hAnsi="Times New Roman" w:cs="Times New Roman"/>
        </w:rPr>
        <w:t xml:space="preserve">Applied in half to generation facilities subject to Provisional Article 4 the EML numbered 6446. </w:t>
      </w:r>
    </w:p>
    <w:p w:rsidR="00FE7FEB" w:rsidRPr="004E7F7B" w:rsidRDefault="00FE7FEB" w:rsidP="004E7F7B">
      <w:pPr>
        <w:rPr>
          <w:rFonts w:ascii="Times New Roman" w:hAnsi="Times New Roman" w:cs="Times New Roman"/>
        </w:rPr>
      </w:pPr>
    </w:p>
    <w:p w:rsidR="00FE7FEB" w:rsidRPr="004E7F7B" w:rsidRDefault="00A563B4" w:rsidP="004E7F7B">
      <w:pPr>
        <w:pStyle w:val="Balk4"/>
        <w:rPr>
          <w:rFonts w:ascii="Times New Roman" w:hAnsi="Times New Roman" w:cs="Times New Roman"/>
          <w:sz w:val="22"/>
        </w:rPr>
      </w:pPr>
      <w:r w:rsidRPr="004E7F7B">
        <w:rPr>
          <w:rFonts w:ascii="Times New Roman" w:hAnsi="Times New Roman" w:cs="Times New Roman"/>
          <w:sz w:val="22"/>
        </w:rPr>
        <w:t>4.1.1.1</w:t>
      </w:r>
      <w:r w:rsidR="00FE7FEB" w:rsidRPr="004E7F7B">
        <w:rPr>
          <w:rFonts w:ascii="Times New Roman" w:hAnsi="Times New Roman" w:cs="Times New Roman"/>
          <w:sz w:val="22"/>
        </w:rPr>
        <w:t>.Transmission Surcharge</w:t>
      </w:r>
    </w:p>
    <w:p w:rsidR="00FE7FEB" w:rsidRPr="004E7F7B" w:rsidRDefault="00FE7FEB" w:rsidP="00C51FE5">
      <w:bookmarkStart w:id="134" w:name="_top"/>
      <w:bookmarkEnd w:id="134"/>
      <w:r w:rsidRPr="004E7F7B">
        <w:t xml:space="preserve">With the Board Decision dated </w:t>
      </w:r>
      <w:r w:rsidR="00A563B4" w:rsidRPr="004E7F7B">
        <w:t>26.09.2019</w:t>
      </w:r>
      <w:r w:rsidRPr="004E7F7B">
        <w:t xml:space="preserve"> and numbered </w:t>
      </w:r>
      <w:r w:rsidR="00A563B4" w:rsidRPr="004E7F7B">
        <w:t>8854</w:t>
      </w:r>
      <w:r w:rsidRPr="004E7F7B">
        <w:t xml:space="preserve"> published in the Official Gazette dated </w:t>
      </w:r>
      <w:r w:rsidR="00A563B4" w:rsidRPr="004E7F7B">
        <w:t>01.10.2019</w:t>
      </w:r>
      <w:r w:rsidRPr="004E7F7B">
        <w:t xml:space="preserve"> dated</w:t>
      </w:r>
      <w:r w:rsidR="00A563B4" w:rsidRPr="004E7F7B">
        <w:t xml:space="preserve"> and numbered 30905</w:t>
      </w:r>
      <w:r w:rsidRPr="004E7F7B">
        <w:t>, the transmission</w:t>
      </w:r>
      <w:r w:rsidR="00A563B4" w:rsidRPr="004E7F7B">
        <w:t xml:space="preserve"> surcharge to be applied in 2020</w:t>
      </w:r>
      <w:r w:rsidRPr="004E7F7B">
        <w:t xml:space="preserve"> as per the clause (h) of the paragraph seven of Art. 5 and the caluse (e) of the paragraph(1-A) of Art. 10 of Law No: 4628, was determined as 0,5% of TEİAŞ’s transmission tariff.</w:t>
      </w:r>
    </w:p>
    <w:p w:rsidR="00FE7FEB" w:rsidRPr="004E7F7B" w:rsidRDefault="00FE7FEB" w:rsidP="004E7F7B">
      <w:pPr>
        <w:pStyle w:val="Balk3"/>
        <w:rPr>
          <w:rFonts w:ascii="Times New Roman" w:hAnsi="Times New Roman" w:cs="Times New Roman"/>
          <w:sz w:val="22"/>
          <w:szCs w:val="22"/>
        </w:rPr>
      </w:pPr>
      <w:bookmarkStart w:id="135" w:name="_Toc442431269"/>
      <w:bookmarkStart w:id="136" w:name="_Toc505346066"/>
      <w:bookmarkStart w:id="137" w:name="_Toc514251647"/>
      <w:bookmarkStart w:id="138" w:name="_Toc48817855"/>
      <w:r w:rsidRPr="004E7F7B">
        <w:rPr>
          <w:rFonts w:ascii="Times New Roman" w:hAnsi="Times New Roman" w:cs="Times New Roman"/>
          <w:sz w:val="22"/>
          <w:szCs w:val="22"/>
        </w:rPr>
        <w:t>4.1.2.Distribution and Wholesale Tariffs</w:t>
      </w:r>
      <w:bookmarkEnd w:id="135"/>
      <w:bookmarkEnd w:id="136"/>
      <w:bookmarkEnd w:id="137"/>
      <w:bookmarkEnd w:id="138"/>
    </w:p>
    <w:p w:rsidR="00FE7FEB" w:rsidRPr="004E7F7B" w:rsidRDefault="00FE7FEB" w:rsidP="00C51FE5">
      <w:r w:rsidRPr="004E7F7B">
        <w:t>Distribution companies, distribution system users and general lighting sub-subscriber group consumers; for non-eligible consumers and low-consumption consumers defined in the Communiqué on the Regulation of the Last Source Supply Tariff published in the Official Gazette dated 20.01.2018 and numbered 30307</w:t>
      </w:r>
      <w:r w:rsidR="00040BE7" w:rsidRPr="004E7F7B">
        <w:t>, for each tariff period of 2019</w:t>
      </w:r>
      <w:r w:rsidRPr="004E7F7B">
        <w:t xml:space="preserve"> and the first tariff period</w:t>
      </w:r>
      <w:r w:rsidR="00040BE7" w:rsidRPr="004E7F7B">
        <w:t xml:space="preserve"> of 2020</w:t>
      </w:r>
      <w:r w:rsidRPr="004E7F7B">
        <w:t xml:space="preserve"> The Board Decisions regarding the approval of the applicable tari</w:t>
      </w:r>
      <w:r w:rsidR="00040BE7" w:rsidRPr="004E7F7B">
        <w:t>ff tables are shown in Table 4.3</w:t>
      </w:r>
      <w:r w:rsidRPr="004E7F7B">
        <w:t>.</w:t>
      </w:r>
    </w:p>
    <w:p w:rsidR="00FE7FEB" w:rsidRPr="004E7F7B" w:rsidRDefault="00040BE7" w:rsidP="004E7F7B">
      <w:pPr>
        <w:pStyle w:val="Balk5"/>
        <w:jc w:val="both"/>
        <w:rPr>
          <w:rFonts w:ascii="Times New Roman" w:hAnsi="Times New Roman" w:cs="Times New Roman"/>
        </w:rPr>
      </w:pPr>
      <w:bookmarkStart w:id="139" w:name="_Toc48818028"/>
      <w:r w:rsidRPr="004E7F7B">
        <w:rPr>
          <w:rStyle w:val="Gl"/>
          <w:rFonts w:ascii="Times New Roman" w:hAnsi="Times New Roman" w:cs="Times New Roman"/>
          <w:b/>
          <w:bCs w:val="0"/>
        </w:rPr>
        <w:t>Table 4.3</w:t>
      </w:r>
      <w:r w:rsidR="00FE7FEB" w:rsidRPr="004E7F7B">
        <w:rPr>
          <w:rStyle w:val="Gl"/>
          <w:rFonts w:ascii="Times New Roman" w:hAnsi="Times New Roman" w:cs="Times New Roman"/>
          <w:b/>
          <w:bCs w:val="0"/>
        </w:rPr>
        <w:t>: Board Decisions on Distribution Assigned Supplier Companies’ Tariff Tables</w:t>
      </w:r>
      <w:bookmarkEnd w:id="139"/>
    </w:p>
    <w:tbl>
      <w:tblPr>
        <w:tblW w:w="1009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496"/>
        <w:gridCol w:w="1648"/>
        <w:gridCol w:w="1985"/>
        <w:gridCol w:w="3969"/>
      </w:tblGrid>
      <w:tr w:rsidR="00FE7FEB"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5465A" w:rsidRDefault="00FE7FEB" w:rsidP="004E7F7B">
            <w:pPr>
              <w:spacing w:after="0" w:line="240" w:lineRule="auto"/>
              <w:rPr>
                <w:rFonts w:ascii="Times New Roman" w:hAnsi="Times New Roman" w:cs="Times New Roman"/>
                <w:b/>
                <w:bCs/>
                <w:color w:val="FFFFFF" w:themeColor="background1"/>
                <w:sz w:val="20"/>
                <w:szCs w:val="20"/>
                <w:lang w:val="tr-TR"/>
              </w:rPr>
            </w:pPr>
            <w:r w:rsidRPr="0095465A">
              <w:rPr>
                <w:rFonts w:ascii="Times New Roman" w:hAnsi="Times New Roman" w:cs="Times New Roman"/>
                <w:b/>
                <w:bCs/>
                <w:color w:val="FFFFFF" w:themeColor="background1"/>
                <w:sz w:val="20"/>
                <w:szCs w:val="20"/>
              </w:rPr>
              <w:t>Date of Board Decision</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5465A" w:rsidRDefault="00FE7FEB" w:rsidP="004E7F7B">
            <w:pPr>
              <w:spacing w:after="0" w:line="240" w:lineRule="auto"/>
              <w:rPr>
                <w:rFonts w:ascii="Times New Roman" w:hAnsi="Times New Roman" w:cs="Times New Roman"/>
                <w:b/>
                <w:bCs/>
                <w:color w:val="FFFFFF" w:themeColor="background1"/>
                <w:sz w:val="20"/>
                <w:szCs w:val="20"/>
              </w:rPr>
            </w:pPr>
            <w:r w:rsidRPr="0095465A">
              <w:rPr>
                <w:rFonts w:ascii="Times New Roman" w:hAnsi="Times New Roman" w:cs="Times New Roman"/>
                <w:b/>
                <w:bCs/>
                <w:color w:val="FFFFFF" w:themeColor="background1"/>
                <w:sz w:val="20"/>
                <w:szCs w:val="20"/>
              </w:rPr>
              <w:t>No of Board Decision</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5465A" w:rsidRDefault="00FE7FEB" w:rsidP="004E7F7B">
            <w:pPr>
              <w:spacing w:after="0" w:line="240" w:lineRule="auto"/>
              <w:rPr>
                <w:rFonts w:ascii="Times New Roman" w:hAnsi="Times New Roman" w:cs="Times New Roman"/>
                <w:b/>
                <w:bCs/>
                <w:color w:val="FFFFFF" w:themeColor="background1"/>
                <w:sz w:val="20"/>
                <w:szCs w:val="20"/>
              </w:rPr>
            </w:pPr>
            <w:r w:rsidRPr="0095465A">
              <w:rPr>
                <w:rFonts w:ascii="Times New Roman" w:hAnsi="Times New Roman" w:cs="Times New Roman"/>
                <w:b/>
                <w:bCs/>
                <w:color w:val="FFFFFF" w:themeColor="background1"/>
                <w:sz w:val="20"/>
                <w:szCs w:val="20"/>
              </w:rPr>
              <w:t>Effectiveness date</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5465A" w:rsidRDefault="00FE7FEB" w:rsidP="004E7F7B">
            <w:pPr>
              <w:spacing w:after="0" w:line="240" w:lineRule="auto"/>
              <w:rPr>
                <w:rFonts w:ascii="Times New Roman" w:hAnsi="Times New Roman" w:cs="Times New Roman"/>
                <w:b/>
                <w:bCs/>
                <w:color w:val="FFFFFF" w:themeColor="background1"/>
                <w:sz w:val="20"/>
                <w:szCs w:val="20"/>
              </w:rPr>
            </w:pPr>
            <w:r w:rsidRPr="0095465A">
              <w:rPr>
                <w:rFonts w:ascii="Times New Roman" w:hAnsi="Times New Roman" w:cs="Times New Roman"/>
                <w:b/>
                <w:bCs/>
                <w:color w:val="FFFFFF" w:themeColor="background1"/>
                <w:sz w:val="20"/>
                <w:szCs w:val="20"/>
              </w:rPr>
              <w:t>Date and number of the Official Gazette</w:t>
            </w:r>
          </w:p>
        </w:tc>
      </w:tr>
      <w:tr w:rsidR="00040BE7"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27.12.2018</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8358</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01.01.2019</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bCs/>
                <w:color w:val="000000" w:themeColor="text1"/>
                <w:sz w:val="20"/>
                <w:szCs w:val="20"/>
              </w:rPr>
            </w:pPr>
            <w:r w:rsidRPr="0095465A">
              <w:rPr>
                <w:rFonts w:ascii="Times New Roman" w:hAnsi="Times New Roman" w:cs="Times New Roman"/>
                <w:bCs/>
                <w:color w:val="000000" w:themeColor="text1"/>
                <w:sz w:val="20"/>
                <w:szCs w:val="20"/>
              </w:rPr>
              <w:t>29.12.2018-</w:t>
            </w:r>
            <w:r w:rsidRPr="0095465A">
              <w:rPr>
                <w:rFonts w:ascii="Times New Roman" w:hAnsi="Times New Roman" w:cs="Times New Roman"/>
                <w:sz w:val="20"/>
                <w:szCs w:val="20"/>
              </w:rPr>
              <w:t>30640</w:t>
            </w:r>
            <w:r w:rsidRPr="0095465A" w:rsidDel="00CC5AD2">
              <w:rPr>
                <w:rFonts w:ascii="Times New Roman" w:hAnsi="Times New Roman" w:cs="Times New Roman"/>
                <w:bCs/>
                <w:color w:val="000000" w:themeColor="text1"/>
                <w:sz w:val="20"/>
                <w:szCs w:val="20"/>
              </w:rPr>
              <w:t xml:space="preserve"> </w:t>
            </w:r>
          </w:p>
        </w:tc>
      </w:tr>
      <w:tr w:rsidR="00040BE7"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27.03.2019</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8518</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01.04.2019</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01.04.2019-</w:t>
            </w:r>
            <w:r w:rsidRPr="0095465A">
              <w:rPr>
                <w:rFonts w:ascii="Times New Roman" w:hAnsi="Times New Roman" w:cs="Times New Roman"/>
                <w:color w:val="212529"/>
                <w:sz w:val="20"/>
                <w:szCs w:val="20"/>
              </w:rPr>
              <w:t>30732</w:t>
            </w:r>
          </w:p>
        </w:tc>
      </w:tr>
      <w:tr w:rsidR="00040BE7"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27.06.2019</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8689</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01.07.2019</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29.06.2019-</w:t>
            </w:r>
            <w:r w:rsidRPr="0095465A">
              <w:rPr>
                <w:rFonts w:ascii="Times New Roman" w:hAnsi="Times New Roman" w:cs="Times New Roman"/>
                <w:color w:val="212529"/>
                <w:sz w:val="20"/>
                <w:szCs w:val="20"/>
              </w:rPr>
              <w:t>30816</w:t>
            </w:r>
          </w:p>
        </w:tc>
      </w:tr>
      <w:tr w:rsidR="00040BE7"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30.09.2019</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8864</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01.10.2019</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bCs/>
                <w:color w:val="000000" w:themeColor="text1"/>
                <w:sz w:val="20"/>
                <w:szCs w:val="20"/>
              </w:rPr>
            </w:pPr>
            <w:r w:rsidRPr="0095465A">
              <w:rPr>
                <w:rFonts w:ascii="Times New Roman" w:hAnsi="Times New Roman" w:cs="Times New Roman"/>
                <w:bCs/>
                <w:color w:val="000000" w:themeColor="text1"/>
                <w:sz w:val="20"/>
                <w:szCs w:val="20"/>
              </w:rPr>
              <w:t>01.10.2019-</w:t>
            </w:r>
            <w:r w:rsidRPr="0095465A">
              <w:rPr>
                <w:rFonts w:ascii="Times New Roman" w:hAnsi="Times New Roman" w:cs="Times New Roman"/>
                <w:color w:val="212529"/>
                <w:sz w:val="20"/>
                <w:szCs w:val="20"/>
              </w:rPr>
              <w:t>30905</w:t>
            </w:r>
          </w:p>
        </w:tc>
      </w:tr>
      <w:tr w:rsidR="00040BE7" w:rsidRPr="0095465A" w:rsidTr="0095465A">
        <w:trPr>
          <w:trHeight w:val="20"/>
          <w:jc w:val="center"/>
        </w:trPr>
        <w:tc>
          <w:tcPr>
            <w:tcW w:w="24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26.12.2019</w:t>
            </w:r>
          </w:p>
        </w:tc>
        <w:tc>
          <w:tcPr>
            <w:tcW w:w="164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9102</w:t>
            </w:r>
          </w:p>
        </w:tc>
        <w:tc>
          <w:tcPr>
            <w:tcW w:w="198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040BE7" w:rsidRPr="0095465A" w:rsidRDefault="00040BE7" w:rsidP="004E7F7B">
            <w:pPr>
              <w:spacing w:after="0" w:line="240" w:lineRule="auto"/>
              <w:rPr>
                <w:rFonts w:ascii="Times New Roman" w:hAnsi="Times New Roman" w:cs="Times New Roman"/>
                <w:color w:val="000000" w:themeColor="text1"/>
                <w:sz w:val="20"/>
                <w:szCs w:val="20"/>
              </w:rPr>
            </w:pPr>
            <w:r w:rsidRPr="0095465A">
              <w:rPr>
                <w:rFonts w:ascii="Times New Roman" w:hAnsi="Times New Roman" w:cs="Times New Roman"/>
                <w:color w:val="000000" w:themeColor="text1"/>
                <w:sz w:val="20"/>
                <w:szCs w:val="20"/>
              </w:rPr>
              <w:t>01.01.2020</w:t>
            </w:r>
          </w:p>
        </w:tc>
        <w:tc>
          <w:tcPr>
            <w:tcW w:w="396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040BE7" w:rsidRPr="0095465A" w:rsidRDefault="00040BE7" w:rsidP="004E7F7B">
            <w:pPr>
              <w:spacing w:after="0" w:line="240" w:lineRule="auto"/>
              <w:rPr>
                <w:rFonts w:ascii="Times New Roman" w:hAnsi="Times New Roman" w:cs="Times New Roman"/>
                <w:bCs/>
                <w:color w:val="000000" w:themeColor="text1"/>
                <w:sz w:val="20"/>
                <w:szCs w:val="20"/>
              </w:rPr>
            </w:pPr>
            <w:r w:rsidRPr="0095465A">
              <w:rPr>
                <w:rFonts w:ascii="Times New Roman" w:hAnsi="Times New Roman" w:cs="Times New Roman"/>
                <w:bCs/>
                <w:color w:val="000000" w:themeColor="text1"/>
                <w:sz w:val="20"/>
                <w:szCs w:val="20"/>
              </w:rPr>
              <w:t>28.12.2019-</w:t>
            </w:r>
            <w:r w:rsidRPr="0095465A">
              <w:rPr>
                <w:rFonts w:ascii="Times New Roman" w:hAnsi="Times New Roman" w:cs="Times New Roman"/>
                <w:color w:val="212529"/>
                <w:sz w:val="20"/>
                <w:szCs w:val="20"/>
              </w:rPr>
              <w:t>30992</w:t>
            </w:r>
          </w:p>
        </w:tc>
      </w:tr>
    </w:tbl>
    <w:p w:rsidR="00FE7FEB" w:rsidRPr="004E7F7B" w:rsidRDefault="00FE7FEB" w:rsidP="00C51FE5">
      <w:r w:rsidRPr="004E7F7B">
        <w:t>System operating income requirements and related parameters of distribution companies in the third implementation period of 2016-2020 have been revised by the Board Decisions stated in the table below.</w:t>
      </w:r>
    </w:p>
    <w:p w:rsidR="00FE7FEB" w:rsidRPr="004E7F7B" w:rsidRDefault="00040BE7" w:rsidP="004E7F7B">
      <w:pPr>
        <w:pStyle w:val="Balk5"/>
        <w:jc w:val="both"/>
        <w:rPr>
          <w:rFonts w:ascii="Times New Roman" w:hAnsi="Times New Roman" w:cs="Times New Roman"/>
        </w:rPr>
      </w:pPr>
      <w:bookmarkStart w:id="140" w:name="_Toc48818029"/>
      <w:bookmarkStart w:id="141" w:name="_Toc512874142"/>
      <w:r w:rsidRPr="004E7F7B">
        <w:rPr>
          <w:rStyle w:val="Gl"/>
          <w:rFonts w:ascii="Times New Roman" w:hAnsi="Times New Roman" w:cs="Times New Roman"/>
          <w:b/>
          <w:bCs w:val="0"/>
        </w:rPr>
        <w:t>Table 4.4</w:t>
      </w:r>
      <w:r w:rsidR="00FE7FEB" w:rsidRPr="004E7F7B">
        <w:rPr>
          <w:rStyle w:val="Gl"/>
          <w:rFonts w:ascii="Times New Roman" w:hAnsi="Times New Roman" w:cs="Times New Roman"/>
          <w:b/>
          <w:bCs w:val="0"/>
        </w:rPr>
        <w:t>: Board</w:t>
      </w:r>
      <w:r w:rsidR="003B585D" w:rsidRPr="004E7F7B">
        <w:rPr>
          <w:rStyle w:val="Gl"/>
          <w:rFonts w:ascii="Times New Roman" w:hAnsi="Times New Roman" w:cs="Times New Roman"/>
          <w:b/>
          <w:bCs w:val="0"/>
        </w:rPr>
        <w:t xml:space="preserve"> Decisions on System Operation R</w:t>
      </w:r>
      <w:r w:rsidR="00FE7FEB" w:rsidRPr="004E7F7B">
        <w:rPr>
          <w:rStyle w:val="Gl"/>
          <w:rFonts w:ascii="Times New Roman" w:hAnsi="Times New Roman" w:cs="Times New Roman"/>
          <w:b/>
          <w:bCs w:val="0"/>
        </w:rPr>
        <w:t>evenue Requirements of Distribution Companies for 2016-2020 Third Implementation Period and Revision of Related Parameters</w:t>
      </w:r>
      <w:bookmarkEnd w:id="140"/>
      <w:r w:rsidR="00FE7FEB" w:rsidRPr="004E7F7B">
        <w:rPr>
          <w:rStyle w:val="Gl"/>
          <w:rFonts w:ascii="Times New Roman" w:hAnsi="Times New Roman" w:cs="Times New Roman"/>
          <w:b/>
          <w:bCs w:val="0"/>
        </w:rPr>
        <w:t xml:space="preserve"> </w:t>
      </w:r>
      <w:bookmarkEnd w:id="14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124"/>
        <w:gridCol w:w="2296"/>
        <w:gridCol w:w="2126"/>
      </w:tblGrid>
      <w:tr w:rsidR="00FE7FEB"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val="tr-TR" w:eastAsia="tr-TR"/>
              </w:rPr>
            </w:pPr>
            <w:r w:rsidRPr="004E7F7B">
              <w:rPr>
                <w:rFonts w:ascii="Times New Roman" w:eastAsia="Times New Roman" w:hAnsi="Times New Roman" w:cs="Times New Roman"/>
                <w:b/>
                <w:color w:val="FFFFFF" w:themeColor="background1"/>
                <w:lang w:eastAsia="tr-TR"/>
              </w:rPr>
              <w:t>Distribution Company</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eastAsia="tr-TR"/>
              </w:rPr>
            </w:pPr>
            <w:r w:rsidRPr="004E7F7B">
              <w:rPr>
                <w:rFonts w:ascii="Times New Roman" w:eastAsia="Times New Roman" w:hAnsi="Times New Roman" w:cs="Times New Roman"/>
                <w:b/>
                <w:color w:val="FFFFFF" w:themeColor="background1"/>
                <w:lang w:eastAsia="tr-TR"/>
              </w:rPr>
              <w:t>Date of Board Decision</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eastAsia="tr-TR"/>
              </w:rPr>
            </w:pPr>
            <w:r w:rsidRPr="004E7F7B">
              <w:rPr>
                <w:rFonts w:ascii="Times New Roman" w:eastAsia="Times New Roman" w:hAnsi="Times New Roman" w:cs="Times New Roman"/>
                <w:b/>
                <w:color w:val="FFFFFF" w:themeColor="background1"/>
                <w:lang w:eastAsia="tr-TR"/>
              </w:rPr>
              <w:t>No of Board Decision</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ADM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9053-1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Akdeniz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9055-1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Akedaş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9054-1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Aras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9056-1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Başkent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9057-1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Boğaziçi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9058-1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Çamlıbel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9059-1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Çoruh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9060-1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Dicle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9061-1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Fırat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9062-1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GDZ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9063-1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İstanbul Anatolian Side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9064-1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Kayseri and Vicinity Electricity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9065-1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Meram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9066-1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Osmangazi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9067-1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Sakarya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9068-1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Toroslar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9069-1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Trakya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9070-1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Uludağ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9071-1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Vangölü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9072-1</w:t>
            </w:r>
          </w:p>
        </w:tc>
      </w:tr>
      <w:tr w:rsidR="00040BE7" w:rsidRPr="004E7F7B" w:rsidTr="0095465A">
        <w:trPr>
          <w:trHeight w:val="227"/>
        </w:trPr>
        <w:tc>
          <w:tcPr>
            <w:tcW w:w="275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Yeşilırmak </w:t>
            </w:r>
            <w:r w:rsidRPr="004E7F7B">
              <w:rPr>
                <w:rFonts w:ascii="Times New Roman" w:hAnsi="Times New Roman" w:cs="Times New Roman"/>
                <w:bCs/>
                <w:color w:val="000000" w:themeColor="text1"/>
              </w:rPr>
              <w:t>Electricity Distribution CO.INC.</w:t>
            </w:r>
          </w:p>
        </w:tc>
        <w:tc>
          <w:tcPr>
            <w:tcW w:w="11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26.12.2019</w:t>
            </w:r>
          </w:p>
        </w:tc>
        <w:tc>
          <w:tcPr>
            <w:tcW w:w="10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9073-1</w:t>
            </w:r>
          </w:p>
        </w:tc>
      </w:tr>
    </w:tbl>
    <w:p w:rsidR="00C51FE5" w:rsidRDefault="00C51FE5" w:rsidP="00C51FE5"/>
    <w:p w:rsidR="00FE7FEB" w:rsidRPr="004E7F7B" w:rsidRDefault="00040BE7" w:rsidP="00C51FE5">
      <w:r w:rsidRPr="004E7F7B">
        <w:t>2020</w:t>
      </w:r>
      <w:r w:rsidR="00FE7FEB" w:rsidRPr="004E7F7B">
        <w:t xml:space="preserve"> system operating income ceilings of distribution companies were approved by the Board Decisions stated in the table below.</w:t>
      </w:r>
    </w:p>
    <w:p w:rsidR="00FE7FEB" w:rsidRPr="004E7F7B" w:rsidRDefault="00FE7FEB" w:rsidP="004E7F7B">
      <w:pPr>
        <w:pStyle w:val="Balk5"/>
        <w:jc w:val="both"/>
        <w:rPr>
          <w:rFonts w:ascii="Times New Roman" w:hAnsi="Times New Roman" w:cs="Times New Roman"/>
        </w:rPr>
      </w:pPr>
      <w:bookmarkStart w:id="142" w:name="_Toc48818030"/>
      <w:r w:rsidRPr="004E7F7B">
        <w:rPr>
          <w:rStyle w:val="Gl"/>
          <w:rFonts w:ascii="Times New Roman" w:hAnsi="Times New Roman" w:cs="Times New Roman"/>
          <w:b/>
          <w:bCs w:val="0"/>
        </w:rPr>
        <w:t>Table</w:t>
      </w:r>
      <w:r w:rsidR="00040BE7" w:rsidRPr="004E7F7B">
        <w:rPr>
          <w:rStyle w:val="Gl"/>
          <w:rFonts w:ascii="Times New Roman" w:hAnsi="Times New Roman" w:cs="Times New Roman"/>
          <w:b/>
          <w:bCs w:val="0"/>
        </w:rPr>
        <w:t xml:space="preserve"> 4.5</w:t>
      </w:r>
      <w:r w:rsidRPr="004E7F7B">
        <w:rPr>
          <w:rStyle w:val="Gl"/>
          <w:rFonts w:ascii="Times New Roman" w:hAnsi="Times New Roman" w:cs="Times New Roman"/>
          <w:b/>
          <w:bCs w:val="0"/>
        </w:rPr>
        <w:t>: Board Decisions on Approval of the System Operation Revenue Caps of Distribution Companies in  20</w:t>
      </w:r>
      <w:r w:rsidR="00040BE7" w:rsidRPr="004E7F7B">
        <w:rPr>
          <w:rStyle w:val="Gl"/>
          <w:rFonts w:ascii="Times New Roman" w:hAnsi="Times New Roman" w:cs="Times New Roman"/>
          <w:b/>
          <w:bCs w:val="0"/>
        </w:rPr>
        <w:t>20</w:t>
      </w:r>
      <w:bookmarkEnd w:id="142"/>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A0" w:firstRow="1" w:lastRow="0" w:firstColumn="1" w:lastColumn="0" w:noHBand="0" w:noVBand="0"/>
      </w:tblPr>
      <w:tblGrid>
        <w:gridCol w:w="5764"/>
        <w:gridCol w:w="2146"/>
        <w:gridCol w:w="1636"/>
      </w:tblGrid>
      <w:tr w:rsidR="00FE7FEB" w:rsidRPr="004E7F7B" w:rsidTr="00D816E6">
        <w:trPr>
          <w:trHeight w:val="548"/>
          <w:tblHeader/>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lang w:val="tr-TR"/>
              </w:rPr>
            </w:pPr>
            <w:r w:rsidRPr="004E7F7B">
              <w:rPr>
                <w:rFonts w:ascii="Times New Roman" w:hAnsi="Times New Roman" w:cs="Times New Roman"/>
                <w:b/>
                <w:bCs/>
                <w:color w:val="FFFFFF" w:themeColor="background1"/>
              </w:rPr>
              <w:t>Distribution Company</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Date of Board Decision</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Board Decision</w:t>
            </w:r>
          </w:p>
        </w:tc>
      </w:tr>
      <w:tr w:rsidR="00040BE7" w:rsidRPr="004E7F7B" w:rsidTr="00C24B0B">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ADM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9053-2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Akdeniz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9055-2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Akedaş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9054-2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Aras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9056-2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 xml:space="preserve">Başkent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9057-2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 xml:space="preserve">Boğaziçi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9058-2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 xml:space="preserve">Çamlıbel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9059-2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Çoruh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9060-2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Dicle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9061-2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Fırat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9062-2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GDZ 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9063-2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İstanbul Anatolian Side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9064-2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Kayseri and Vicinity Electricity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9065-2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Meram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9066-2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Osmangazi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9067-2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Sakarya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9068-2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Toroslar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9069-2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Trakya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9070-2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Uludağ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9071-2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Vangölü </w:t>
            </w:r>
            <w:r w:rsidRPr="004E7F7B">
              <w:rPr>
                <w:rFonts w:ascii="Times New Roman" w:hAnsi="Times New Roman" w:cs="Times New Roman"/>
                <w:bCs/>
                <w:color w:val="000000" w:themeColor="text1"/>
              </w:rPr>
              <w:t>Electricity Distribution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9072-2</w:t>
            </w:r>
          </w:p>
        </w:tc>
      </w:tr>
      <w:tr w:rsidR="00040BE7" w:rsidRPr="004E7F7B" w:rsidTr="00D816E6">
        <w:trPr>
          <w:trHeight w:val="284"/>
          <w:jc w:val="center"/>
        </w:trPr>
        <w:tc>
          <w:tcPr>
            <w:tcW w:w="30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40BE7" w:rsidRPr="004E7F7B" w:rsidRDefault="00040BE7" w:rsidP="004E7F7B">
            <w:pPr>
              <w:spacing w:after="0" w:line="240" w:lineRule="auto"/>
              <w:rPr>
                <w:rFonts w:ascii="Times New Roman" w:hAnsi="Times New Roman" w:cs="Times New Roman"/>
              </w:rPr>
            </w:pPr>
            <w:r w:rsidRPr="004E7F7B">
              <w:rPr>
                <w:rFonts w:ascii="Times New Roman" w:hAnsi="Times New Roman" w:cs="Times New Roman"/>
              </w:rPr>
              <w:t xml:space="preserve">Yeşilırmak </w:t>
            </w:r>
            <w:r w:rsidRPr="004E7F7B">
              <w:rPr>
                <w:rFonts w:ascii="Times New Roman" w:eastAsia="Times New Roman" w:hAnsi="Times New Roman" w:cs="Times New Roman"/>
                <w:color w:val="000000"/>
                <w:lang w:eastAsia="tr-TR"/>
              </w:rPr>
              <w:t>Electricity Retail Sale CO.INC.</w:t>
            </w:r>
          </w:p>
        </w:tc>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040BE7" w:rsidRPr="004E7F7B" w:rsidRDefault="00040BE7" w:rsidP="004E7F7B">
            <w:pPr>
              <w:spacing w:after="0" w:line="240" w:lineRule="auto"/>
              <w:rPr>
                <w:rFonts w:ascii="Times New Roman" w:hAnsi="Times New Roman" w:cs="Times New Roman"/>
                <w:bCs/>
                <w:color w:val="000000" w:themeColor="text1"/>
              </w:rPr>
            </w:pPr>
            <w:r w:rsidRPr="004E7F7B">
              <w:rPr>
                <w:rFonts w:ascii="Times New Roman" w:eastAsia="Times New Roman" w:hAnsi="Times New Roman" w:cs="Times New Roman"/>
                <w:color w:val="000000"/>
                <w:lang w:eastAsia="tr-TR"/>
              </w:rPr>
              <w:t>26.12.2019</w:t>
            </w:r>
          </w:p>
        </w:tc>
        <w:tc>
          <w:tcPr>
            <w:tcW w:w="8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040BE7" w:rsidRPr="004E7F7B" w:rsidRDefault="00040BE7" w:rsidP="004E7F7B">
            <w:pPr>
              <w:spacing w:after="0" w:line="240" w:lineRule="auto"/>
              <w:rPr>
                <w:rFonts w:ascii="Times New Roman" w:hAnsi="Times New Roman" w:cs="Times New Roman"/>
                <w:color w:val="000000" w:themeColor="text1"/>
              </w:rPr>
            </w:pPr>
            <w:r w:rsidRPr="004E7F7B">
              <w:rPr>
                <w:rFonts w:ascii="Times New Roman" w:eastAsia="Times New Roman" w:hAnsi="Times New Roman" w:cs="Times New Roman"/>
                <w:color w:val="000000"/>
                <w:lang w:eastAsia="tr-TR"/>
              </w:rPr>
              <w:t>9073-2</w:t>
            </w:r>
          </w:p>
        </w:tc>
      </w:tr>
    </w:tbl>
    <w:p w:rsidR="00FE7FEB" w:rsidRPr="004E7F7B" w:rsidRDefault="00FE7FEB" w:rsidP="004E7F7B">
      <w:pPr>
        <w:rPr>
          <w:rFonts w:ascii="Times New Roman" w:hAnsi="Times New Roman" w:cs="Times New Roman"/>
        </w:rPr>
      </w:pPr>
      <w:r w:rsidRPr="004E7F7B">
        <w:rPr>
          <w:rFonts w:ascii="Times New Roman" w:hAnsi="Times New Roman" w:cs="Times New Roman"/>
        </w:rPr>
        <w:t>The Retail Sales Income Ceilings of t</w:t>
      </w:r>
      <w:r w:rsidR="00040BE7" w:rsidRPr="004E7F7B">
        <w:rPr>
          <w:rFonts w:ascii="Times New Roman" w:hAnsi="Times New Roman" w:cs="Times New Roman"/>
        </w:rPr>
        <w:t>he procurement companies in 2020</w:t>
      </w:r>
      <w:r w:rsidRPr="004E7F7B">
        <w:rPr>
          <w:rFonts w:ascii="Times New Roman" w:hAnsi="Times New Roman" w:cs="Times New Roman"/>
        </w:rPr>
        <w:t xml:space="preserve"> were approved by the Board Decisions stated in the table below.</w:t>
      </w:r>
    </w:p>
    <w:p w:rsidR="00FE7FEB" w:rsidRPr="004E7F7B" w:rsidRDefault="00040BE7" w:rsidP="004E7F7B">
      <w:pPr>
        <w:pStyle w:val="Balk5"/>
        <w:jc w:val="both"/>
        <w:rPr>
          <w:rFonts w:ascii="Times New Roman" w:hAnsi="Times New Roman" w:cs="Times New Roman"/>
        </w:rPr>
      </w:pPr>
      <w:bookmarkStart w:id="143" w:name="_Toc48818031"/>
      <w:r w:rsidRPr="004E7F7B">
        <w:rPr>
          <w:rStyle w:val="Gl"/>
          <w:rFonts w:ascii="Times New Roman" w:hAnsi="Times New Roman" w:cs="Times New Roman"/>
          <w:b/>
          <w:bCs w:val="0"/>
        </w:rPr>
        <w:t>Table 4.6</w:t>
      </w:r>
      <w:r w:rsidR="00FE7FEB" w:rsidRPr="004E7F7B">
        <w:rPr>
          <w:rStyle w:val="Gl"/>
          <w:rFonts w:ascii="Times New Roman" w:hAnsi="Times New Roman" w:cs="Times New Roman"/>
          <w:b/>
          <w:bCs w:val="0"/>
        </w:rPr>
        <w:t>: Board Decisions on Approval of Retail Sale revenue Caps of Assigned Supplier Companies in 20</w:t>
      </w:r>
      <w:r w:rsidRPr="004E7F7B">
        <w:rPr>
          <w:rStyle w:val="Gl"/>
          <w:rFonts w:ascii="Times New Roman" w:hAnsi="Times New Roman" w:cs="Times New Roman"/>
          <w:b/>
          <w:bCs w:val="0"/>
        </w:rPr>
        <w:t>20</w:t>
      </w:r>
      <w:bookmarkEnd w:id="14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176"/>
        <w:gridCol w:w="2269"/>
        <w:gridCol w:w="2101"/>
      </w:tblGrid>
      <w:tr w:rsidR="00FE7FEB" w:rsidRPr="004E7F7B" w:rsidTr="0095465A">
        <w:trPr>
          <w:trHeight w:val="227"/>
          <w:tblHeader/>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val="tr-TR" w:eastAsia="tr-TR"/>
              </w:rPr>
            </w:pPr>
            <w:r w:rsidRPr="004E7F7B">
              <w:rPr>
                <w:rFonts w:ascii="Times New Roman" w:eastAsia="Times New Roman" w:hAnsi="Times New Roman" w:cs="Times New Roman"/>
                <w:b/>
                <w:color w:val="FFFFFF" w:themeColor="background1"/>
                <w:lang w:eastAsia="tr-TR"/>
              </w:rPr>
              <w:t>Assigned Supplier Company</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eastAsia="tr-TR"/>
              </w:rPr>
            </w:pPr>
            <w:r w:rsidRPr="004E7F7B">
              <w:rPr>
                <w:rFonts w:ascii="Times New Roman" w:eastAsia="Times New Roman" w:hAnsi="Times New Roman" w:cs="Times New Roman"/>
                <w:b/>
                <w:color w:val="FFFFFF" w:themeColor="background1"/>
                <w:lang w:eastAsia="tr-TR"/>
              </w:rPr>
              <w:t>Date of Board Decision</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bottom"/>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eastAsia="tr-TR"/>
              </w:rPr>
            </w:pPr>
            <w:r w:rsidRPr="004E7F7B">
              <w:rPr>
                <w:rFonts w:ascii="Times New Roman" w:eastAsia="Times New Roman" w:hAnsi="Times New Roman" w:cs="Times New Roman"/>
                <w:b/>
                <w:color w:val="FFFFFF" w:themeColor="background1"/>
                <w:lang w:eastAsia="tr-TR"/>
              </w:rPr>
              <w:t>No of Board Deciison</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Akedaş 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9074</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Aras 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9076</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Aydem 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9077</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CK Akdeniz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9075</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CK Boğaziçi </w:t>
            </w:r>
            <w:r w:rsidRPr="004E7F7B">
              <w:rPr>
                <w:rFonts w:ascii="Times New Roman" w:eastAsia="Times New Roman" w:hAnsi="Times New Roman" w:cs="Times New Roman"/>
                <w:color w:val="000000"/>
                <w:lang w:eastAsia="tr-TR"/>
              </w:rPr>
              <w:t>Electricity Retail Sale CO.INC</w:t>
            </w:r>
            <w:r w:rsidRPr="004E7F7B">
              <w:rPr>
                <w:rFonts w:ascii="Times New Roman" w:eastAsia="Times New Roman" w:hAnsi="Times New Roman" w:cs="Times New Roman"/>
                <w:lang w:eastAsia="tr-TR"/>
              </w:rPr>
              <w:t>.</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9079</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CK Çamlıbel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9080</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Çoruh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9081</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Dicle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9082</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Enerjisa Başkent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9078</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Enerjisa İstanbul Anadolu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9085</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Enerjisa Toroslar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9091</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Fırat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9083</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Gediz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9084</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Kayseri </w:t>
            </w:r>
            <w:r w:rsidRPr="004E7F7B">
              <w:rPr>
                <w:rFonts w:ascii="Times New Roman" w:eastAsia="Times New Roman" w:hAnsi="Times New Roman" w:cs="Times New Roman"/>
                <w:color w:val="000000"/>
                <w:lang w:eastAsia="tr-TR"/>
              </w:rPr>
              <w:t>Electricity Retail Sale CO.INC.</w:t>
            </w:r>
            <w:r w:rsidRPr="004E7F7B">
              <w:rPr>
                <w:rFonts w:ascii="Times New Roman" w:eastAsia="Times New Roman" w:hAnsi="Times New Roman" w:cs="Times New Roman"/>
                <w:lang w:eastAsia="tr-TR"/>
              </w:rPr>
              <w:t>.</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9086</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Limak Uludağ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9087</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Meram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9088</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Osmangazi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9089</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Sakarya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9090</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Trakya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9092</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Türkerler Vangölü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9093</w:t>
            </w:r>
          </w:p>
        </w:tc>
      </w:tr>
      <w:tr w:rsidR="00040BE7" w:rsidRPr="004E7F7B" w:rsidTr="0095465A">
        <w:trPr>
          <w:trHeight w:val="227"/>
        </w:trPr>
        <w:tc>
          <w:tcPr>
            <w:tcW w:w="275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Yeşilırmak </w:t>
            </w:r>
            <w:r w:rsidRPr="004E7F7B">
              <w:rPr>
                <w:rFonts w:ascii="Times New Roman" w:eastAsia="Times New Roman" w:hAnsi="Times New Roman" w:cs="Times New Roman"/>
                <w:color w:val="000000"/>
                <w:lang w:eastAsia="tr-TR"/>
              </w:rPr>
              <w:t>Electricity Retail Sale CO.INC.</w:t>
            </w:r>
          </w:p>
        </w:tc>
        <w:tc>
          <w:tcPr>
            <w:tcW w:w="116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26.12.2019</w:t>
            </w:r>
          </w:p>
        </w:tc>
        <w:tc>
          <w:tcPr>
            <w:tcW w:w="10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040BE7" w:rsidRPr="004E7F7B" w:rsidRDefault="00040BE7"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9094</w:t>
            </w:r>
          </w:p>
        </w:tc>
      </w:tr>
    </w:tbl>
    <w:p w:rsidR="0095465A" w:rsidRDefault="0095465A" w:rsidP="004E7F7B">
      <w:pPr>
        <w:rPr>
          <w:rFonts w:ascii="Times New Roman" w:hAnsi="Times New Roman" w:cs="Times New Roman"/>
        </w:rPr>
      </w:pPr>
    </w:p>
    <w:p w:rsidR="00FE7FEB" w:rsidRPr="004E7F7B" w:rsidRDefault="00FE7FEB" w:rsidP="00C51FE5">
      <w:r w:rsidRPr="004E7F7B">
        <w:t>Also; As shown in Table 4.8, the Board Decisions 5965-1 to 21 of 23/12/2015 approved the investment plans of the electricity distribution companies for the third implementation period starting on 01/01/2016 and the Board Decisions taken later 2016-2020 investment plans of electricity distribution companies have been revised.</w:t>
      </w:r>
    </w:p>
    <w:p w:rsidR="00FE7FEB" w:rsidRPr="004E7F7B" w:rsidRDefault="004B1813" w:rsidP="004E7F7B">
      <w:pPr>
        <w:pStyle w:val="Balk5"/>
        <w:jc w:val="both"/>
        <w:rPr>
          <w:rFonts w:ascii="Times New Roman" w:hAnsi="Times New Roman" w:cs="Times New Roman"/>
        </w:rPr>
      </w:pPr>
      <w:bookmarkStart w:id="144" w:name="_Toc505346181"/>
      <w:bookmarkStart w:id="145" w:name="_Toc512874145"/>
      <w:bookmarkStart w:id="146" w:name="_Toc48818032"/>
      <w:r w:rsidRPr="004E7F7B">
        <w:rPr>
          <w:rStyle w:val="Gl"/>
          <w:rFonts w:ascii="Times New Roman" w:hAnsi="Times New Roman" w:cs="Times New Roman"/>
          <w:b/>
          <w:bCs w:val="0"/>
        </w:rPr>
        <w:t>Table 4.7</w:t>
      </w:r>
      <w:r w:rsidR="00FE7FEB" w:rsidRPr="004E7F7B">
        <w:rPr>
          <w:rStyle w:val="Gl"/>
          <w:rFonts w:ascii="Times New Roman" w:hAnsi="Times New Roman" w:cs="Times New Roman"/>
          <w:b/>
          <w:bCs w:val="0"/>
        </w:rPr>
        <w:t>:</w:t>
      </w:r>
      <w:bookmarkEnd w:id="144"/>
      <w:bookmarkEnd w:id="145"/>
      <w:r w:rsidR="00FE7FEB" w:rsidRPr="004E7F7B">
        <w:rPr>
          <w:rStyle w:val="Gl"/>
          <w:rFonts w:ascii="Times New Roman" w:hAnsi="Times New Roman" w:cs="Times New Roman"/>
          <w:b/>
          <w:bCs w:val="0"/>
        </w:rPr>
        <w:t xml:space="preserve"> Board Decisions on Approval and Revisi</w:t>
      </w:r>
      <w:r w:rsidR="003B585D" w:rsidRPr="004E7F7B">
        <w:rPr>
          <w:rStyle w:val="Gl"/>
          <w:rFonts w:ascii="Times New Roman" w:hAnsi="Times New Roman" w:cs="Times New Roman"/>
          <w:b/>
          <w:bCs w:val="0"/>
        </w:rPr>
        <w:t>on of Investment Plans for the Y</w:t>
      </w:r>
      <w:r w:rsidR="00FE7FEB" w:rsidRPr="004E7F7B">
        <w:rPr>
          <w:rStyle w:val="Gl"/>
          <w:rFonts w:ascii="Times New Roman" w:hAnsi="Times New Roman" w:cs="Times New Roman"/>
          <w:b/>
          <w:bCs w:val="0"/>
        </w:rPr>
        <w:t>ears 2016-2020</w:t>
      </w:r>
      <w:bookmarkEnd w:id="146"/>
      <w:r w:rsidR="00FE7FEB" w:rsidRPr="004E7F7B">
        <w:rPr>
          <w:rStyle w:val="Gl"/>
          <w:rFonts w:ascii="Times New Roman" w:hAnsi="Times New Roman" w:cs="Times New Roman"/>
          <w:b/>
          <w:bCs w:val="0"/>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94"/>
        <w:gridCol w:w="2663"/>
        <w:gridCol w:w="2665"/>
      </w:tblGrid>
      <w:tr w:rsidR="00FE7FEB" w:rsidRPr="004E7F7B" w:rsidTr="0095465A">
        <w:trPr>
          <w:trHeight w:val="227"/>
          <w:tblHeader/>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FE7FEB"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Distribution Company</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FE7FEB"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Date of Board Decision</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FE7FEB"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Board Decision</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Trakya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26.12.2019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9031</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Vangölü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09.05.2019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8578</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Toroslar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19.12.2019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9001</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Yeşilırmak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10.10.2019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8880</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Uludağ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12.04.2018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7790</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Sakarya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20.12.2018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8269</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Osmangazi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08.08.2019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8783</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Akdeniz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30.05.2019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8645</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AKEDAŞ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02.05.2019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8568</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ADM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19.12.2019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9002</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Aras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18.10.2018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8134</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Başkent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07.11.2019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8922</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Meram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05.12.2019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8968-1</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Kayseri and Vicinity Electricity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09.05.2019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8577</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İstanbul Anatolian Side</w:t>
            </w:r>
          </w:p>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07.11.2019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8924</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GDZ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25.07.2019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8749</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Fırat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05.12.2019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8969</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 xml:space="preserve">Çoruh Electricity Distribution CO.INC. </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16.08.2018</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8016</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Dicle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05.09.2019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8820</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Çamlıbel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30.05.2019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autoSpaceDE w:val="0"/>
              <w:autoSpaceDN w:val="0"/>
              <w:adjustRightInd w:val="0"/>
              <w:rPr>
                <w:rFonts w:ascii="Times New Roman" w:hAnsi="Times New Roman" w:cs="Times New Roman"/>
              </w:rPr>
            </w:pPr>
            <w:r w:rsidRPr="004E7F7B">
              <w:rPr>
                <w:rFonts w:ascii="Times New Roman" w:hAnsi="Times New Roman" w:cs="Times New Roman"/>
              </w:rPr>
              <w:t>8642</w:t>
            </w:r>
          </w:p>
        </w:tc>
      </w:tr>
      <w:tr w:rsidR="00532577" w:rsidRPr="004E7F7B" w:rsidTr="0095465A">
        <w:trPr>
          <w:trHeight w:val="227"/>
        </w:trPr>
        <w:tc>
          <w:tcPr>
            <w:tcW w:w="22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Boğaziçi Electricity Distribution CO.INC.</w:t>
            </w:r>
          </w:p>
        </w:tc>
        <w:tc>
          <w:tcPr>
            <w:tcW w:w="138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19.12.2019</w:t>
            </w:r>
          </w:p>
        </w:tc>
        <w:tc>
          <w:tcPr>
            <w:tcW w:w="138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32577" w:rsidRPr="004E7F7B" w:rsidRDefault="00532577" w:rsidP="004E7F7B">
            <w:pPr>
              <w:rPr>
                <w:rFonts w:ascii="Times New Roman" w:hAnsi="Times New Roman" w:cs="Times New Roman"/>
              </w:rPr>
            </w:pPr>
            <w:r w:rsidRPr="004E7F7B">
              <w:rPr>
                <w:rFonts w:ascii="Times New Roman" w:hAnsi="Times New Roman" w:cs="Times New Roman"/>
              </w:rPr>
              <w:t>9000</w:t>
            </w:r>
          </w:p>
        </w:tc>
      </w:tr>
    </w:tbl>
    <w:p w:rsidR="00FE7FEB" w:rsidRPr="004E7F7B" w:rsidRDefault="00271AD0" w:rsidP="004E7F7B">
      <w:pPr>
        <w:pStyle w:val="Balk5"/>
        <w:jc w:val="both"/>
        <w:rPr>
          <w:rFonts w:ascii="Times New Roman" w:hAnsi="Times New Roman" w:cs="Times New Roman"/>
        </w:rPr>
      </w:pPr>
      <w:bookmarkStart w:id="147" w:name="_Toc48818033"/>
      <w:r w:rsidRPr="004E7F7B">
        <w:rPr>
          <w:rStyle w:val="Gl"/>
          <w:rFonts w:ascii="Times New Roman" w:hAnsi="Times New Roman" w:cs="Times New Roman"/>
          <w:b/>
          <w:bCs w:val="0"/>
        </w:rPr>
        <w:t>Table 4.8</w:t>
      </w:r>
      <w:r w:rsidR="003B585D" w:rsidRPr="004E7F7B">
        <w:rPr>
          <w:rStyle w:val="Gl"/>
          <w:rFonts w:ascii="Times New Roman" w:hAnsi="Times New Roman" w:cs="Times New Roman"/>
          <w:b/>
          <w:bCs w:val="0"/>
        </w:rPr>
        <w:t>: Investment Amounts by R</w:t>
      </w:r>
      <w:r w:rsidR="00FE7FEB" w:rsidRPr="004E7F7B">
        <w:rPr>
          <w:rStyle w:val="Gl"/>
          <w:rFonts w:ascii="Times New Roman" w:hAnsi="Times New Roman" w:cs="Times New Roman"/>
          <w:b/>
          <w:bCs w:val="0"/>
        </w:rPr>
        <w:t>egions in 201</w:t>
      </w:r>
      <w:r w:rsidRPr="004E7F7B">
        <w:rPr>
          <w:rStyle w:val="Gl"/>
          <w:rFonts w:ascii="Times New Roman" w:hAnsi="Times New Roman" w:cs="Times New Roman"/>
          <w:b/>
          <w:bCs w:val="0"/>
        </w:rPr>
        <w:t>9</w:t>
      </w:r>
      <w:r w:rsidR="00FE7FEB" w:rsidRPr="004E7F7B">
        <w:rPr>
          <w:rStyle w:val="Gl"/>
          <w:rFonts w:ascii="Times New Roman" w:hAnsi="Times New Roman" w:cs="Times New Roman"/>
          <w:b/>
          <w:bCs w:val="0"/>
        </w:rPr>
        <w:t xml:space="preserve"> (With Current prices-TL)</w:t>
      </w:r>
      <w:bookmarkEnd w:id="147"/>
    </w:p>
    <w:tbl>
      <w:tblPr>
        <w:tblW w:w="447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031"/>
        <w:gridCol w:w="4361"/>
        <w:gridCol w:w="146"/>
      </w:tblGrid>
      <w:tr w:rsidR="00FE7FEB" w:rsidRPr="004E7F7B" w:rsidTr="0095465A">
        <w:trPr>
          <w:trHeight w:val="20"/>
          <w:tblHeader/>
          <w:jc w:val="center"/>
        </w:trPr>
        <w:tc>
          <w:tcPr>
            <w:tcW w:w="2361"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FE7FEB" w:rsidP="004E7F7B">
            <w:pPr>
              <w:spacing w:after="0" w:line="240" w:lineRule="auto"/>
              <w:rPr>
                <w:rFonts w:ascii="Times New Roman" w:eastAsia="Times New Roman" w:hAnsi="Times New Roman" w:cs="Times New Roman"/>
                <w:b/>
                <w:color w:val="FFFFFF" w:themeColor="background1"/>
                <w:lang w:val="tr-TR" w:eastAsia="tr-TR"/>
              </w:rPr>
            </w:pPr>
            <w:r w:rsidRPr="004E7F7B">
              <w:rPr>
                <w:rFonts w:ascii="Times New Roman" w:hAnsi="Times New Roman" w:cs="Times New Roman"/>
                <w:b/>
                <w:bCs/>
                <w:color w:val="FFFFFF" w:themeColor="background1"/>
              </w:rPr>
              <w:t>Distribution Region</w:t>
            </w:r>
          </w:p>
        </w:tc>
        <w:tc>
          <w:tcPr>
            <w:tcW w:w="2554"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6139B4" w:rsidP="004E7F7B">
            <w:pPr>
              <w:spacing w:after="0" w:line="240" w:lineRule="auto"/>
              <w:rPr>
                <w:rFonts w:ascii="Times New Roman" w:eastAsia="Times New Roman" w:hAnsi="Times New Roman" w:cs="Times New Roman"/>
                <w:b/>
                <w:color w:val="FFFFFF" w:themeColor="background1"/>
                <w:lang w:eastAsia="tr-TR"/>
              </w:rPr>
            </w:pPr>
            <w:r w:rsidRPr="004E7F7B">
              <w:rPr>
                <w:rFonts w:ascii="Times New Roman" w:eastAsia="Times New Roman" w:hAnsi="Times New Roman" w:cs="Times New Roman"/>
                <w:b/>
                <w:color w:val="FFFFFF" w:themeColor="background1"/>
                <w:lang w:eastAsia="tr-TR"/>
              </w:rPr>
              <w:t>2019</w:t>
            </w:r>
            <w:r w:rsidR="00FE7FEB" w:rsidRPr="004E7F7B">
              <w:rPr>
                <w:rFonts w:ascii="Times New Roman" w:eastAsia="Times New Roman" w:hAnsi="Times New Roman" w:cs="Times New Roman"/>
                <w:b/>
                <w:color w:val="FFFFFF" w:themeColor="background1"/>
                <w:lang w:eastAsia="tr-TR"/>
              </w:rPr>
              <w:t xml:space="preserve"> Investment Amount</w:t>
            </w:r>
          </w:p>
        </w:tc>
        <w:tc>
          <w:tcPr>
            <w:tcW w:w="86"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color w:val="FFFFFF" w:themeColor="background1"/>
                <w:lang w:eastAsia="tr-TR"/>
              </w:rPr>
            </w:pPr>
          </w:p>
        </w:tc>
      </w:tr>
      <w:tr w:rsidR="00FE7FEB" w:rsidRPr="004E7F7B" w:rsidTr="0095465A">
        <w:trPr>
          <w:trHeight w:val="20"/>
          <w:tblHeader/>
          <w:jc w:val="center"/>
        </w:trPr>
        <w:tc>
          <w:tcPr>
            <w:tcW w:w="2361" w:type="pct"/>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eastAsia="Times New Roman" w:hAnsi="Times New Roman" w:cs="Times New Roman"/>
                <w:b/>
                <w:color w:val="FFFFFF" w:themeColor="background1"/>
                <w:lang w:eastAsia="tr-TR"/>
              </w:rPr>
            </w:pPr>
          </w:p>
        </w:tc>
        <w:tc>
          <w:tcPr>
            <w:tcW w:w="2554" w:type="pct"/>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eastAsia="Times New Roman" w:hAnsi="Times New Roman" w:cs="Times New Roman"/>
                <w:b/>
                <w:color w:val="FFFFFF" w:themeColor="background1"/>
                <w:lang w:eastAsia="tr-TR"/>
              </w:rPr>
            </w:pPr>
          </w:p>
        </w:tc>
        <w:tc>
          <w:tcPr>
            <w:tcW w:w="86" w:type="pct"/>
            <w:tcBorders>
              <w:top w:val="nil"/>
              <w:left w:val="nil"/>
              <w:bottom w:val="nil"/>
              <w:right w:val="nil"/>
            </w:tcBorders>
            <w:vAlign w:val="center"/>
            <w:hideMark/>
          </w:tcPr>
          <w:p w:rsidR="00FE7FEB" w:rsidRPr="004E7F7B" w:rsidRDefault="00FE7FEB" w:rsidP="004E7F7B">
            <w:pPr>
              <w:spacing w:after="0"/>
              <w:rPr>
                <w:rFonts w:ascii="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TOROSLAR</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643.477.166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BAŞKENT</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582.311.139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OSMANGAZİ</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1.252.068.972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DİCLE</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632.366.280</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BOĞAZİÇİ</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720.423.512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GDZ</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500.475.448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YEŞİLIRMAK</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143.150.460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MERAM</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459.284.288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315.802.929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İSTANBUL A.Y.EDAŞ</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248.108.063</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ULUDAĞ</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156.898.784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AKDENİZ</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262.188.366</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ARAS</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199.480.724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ÇORUH</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148.238.015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KAYSERİ</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121.591.701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FIRAT</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105.039.285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VANGÖLÜ</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127.429.700</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TRAKYA</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288.083.283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AKEDAŞ</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sidDel="00DB6C17">
              <w:rPr>
                <w:rFonts w:ascii="Times New Roman" w:eastAsia="Times New Roman" w:hAnsi="Times New Roman" w:cs="Times New Roman"/>
                <w:color w:val="000000"/>
                <w:lang w:eastAsia="tr-TR"/>
              </w:rPr>
              <w:t xml:space="preserve"> </w:t>
            </w:r>
            <w:r w:rsidRPr="004E7F7B">
              <w:rPr>
                <w:rFonts w:ascii="Times New Roman" w:eastAsia="Times New Roman" w:hAnsi="Times New Roman" w:cs="Times New Roman"/>
                <w:color w:val="000000"/>
                <w:lang w:eastAsia="tr-TR"/>
              </w:rPr>
              <w:t xml:space="preserve">93.583.089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SAKARYA</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111.080.290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ÇAMLIBEL</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130.209.070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lang w:eastAsia="tr-TR"/>
              </w:rPr>
            </w:pPr>
          </w:p>
        </w:tc>
      </w:tr>
      <w:tr w:rsidR="00271AD0" w:rsidRPr="004E7F7B" w:rsidTr="0095465A">
        <w:trPr>
          <w:trHeight w:val="20"/>
          <w:jc w:val="center"/>
        </w:trPr>
        <w:tc>
          <w:tcPr>
            <w:tcW w:w="23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271AD0" w:rsidRPr="004E7F7B" w:rsidRDefault="00271AD0"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TOTAL</w:t>
            </w:r>
          </w:p>
        </w:tc>
        <w:tc>
          <w:tcPr>
            <w:tcW w:w="255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271AD0" w:rsidRPr="004E7F7B" w:rsidRDefault="00271AD0" w:rsidP="004E7F7B">
            <w:pPr>
              <w:spacing w:after="0" w:line="240" w:lineRule="auto"/>
              <w:rPr>
                <w:rFonts w:ascii="Times New Roman" w:eastAsia="Times New Roman" w:hAnsi="Times New Roman" w:cs="Times New Roman"/>
                <w:b/>
                <w:color w:val="000000"/>
                <w:lang w:eastAsia="tr-TR"/>
              </w:rPr>
            </w:pPr>
            <w:r w:rsidRPr="004E7F7B">
              <w:rPr>
                <w:rFonts w:ascii="Times New Roman" w:eastAsia="Times New Roman" w:hAnsi="Times New Roman" w:cs="Times New Roman"/>
                <w:b/>
                <w:color w:val="000000"/>
                <w:lang w:eastAsia="tr-TR"/>
              </w:rPr>
              <w:t xml:space="preserve">7.241.290.563   </w:t>
            </w:r>
          </w:p>
        </w:tc>
        <w:tc>
          <w:tcPr>
            <w:tcW w:w="86" w:type="pct"/>
            <w:tcBorders>
              <w:top w:val="nil"/>
              <w:left w:val="nil"/>
              <w:bottom w:val="nil"/>
              <w:right w:val="nil"/>
            </w:tcBorders>
            <w:vAlign w:val="center"/>
            <w:hideMark/>
          </w:tcPr>
          <w:p w:rsidR="00271AD0" w:rsidRPr="004E7F7B" w:rsidRDefault="00271AD0" w:rsidP="004E7F7B">
            <w:pPr>
              <w:rPr>
                <w:rFonts w:ascii="Times New Roman" w:eastAsia="Times New Roman" w:hAnsi="Times New Roman" w:cs="Times New Roman"/>
                <w:b/>
                <w:lang w:eastAsia="tr-TR"/>
              </w:rPr>
            </w:pPr>
          </w:p>
        </w:tc>
      </w:tr>
    </w:tbl>
    <w:p w:rsidR="00FE7FEB" w:rsidRPr="004E7F7B" w:rsidRDefault="00FE7FEB" w:rsidP="004E7F7B">
      <w:pPr>
        <w:rPr>
          <w:rFonts w:ascii="Times New Roman" w:hAnsi="Times New Roman" w:cs="Times New Roman"/>
        </w:rPr>
      </w:pPr>
    </w:p>
    <w:p w:rsidR="00FE7FEB" w:rsidRPr="004E7F7B" w:rsidRDefault="00FE7FEB" w:rsidP="00C51FE5">
      <w:r w:rsidRPr="004E7F7B">
        <w:t>Note: Prepared by Electricity Distr</w:t>
      </w:r>
      <w:r w:rsidR="00271AD0" w:rsidRPr="004E7F7B">
        <w:t>ibution Company as of 31/12/2019</w:t>
      </w:r>
      <w:r w:rsidRPr="004E7F7B">
        <w:t>, taking into account the investment forecast notification statements for 201</w:t>
      </w:r>
      <w:r w:rsidR="00271AD0" w:rsidRPr="004E7F7B">
        <w:t>9</w:t>
      </w:r>
      <w:r w:rsidRPr="004E7F7B">
        <w:t xml:space="preserve"> announced on EBIS.</w:t>
      </w:r>
    </w:p>
    <w:p w:rsidR="00FE7FEB" w:rsidRPr="004E7F7B" w:rsidRDefault="00FE7FEB" w:rsidP="004E7F7B">
      <w:pPr>
        <w:pStyle w:val="Balk4"/>
        <w:rPr>
          <w:rFonts w:ascii="Times New Roman" w:hAnsi="Times New Roman" w:cs="Times New Roman"/>
          <w:sz w:val="22"/>
        </w:rPr>
      </w:pPr>
      <w:bookmarkStart w:id="148" w:name="_Toc514251648"/>
      <w:r w:rsidRPr="004E7F7B">
        <w:rPr>
          <w:rFonts w:ascii="Times New Roman" w:hAnsi="Times New Roman" w:cs="Times New Roman"/>
          <w:sz w:val="22"/>
        </w:rPr>
        <w:t>4.1.2.1.Distribution System Connection Fee</w:t>
      </w:r>
      <w:bookmarkEnd w:id="148"/>
    </w:p>
    <w:p w:rsidR="00FE7FEB" w:rsidRPr="00C51FE5" w:rsidRDefault="00FE7FEB" w:rsidP="00C51FE5">
      <w:r w:rsidRPr="004E7F7B">
        <w:t xml:space="preserve">With the Board Decision dated </w:t>
      </w:r>
      <w:r w:rsidR="00271AD0" w:rsidRPr="004E7F7B">
        <w:t>26.12.2019</w:t>
      </w:r>
      <w:r w:rsidRPr="004E7F7B">
        <w:t xml:space="preserve"> and numbered </w:t>
      </w:r>
      <w:r w:rsidR="00271AD0" w:rsidRPr="004E7F7B">
        <w:t>9040-13</w:t>
      </w:r>
      <w:r w:rsidRPr="004E7F7B">
        <w:t xml:space="preserve"> published in the Official Gazette dated </w:t>
      </w:r>
      <w:r w:rsidR="00271AD0" w:rsidRPr="004E7F7B">
        <w:t>29</w:t>
      </w:r>
      <w:r w:rsidR="00271AD0" w:rsidRPr="00C51FE5">
        <w:t>.12.2019</w:t>
      </w:r>
      <w:r w:rsidRPr="00C51FE5">
        <w:t xml:space="preserve"> and numbered 30</w:t>
      </w:r>
      <w:r w:rsidR="00271AD0" w:rsidRPr="00C51FE5">
        <w:t>993</w:t>
      </w:r>
      <w:r w:rsidRPr="00C51FE5">
        <w:t xml:space="preserve"> it is decided to;</w:t>
      </w:r>
    </w:p>
    <w:p w:rsidR="00FE7FEB" w:rsidRPr="004E7F7B" w:rsidRDefault="00FE7FEB" w:rsidP="007B4A7D">
      <w:pPr>
        <w:pStyle w:val="ListeParagraf"/>
        <w:numPr>
          <w:ilvl w:val="0"/>
          <w:numId w:val="35"/>
        </w:numPr>
      </w:pPr>
      <w:r w:rsidRPr="004E7F7B">
        <w:t>In case both aeria and underground cable are used in the connection line, in calculation of the unit cost, lenght of each of the aerial and underground lines are taken intoconsidertaion seperately.</w:t>
      </w:r>
    </w:p>
    <w:p w:rsidR="00FE7FEB" w:rsidRPr="004E7F7B" w:rsidRDefault="00FE7FEB" w:rsidP="007B4A7D">
      <w:pPr>
        <w:pStyle w:val="ListeParagraf"/>
        <w:numPr>
          <w:ilvl w:val="0"/>
          <w:numId w:val="35"/>
        </w:numPr>
      </w:pPr>
      <w:r w:rsidRPr="004E7F7B">
        <w:t>When calculating the connection fees for lines above 100 kW, to add the amount found by multiplying each kW exceeding 100 KW with 0,6</w:t>
      </w:r>
      <w:r w:rsidR="00271AD0" w:rsidRPr="004E7F7B">
        <w:t xml:space="preserve"> TL/meter to the amount of 110,69</w:t>
      </w:r>
      <w:r w:rsidRPr="004E7F7B">
        <w:t xml:space="preserve"> TL/meter which is the cost for up to 100 kW. </w:t>
      </w:r>
    </w:p>
    <w:p w:rsidR="00FE7FEB" w:rsidRPr="004E7F7B" w:rsidRDefault="00FE7FEB" w:rsidP="007B4A7D">
      <w:pPr>
        <w:pStyle w:val="ListeParagraf"/>
        <w:numPr>
          <w:ilvl w:val="0"/>
          <w:numId w:val="35"/>
        </w:numPr>
      </w:pPr>
      <w:r w:rsidRPr="004E7F7B">
        <w:t>The customer receiving connection service by the Company shall not be charged any other price under the name other than TL / meter based prices,</w:t>
      </w:r>
    </w:p>
    <w:p w:rsidR="00FE7FEB" w:rsidRPr="004E7F7B" w:rsidRDefault="00FE7FEB" w:rsidP="007B4A7D">
      <w:pPr>
        <w:pStyle w:val="ListeParagraf"/>
        <w:numPr>
          <w:ilvl w:val="0"/>
          <w:numId w:val="35"/>
        </w:numPr>
      </w:pPr>
      <w:r w:rsidRPr="004E7F7B">
        <w:t>Based on the power specified in the first paragraph of Article 3 of the Connection Agreement to the Distribution System as the basis for the connection fee,</w:t>
      </w:r>
    </w:p>
    <w:p w:rsidR="00FE7FEB" w:rsidRPr="004E7F7B" w:rsidRDefault="00FE7FEB" w:rsidP="007B4A7D">
      <w:pPr>
        <w:pStyle w:val="ListeParagraf"/>
        <w:numPr>
          <w:ilvl w:val="0"/>
          <w:numId w:val="35"/>
        </w:numPr>
      </w:pPr>
      <w:r w:rsidRPr="004E7F7B">
        <w:t>In this context, it has been decided to apply the prices in the following table 4.12 as Distributi</w:t>
      </w:r>
      <w:r w:rsidR="00271AD0" w:rsidRPr="004E7F7B">
        <w:t>on Connection Fee for 2020</w:t>
      </w:r>
      <w:r w:rsidRPr="004E7F7B">
        <w:t xml:space="preserve"> as of the effective date of the Decision.</w:t>
      </w:r>
    </w:p>
    <w:p w:rsidR="00FE7FEB" w:rsidRPr="004E7F7B" w:rsidRDefault="00271AD0" w:rsidP="004E7F7B">
      <w:pPr>
        <w:pStyle w:val="Balk5"/>
        <w:jc w:val="both"/>
        <w:rPr>
          <w:rStyle w:val="Gl"/>
          <w:rFonts w:ascii="Times New Roman" w:hAnsi="Times New Roman" w:cs="Times New Roman"/>
          <w:b/>
          <w:bCs w:val="0"/>
        </w:rPr>
      </w:pPr>
      <w:bookmarkStart w:id="149" w:name="_Toc505346185"/>
      <w:bookmarkStart w:id="150" w:name="_Toc512874149"/>
      <w:bookmarkStart w:id="151" w:name="_Toc48818034"/>
      <w:r w:rsidRPr="004E7F7B">
        <w:rPr>
          <w:rStyle w:val="Gl"/>
          <w:rFonts w:ascii="Times New Roman" w:hAnsi="Times New Roman" w:cs="Times New Roman"/>
          <w:b/>
          <w:bCs w:val="0"/>
        </w:rPr>
        <w:t>Table 4.9</w:t>
      </w:r>
      <w:r w:rsidR="00FE7FEB" w:rsidRPr="004E7F7B">
        <w:rPr>
          <w:rStyle w:val="Gl"/>
          <w:rFonts w:ascii="Times New Roman" w:hAnsi="Times New Roman" w:cs="Times New Roman"/>
          <w:b/>
          <w:bCs w:val="0"/>
        </w:rPr>
        <w:t xml:space="preserve">: Distribution </w:t>
      </w:r>
      <w:bookmarkEnd w:id="149"/>
      <w:bookmarkEnd w:id="150"/>
      <w:r w:rsidR="00FE7FEB" w:rsidRPr="004E7F7B">
        <w:rPr>
          <w:rStyle w:val="Gl"/>
          <w:rFonts w:ascii="Times New Roman" w:hAnsi="Times New Roman" w:cs="Times New Roman"/>
          <w:b/>
          <w:bCs w:val="0"/>
        </w:rPr>
        <w:t>System Connection Fees</w:t>
      </w:r>
      <w:bookmarkEnd w:id="151"/>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816"/>
        <w:gridCol w:w="4303"/>
      </w:tblGrid>
      <w:tr w:rsidR="00FE7FEB" w:rsidRPr="004E7F7B" w:rsidTr="00D816E6">
        <w:trPr>
          <w:trHeight w:val="325"/>
          <w:jc w:val="center"/>
        </w:trPr>
        <w:tc>
          <w:tcPr>
            <w:tcW w:w="1484" w:type="pct"/>
            <w:shd w:val="clear" w:color="auto" w:fill="6E9ECA"/>
            <w:noWrap/>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Connection Fee</w:t>
            </w:r>
          </w:p>
        </w:tc>
        <w:tc>
          <w:tcPr>
            <w:tcW w:w="3516" w:type="pct"/>
            <w:shd w:val="clear" w:color="auto" w:fill="6E9ECA"/>
            <w:noWrap/>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TL/meter</w:t>
            </w:r>
          </w:p>
        </w:tc>
      </w:tr>
      <w:tr w:rsidR="00FE7FEB" w:rsidRPr="004E7F7B" w:rsidTr="00D816E6">
        <w:trPr>
          <w:trHeight w:val="325"/>
          <w:jc w:val="center"/>
        </w:trPr>
        <w:tc>
          <w:tcPr>
            <w:tcW w:w="5000" w:type="pct"/>
            <w:gridSpan w:val="2"/>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LV</w:t>
            </w:r>
          </w:p>
        </w:tc>
      </w:tr>
      <w:tr w:rsidR="00FE7FEB" w:rsidRPr="004E7F7B" w:rsidTr="00D816E6">
        <w:trPr>
          <w:trHeight w:val="230"/>
          <w:jc w:val="center"/>
        </w:trPr>
        <w:tc>
          <w:tcPr>
            <w:tcW w:w="1484" w:type="pct"/>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0-15 kW (inc)</w:t>
            </w:r>
          </w:p>
        </w:tc>
        <w:tc>
          <w:tcPr>
            <w:tcW w:w="3516"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 </w:t>
            </w:r>
          </w:p>
        </w:tc>
      </w:tr>
      <w:tr w:rsidR="00FE7FEB" w:rsidRPr="004E7F7B" w:rsidTr="00D816E6">
        <w:trPr>
          <w:trHeight w:val="262"/>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Underground</w:t>
            </w:r>
          </w:p>
        </w:tc>
        <w:tc>
          <w:tcPr>
            <w:tcW w:w="3516" w:type="pct"/>
            <w:shd w:val="clear" w:color="auto" w:fill="FFFFFF"/>
            <w:noWrap/>
            <w:vAlign w:val="center"/>
            <w:hideMark/>
          </w:tcPr>
          <w:p w:rsidR="00FE7FEB" w:rsidRPr="004E7F7B" w:rsidRDefault="00F20806" w:rsidP="004E7F7B">
            <w:pPr>
              <w:spacing w:after="0" w:line="240" w:lineRule="auto"/>
              <w:rPr>
                <w:rFonts w:ascii="Times New Roman" w:hAnsi="Times New Roman" w:cs="Times New Roman"/>
              </w:rPr>
            </w:pPr>
            <w:r w:rsidRPr="004E7F7B">
              <w:rPr>
                <w:rFonts w:ascii="Times New Roman" w:hAnsi="Times New Roman" w:cs="Times New Roman"/>
              </w:rPr>
              <w:t>59,89</w:t>
            </w:r>
          </w:p>
        </w:tc>
      </w:tr>
      <w:tr w:rsidR="00FE7FEB" w:rsidRPr="004E7F7B" w:rsidTr="00D816E6">
        <w:trPr>
          <w:trHeight w:val="275"/>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Aerial</w:t>
            </w:r>
          </w:p>
        </w:tc>
        <w:tc>
          <w:tcPr>
            <w:tcW w:w="3516" w:type="pct"/>
            <w:shd w:val="clear" w:color="auto" w:fill="FFFFFF"/>
            <w:noWrap/>
            <w:vAlign w:val="center"/>
            <w:hideMark/>
          </w:tcPr>
          <w:p w:rsidR="00FE7FEB" w:rsidRPr="004E7F7B" w:rsidRDefault="00F20806" w:rsidP="004E7F7B">
            <w:pPr>
              <w:spacing w:after="0" w:line="240" w:lineRule="auto"/>
              <w:rPr>
                <w:rFonts w:ascii="Times New Roman" w:hAnsi="Times New Roman" w:cs="Times New Roman"/>
              </w:rPr>
            </w:pPr>
            <w:r w:rsidRPr="004E7F7B">
              <w:rPr>
                <w:rFonts w:ascii="Times New Roman" w:hAnsi="Times New Roman" w:cs="Times New Roman"/>
              </w:rPr>
              <w:t>27</w:t>
            </w:r>
            <w:r w:rsidR="00A8121B" w:rsidRPr="004E7F7B">
              <w:rPr>
                <w:rFonts w:ascii="Times New Roman" w:hAnsi="Times New Roman" w:cs="Times New Roman"/>
              </w:rPr>
              <w:t>,84</w:t>
            </w:r>
          </w:p>
        </w:tc>
      </w:tr>
      <w:tr w:rsidR="00FE7FEB" w:rsidRPr="004E7F7B" w:rsidTr="00D816E6">
        <w:trPr>
          <w:trHeight w:val="275"/>
          <w:jc w:val="center"/>
        </w:trPr>
        <w:tc>
          <w:tcPr>
            <w:tcW w:w="1484" w:type="pct"/>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15-50 kW</w:t>
            </w:r>
          </w:p>
        </w:tc>
        <w:tc>
          <w:tcPr>
            <w:tcW w:w="3516"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 </w:t>
            </w:r>
          </w:p>
        </w:tc>
      </w:tr>
      <w:tr w:rsidR="00FE7FEB" w:rsidRPr="004E7F7B" w:rsidTr="00D816E6">
        <w:trPr>
          <w:trHeight w:val="262"/>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Underground</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81,06</w:t>
            </w:r>
          </w:p>
        </w:tc>
      </w:tr>
      <w:tr w:rsidR="00FE7FEB" w:rsidRPr="004E7F7B" w:rsidTr="00D816E6">
        <w:trPr>
          <w:trHeight w:val="275"/>
          <w:jc w:val="center"/>
        </w:trPr>
        <w:tc>
          <w:tcPr>
            <w:tcW w:w="1484" w:type="pct"/>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Aerial</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47,25</w:t>
            </w:r>
          </w:p>
        </w:tc>
      </w:tr>
      <w:tr w:rsidR="00FE7FEB" w:rsidRPr="004E7F7B" w:rsidTr="00D816E6">
        <w:trPr>
          <w:trHeight w:val="262"/>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50-100 kW</w:t>
            </w:r>
          </w:p>
        </w:tc>
        <w:tc>
          <w:tcPr>
            <w:tcW w:w="3516"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 </w:t>
            </w:r>
          </w:p>
        </w:tc>
      </w:tr>
      <w:tr w:rsidR="00FE7FEB" w:rsidRPr="004E7F7B" w:rsidTr="00D816E6">
        <w:trPr>
          <w:trHeight w:val="262"/>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Underground</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110,69</w:t>
            </w:r>
          </w:p>
        </w:tc>
      </w:tr>
      <w:tr w:rsidR="00FE7FEB" w:rsidRPr="004E7F7B" w:rsidTr="00D816E6">
        <w:trPr>
          <w:trHeight w:val="262"/>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Aerial</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58,86</w:t>
            </w:r>
          </w:p>
        </w:tc>
      </w:tr>
      <w:tr w:rsidR="00FE7FEB" w:rsidRPr="004E7F7B" w:rsidTr="00D816E6">
        <w:trPr>
          <w:trHeight w:val="63"/>
          <w:jc w:val="center"/>
        </w:trPr>
        <w:tc>
          <w:tcPr>
            <w:tcW w:w="1484" w:type="pct"/>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Over 100 kW</w:t>
            </w:r>
          </w:p>
        </w:tc>
        <w:tc>
          <w:tcPr>
            <w:tcW w:w="3516"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 </w:t>
            </w:r>
          </w:p>
        </w:tc>
      </w:tr>
      <w:tr w:rsidR="00FE7FEB" w:rsidRPr="004E7F7B" w:rsidTr="00D816E6">
        <w:trPr>
          <w:trHeight w:val="289"/>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Underground</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110,69</w:t>
            </w:r>
            <w:r w:rsidR="00FE7FEB" w:rsidRPr="004E7F7B">
              <w:rPr>
                <w:rFonts w:ascii="Times New Roman" w:hAnsi="Times New Roman" w:cs="Times New Roman"/>
              </w:rPr>
              <w:t>+0,6×(Güç-100)</w:t>
            </w:r>
          </w:p>
        </w:tc>
      </w:tr>
      <w:tr w:rsidR="00FE7FEB" w:rsidRPr="004E7F7B" w:rsidTr="00D816E6">
        <w:trPr>
          <w:trHeight w:val="275"/>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MV</w:t>
            </w:r>
          </w:p>
        </w:tc>
        <w:tc>
          <w:tcPr>
            <w:tcW w:w="3516" w:type="pct"/>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 </w:t>
            </w:r>
          </w:p>
        </w:tc>
      </w:tr>
      <w:tr w:rsidR="00FE7FEB" w:rsidRPr="004E7F7B" w:rsidTr="00D816E6">
        <w:trPr>
          <w:trHeight w:val="275"/>
          <w:jc w:val="center"/>
        </w:trPr>
        <w:tc>
          <w:tcPr>
            <w:tcW w:w="1484" w:type="pct"/>
            <w:shd w:val="clear" w:color="auto" w:fill="FFFFFF"/>
            <w:noWrap/>
            <w:vAlign w:val="center"/>
            <w:hideMark/>
          </w:tcPr>
          <w:p w:rsidR="00FE7FEB" w:rsidRPr="004E7F7B" w:rsidRDefault="00FE7FEB" w:rsidP="004E7F7B">
            <w:pPr>
              <w:spacing w:after="0" w:line="240" w:lineRule="auto"/>
              <w:rPr>
                <w:rFonts w:ascii="Times New Roman" w:hAnsi="Times New Roman" w:cs="Times New Roman"/>
              </w:rPr>
            </w:pPr>
            <w:r w:rsidRPr="004E7F7B">
              <w:rPr>
                <w:rFonts w:ascii="Times New Roman" w:hAnsi="Times New Roman" w:cs="Times New Roman"/>
              </w:rPr>
              <w:t>Underground</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282,98</w:t>
            </w:r>
          </w:p>
        </w:tc>
      </w:tr>
      <w:tr w:rsidR="00FE7FEB" w:rsidRPr="004E7F7B" w:rsidTr="00D816E6">
        <w:trPr>
          <w:trHeight w:val="275"/>
          <w:jc w:val="center"/>
        </w:trPr>
        <w:tc>
          <w:tcPr>
            <w:tcW w:w="1484" w:type="pct"/>
            <w:noWrap/>
            <w:vAlign w:val="center"/>
            <w:hideMark/>
          </w:tcPr>
          <w:p w:rsidR="00FE7FEB" w:rsidRPr="004E7F7B" w:rsidRDefault="00FE7FEB" w:rsidP="004E7F7B">
            <w:pPr>
              <w:spacing w:after="0" w:line="240" w:lineRule="auto"/>
              <w:rPr>
                <w:rFonts w:ascii="Times New Roman" w:hAnsi="Times New Roman" w:cs="Times New Roman"/>
                <w:b/>
                <w:bCs/>
              </w:rPr>
            </w:pPr>
            <w:r w:rsidRPr="004E7F7B">
              <w:rPr>
                <w:rFonts w:ascii="Times New Roman" w:hAnsi="Times New Roman" w:cs="Times New Roman"/>
                <w:b/>
                <w:bCs/>
              </w:rPr>
              <w:t>Aerial</w:t>
            </w:r>
          </w:p>
        </w:tc>
        <w:tc>
          <w:tcPr>
            <w:tcW w:w="3516" w:type="pct"/>
            <w:shd w:val="clear" w:color="auto" w:fill="FFFFFF"/>
            <w:noWrap/>
            <w:vAlign w:val="center"/>
            <w:hideMark/>
          </w:tcPr>
          <w:p w:rsidR="00FE7FEB" w:rsidRPr="004E7F7B" w:rsidRDefault="00A8121B" w:rsidP="004E7F7B">
            <w:pPr>
              <w:spacing w:after="0" w:line="240" w:lineRule="auto"/>
              <w:rPr>
                <w:rFonts w:ascii="Times New Roman" w:hAnsi="Times New Roman" w:cs="Times New Roman"/>
              </w:rPr>
            </w:pPr>
            <w:r w:rsidRPr="004E7F7B">
              <w:rPr>
                <w:rFonts w:ascii="Times New Roman" w:hAnsi="Times New Roman" w:cs="Times New Roman"/>
              </w:rPr>
              <w:t>75,65</w:t>
            </w:r>
          </w:p>
        </w:tc>
      </w:tr>
    </w:tbl>
    <w:p w:rsidR="00FE7FEB" w:rsidRPr="004E7F7B" w:rsidRDefault="00FE7FEB" w:rsidP="004E7F7B">
      <w:pPr>
        <w:pStyle w:val="AralkYok"/>
        <w:jc w:val="both"/>
        <w:rPr>
          <w:rFonts w:ascii="Times New Roman" w:hAnsi="Times New Roman" w:cs="Times New Roman"/>
        </w:rPr>
      </w:pPr>
    </w:p>
    <w:p w:rsidR="00FE7FEB" w:rsidRPr="004E7F7B" w:rsidRDefault="00FE7FEB" w:rsidP="004E7F7B">
      <w:pPr>
        <w:pStyle w:val="Balk4"/>
        <w:rPr>
          <w:rFonts w:ascii="Times New Roman" w:hAnsi="Times New Roman" w:cs="Times New Roman"/>
          <w:sz w:val="22"/>
        </w:rPr>
      </w:pPr>
      <w:bookmarkStart w:id="152" w:name="_Toc505346068"/>
      <w:bookmarkStart w:id="153" w:name="_Toc514251649"/>
      <w:r w:rsidRPr="004E7F7B">
        <w:rPr>
          <w:rFonts w:ascii="Times New Roman" w:hAnsi="Times New Roman" w:cs="Times New Roman"/>
          <w:sz w:val="22"/>
        </w:rPr>
        <w:t>4.</w:t>
      </w:r>
      <w:r w:rsidR="003B585D" w:rsidRPr="004E7F7B">
        <w:rPr>
          <w:rFonts w:ascii="Times New Roman" w:hAnsi="Times New Roman" w:cs="Times New Roman"/>
          <w:sz w:val="22"/>
        </w:rPr>
        <w:t>1.2.2.Connecting-Disconnecting F</w:t>
      </w:r>
      <w:r w:rsidRPr="004E7F7B">
        <w:rPr>
          <w:rFonts w:ascii="Times New Roman" w:hAnsi="Times New Roman" w:cs="Times New Roman"/>
          <w:sz w:val="22"/>
        </w:rPr>
        <w:t>ee</w:t>
      </w:r>
      <w:bookmarkEnd w:id="152"/>
      <w:bookmarkEnd w:id="153"/>
    </w:p>
    <w:p w:rsidR="00FE7FEB" w:rsidRPr="004E7F7B" w:rsidRDefault="00FE7FEB" w:rsidP="002A3D78">
      <w:pPr>
        <w:rPr>
          <w:b/>
        </w:rPr>
      </w:pPr>
      <w:r w:rsidRPr="004E7F7B">
        <w:t xml:space="preserve">With the Board Decision dated </w:t>
      </w:r>
      <w:r w:rsidR="00A8121B" w:rsidRPr="004E7F7B">
        <w:t>26.12.2019</w:t>
      </w:r>
      <w:r w:rsidRPr="004E7F7B">
        <w:t xml:space="preserve"> and numbered </w:t>
      </w:r>
      <w:r w:rsidR="00A8121B" w:rsidRPr="004E7F7B">
        <w:t>9040-2</w:t>
      </w:r>
      <w:r w:rsidRPr="004E7F7B">
        <w:t xml:space="preserve"> published in the Official Gazette dated </w:t>
      </w:r>
      <w:r w:rsidR="00A8121B" w:rsidRPr="004E7F7B">
        <w:t>29.12.2019 and numbered 30993</w:t>
      </w:r>
      <w:r w:rsidRPr="004E7F7B">
        <w:t xml:space="preserve"> it is decided the apply the connecting-disconnecting fees in th</w:t>
      </w:r>
      <w:r w:rsidR="00A8121B" w:rsidRPr="004E7F7B">
        <w:t>e table hereunder as of 01.01.20</w:t>
      </w:r>
      <w:r w:rsidRPr="004E7F7B">
        <w:t>;</w:t>
      </w:r>
    </w:p>
    <w:p w:rsidR="00FE7FEB" w:rsidRPr="004E7F7B" w:rsidRDefault="00A8121B" w:rsidP="004E7F7B">
      <w:pPr>
        <w:pStyle w:val="Balk5"/>
        <w:jc w:val="both"/>
        <w:rPr>
          <w:rStyle w:val="Gl"/>
          <w:rFonts w:ascii="Times New Roman" w:hAnsi="Times New Roman" w:cs="Times New Roman"/>
          <w:b/>
          <w:bCs w:val="0"/>
        </w:rPr>
      </w:pPr>
      <w:bookmarkStart w:id="154" w:name="_Toc505346186"/>
      <w:bookmarkStart w:id="155" w:name="_Toc512874150"/>
      <w:bookmarkStart w:id="156" w:name="_Toc48818035"/>
      <w:bookmarkStart w:id="157" w:name="_Toc505346069"/>
      <w:bookmarkStart w:id="158" w:name="_Toc514251650"/>
      <w:r w:rsidRPr="004E7F7B">
        <w:rPr>
          <w:rStyle w:val="Gl"/>
          <w:rFonts w:ascii="Times New Roman" w:hAnsi="Times New Roman" w:cs="Times New Roman"/>
          <w:b/>
          <w:bCs w:val="0"/>
        </w:rPr>
        <w:t>Table 4.10</w:t>
      </w:r>
      <w:r w:rsidR="00FE7FEB" w:rsidRPr="004E7F7B">
        <w:rPr>
          <w:rStyle w:val="Gl"/>
          <w:rFonts w:ascii="Times New Roman" w:hAnsi="Times New Roman" w:cs="Times New Roman"/>
          <w:b/>
          <w:bCs w:val="0"/>
        </w:rPr>
        <w:t xml:space="preserve">: </w:t>
      </w:r>
      <w:bookmarkEnd w:id="154"/>
      <w:bookmarkEnd w:id="155"/>
      <w:r w:rsidR="00FE7FEB" w:rsidRPr="004E7F7B">
        <w:rPr>
          <w:rStyle w:val="Gl"/>
          <w:rFonts w:ascii="Times New Roman" w:hAnsi="Times New Roman" w:cs="Times New Roman"/>
          <w:b/>
          <w:bCs w:val="0"/>
        </w:rPr>
        <w:t>Connecting-Disconnecting Fees</w:t>
      </w:r>
      <w:bookmarkEnd w:id="156"/>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FE7FEB" w:rsidRPr="004E7F7B" w:rsidTr="00D816E6">
        <w:trPr>
          <w:jc w:val="center"/>
        </w:trPr>
        <w:tc>
          <w:tcPr>
            <w:tcW w:w="3314" w:type="dxa"/>
            <w:shd w:val="clear" w:color="auto" w:fill="6E9ECA"/>
            <w:hideMark/>
          </w:tcPr>
          <w:p w:rsidR="00FE7FEB" w:rsidRPr="004E7F7B" w:rsidRDefault="00FE7FEB" w:rsidP="004E7F7B">
            <w:pPr>
              <w:spacing w:after="0" w:line="240" w:lineRule="auto"/>
              <w:rPr>
                <w:rFonts w:ascii="Times New Roman" w:hAnsi="Times New Roman" w:cs="Times New Roman"/>
                <w:b/>
                <w:color w:val="FFFFFF" w:themeColor="background1"/>
              </w:rPr>
            </w:pPr>
            <w:r w:rsidRPr="004E7F7B">
              <w:rPr>
                <w:rFonts w:ascii="Times New Roman" w:hAnsi="Times New Roman" w:cs="Times New Roman"/>
                <w:b/>
                <w:color w:val="FFFFFF" w:themeColor="background1"/>
              </w:rPr>
              <w:t>Connection level</w:t>
            </w:r>
          </w:p>
        </w:tc>
        <w:tc>
          <w:tcPr>
            <w:tcW w:w="3202" w:type="dxa"/>
            <w:shd w:val="clear" w:color="auto" w:fill="6E9ECA"/>
            <w:hideMark/>
          </w:tcPr>
          <w:p w:rsidR="00FE7FEB" w:rsidRPr="004E7F7B" w:rsidRDefault="00FE7FEB" w:rsidP="004E7F7B">
            <w:pPr>
              <w:spacing w:after="0" w:line="240" w:lineRule="auto"/>
              <w:rPr>
                <w:rFonts w:ascii="Times New Roman" w:hAnsi="Times New Roman" w:cs="Times New Roman"/>
                <w:b/>
                <w:color w:val="FFFFFF" w:themeColor="background1"/>
              </w:rPr>
            </w:pPr>
            <w:r w:rsidRPr="004E7F7B">
              <w:rPr>
                <w:rFonts w:ascii="Times New Roman" w:hAnsi="Times New Roman" w:cs="Times New Roman"/>
                <w:b/>
                <w:color w:val="FFFFFF" w:themeColor="background1"/>
              </w:rPr>
              <w:t>Connecting-Disconnecting Fee (TL)</w:t>
            </w:r>
          </w:p>
        </w:tc>
      </w:tr>
      <w:tr w:rsidR="00FE7FEB" w:rsidRPr="004E7F7B" w:rsidTr="00D816E6">
        <w:trPr>
          <w:jc w:val="center"/>
        </w:trPr>
        <w:tc>
          <w:tcPr>
            <w:tcW w:w="3314" w:type="dxa"/>
            <w:hideMark/>
          </w:tcPr>
          <w:p w:rsidR="00FE7FEB" w:rsidRPr="004E7F7B" w:rsidRDefault="00FE7FEB"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LV</w:t>
            </w:r>
          </w:p>
        </w:tc>
        <w:tc>
          <w:tcPr>
            <w:tcW w:w="3202" w:type="dxa"/>
            <w:hideMark/>
          </w:tcPr>
          <w:p w:rsidR="00FE7FEB" w:rsidRPr="004E7F7B" w:rsidRDefault="00A8121B"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37,3</w:t>
            </w:r>
          </w:p>
        </w:tc>
      </w:tr>
      <w:tr w:rsidR="00FE7FEB" w:rsidRPr="004E7F7B" w:rsidTr="00D816E6">
        <w:trPr>
          <w:jc w:val="center"/>
        </w:trPr>
        <w:tc>
          <w:tcPr>
            <w:tcW w:w="3314" w:type="dxa"/>
            <w:hideMark/>
          </w:tcPr>
          <w:p w:rsidR="00FE7FEB" w:rsidRPr="004E7F7B" w:rsidRDefault="00FE7FEB"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MV</w:t>
            </w:r>
          </w:p>
        </w:tc>
        <w:tc>
          <w:tcPr>
            <w:tcW w:w="3202" w:type="dxa"/>
            <w:hideMark/>
          </w:tcPr>
          <w:p w:rsidR="00FE7FEB" w:rsidRPr="004E7F7B" w:rsidRDefault="00A8121B"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189,8</w:t>
            </w:r>
          </w:p>
        </w:tc>
      </w:tr>
    </w:tbl>
    <w:p w:rsidR="00FE7FEB" w:rsidRPr="004E7F7B" w:rsidRDefault="00FE7FEB" w:rsidP="004E7F7B">
      <w:pPr>
        <w:pStyle w:val="AralkYok"/>
        <w:jc w:val="both"/>
        <w:rPr>
          <w:rFonts w:ascii="Times New Roman" w:hAnsi="Times New Roman" w:cs="Times New Roman"/>
        </w:rPr>
      </w:pPr>
    </w:p>
    <w:p w:rsidR="00FE7FEB" w:rsidRPr="004E7F7B" w:rsidRDefault="00FE7FEB" w:rsidP="004E7F7B">
      <w:pPr>
        <w:pStyle w:val="Balk4"/>
        <w:rPr>
          <w:rFonts w:ascii="Times New Roman" w:hAnsi="Times New Roman" w:cs="Times New Roman"/>
          <w:sz w:val="22"/>
        </w:rPr>
      </w:pPr>
      <w:r w:rsidRPr="004E7F7B">
        <w:rPr>
          <w:rFonts w:ascii="Times New Roman" w:hAnsi="Times New Roman" w:cs="Times New Roman"/>
          <w:sz w:val="22"/>
        </w:rPr>
        <w:t>4.1.2.3.Security Deposit</w:t>
      </w:r>
      <w:bookmarkEnd w:id="157"/>
      <w:bookmarkEnd w:id="158"/>
    </w:p>
    <w:p w:rsidR="003B585D" w:rsidRPr="002A3D78" w:rsidRDefault="00A8121B" w:rsidP="004E7F7B">
      <w:pPr>
        <w:rPr>
          <w:b/>
          <w:iCs/>
        </w:rPr>
      </w:pPr>
      <w:r w:rsidRPr="004E7F7B">
        <w:t>As of 01.01.2020</w:t>
      </w:r>
      <w:r w:rsidR="00FE7FEB" w:rsidRPr="004E7F7B">
        <w:t>, it has been decided to apply the secur</w:t>
      </w:r>
      <w:r w:rsidRPr="004E7F7B">
        <w:t>ity deposit stated in Table 4.11</w:t>
      </w:r>
      <w:r w:rsidR="00FE7FEB" w:rsidRPr="004E7F7B">
        <w:t xml:space="preserve"> with the Board Decision date</w:t>
      </w:r>
      <w:r w:rsidRPr="004E7F7B">
        <w:t>d 26.12.2019 and numbered 9040-1</w:t>
      </w:r>
      <w:r w:rsidR="00FE7FEB" w:rsidRPr="004E7F7B">
        <w:t xml:space="preserve"> published i</w:t>
      </w:r>
      <w:r w:rsidRPr="004E7F7B">
        <w:t>n the Official Gazette No. 30993</w:t>
      </w:r>
      <w:r w:rsidR="00FE7FEB" w:rsidRPr="004E7F7B">
        <w:t xml:space="preserve"> dated </w:t>
      </w:r>
      <w:r w:rsidRPr="004E7F7B">
        <w:t>29.12.2019</w:t>
      </w:r>
    </w:p>
    <w:p w:rsidR="00FE7FEB" w:rsidRPr="004E7F7B" w:rsidRDefault="00A8121B" w:rsidP="004E7F7B">
      <w:pPr>
        <w:pStyle w:val="Balk5"/>
        <w:jc w:val="both"/>
        <w:rPr>
          <w:rFonts w:ascii="Times New Roman" w:hAnsi="Times New Roman" w:cs="Times New Roman"/>
        </w:rPr>
      </w:pPr>
      <w:bookmarkStart w:id="159" w:name="_Toc505346187"/>
      <w:bookmarkStart w:id="160" w:name="_Toc512874151"/>
      <w:bookmarkStart w:id="161" w:name="_Toc48818036"/>
      <w:r w:rsidRPr="004E7F7B">
        <w:rPr>
          <w:rStyle w:val="Gl"/>
          <w:rFonts w:ascii="Times New Roman" w:hAnsi="Times New Roman" w:cs="Times New Roman"/>
          <w:b/>
          <w:bCs w:val="0"/>
        </w:rPr>
        <w:t>Table 4.11</w:t>
      </w:r>
      <w:r w:rsidR="00FE7FEB" w:rsidRPr="004E7F7B">
        <w:rPr>
          <w:rStyle w:val="Gl"/>
          <w:rFonts w:ascii="Times New Roman" w:hAnsi="Times New Roman" w:cs="Times New Roman"/>
          <w:b/>
          <w:bCs w:val="0"/>
        </w:rPr>
        <w:t xml:space="preserve">: </w:t>
      </w:r>
      <w:bookmarkEnd w:id="159"/>
      <w:bookmarkEnd w:id="160"/>
      <w:r w:rsidR="00FE7FEB" w:rsidRPr="004E7F7B">
        <w:rPr>
          <w:rStyle w:val="Gl"/>
          <w:rFonts w:ascii="Times New Roman" w:hAnsi="Times New Roman" w:cs="Times New Roman"/>
          <w:b/>
          <w:bCs w:val="0"/>
        </w:rPr>
        <w:t>Security Deposits</w:t>
      </w:r>
      <w:bookmarkEnd w:id="161"/>
    </w:p>
    <w:tbl>
      <w:tblPr>
        <w:tblpPr w:leftFromText="141" w:rightFromText="141" w:vertAnchor="text" w:horzAnchor="margin" w:tblpXSpec="center" w:tblpY="124"/>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FE7FEB" w:rsidRPr="004E7F7B" w:rsidTr="00D816E6">
        <w:trPr>
          <w:trHeight w:val="377"/>
        </w:trPr>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color w:val="FFFFFF" w:themeColor="background1"/>
                <w:lang w:val="tr-TR"/>
              </w:rPr>
            </w:pPr>
            <w:r w:rsidRPr="004E7F7B">
              <w:rPr>
                <w:rFonts w:ascii="Times New Roman" w:hAnsi="Times New Roman" w:cs="Times New Roman"/>
                <w:b/>
                <w:color w:val="FFFFFF" w:themeColor="background1"/>
              </w:rPr>
              <w:t>Subscriber Groups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color w:val="FFFFFF" w:themeColor="background1"/>
              </w:rPr>
            </w:pPr>
            <w:r w:rsidRPr="004E7F7B">
              <w:rPr>
                <w:rFonts w:ascii="Times New Roman" w:hAnsi="Times New Roman" w:cs="Times New Roman"/>
                <w:b/>
                <w:color w:val="FFFFFF" w:themeColor="background1"/>
              </w:rPr>
              <w:t>Security Deposit Cost (TL/kW)</w:t>
            </w:r>
          </w:p>
        </w:tc>
      </w:tr>
      <w:tr w:rsidR="00FE7FEB" w:rsidRPr="004E7F7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FE7FE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Industrial and Commercial</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A8121B" w:rsidP="004E7F7B">
            <w:pPr>
              <w:spacing w:after="0"/>
              <w:rPr>
                <w:rFonts w:ascii="Times New Roman" w:hAnsi="Times New Roman" w:cs="Times New Roman"/>
                <w:color w:val="000000" w:themeColor="text1"/>
                <w:highlight w:val="yellow"/>
              </w:rPr>
            </w:pPr>
            <w:r w:rsidRPr="004E7F7B">
              <w:rPr>
                <w:rFonts w:ascii="Times New Roman" w:hAnsi="Times New Roman" w:cs="Times New Roman"/>
                <w:color w:val="000000" w:themeColor="text1"/>
              </w:rPr>
              <w:t>93,7</w:t>
            </w:r>
          </w:p>
        </w:tc>
      </w:tr>
      <w:tr w:rsidR="00FE7FEB" w:rsidRPr="004E7F7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FE7FE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Household</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A8121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33,0</w:t>
            </w:r>
          </w:p>
        </w:tc>
      </w:tr>
      <w:tr w:rsidR="00FE7FEB" w:rsidRPr="004E7F7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FE7FE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Families of Martyrs and war veterans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A8121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16,5</w:t>
            </w:r>
          </w:p>
        </w:tc>
      </w:tr>
      <w:tr w:rsidR="00FE7FEB" w:rsidRPr="004E7F7B" w:rsidTr="00D816E6">
        <w:tc>
          <w:tcPr>
            <w:tcW w:w="48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FE7FE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Agricultural irrigation, lighting and others</w:t>
            </w:r>
          </w:p>
        </w:tc>
        <w:tc>
          <w:tcPr>
            <w:tcW w:w="33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FE7FEB" w:rsidRPr="004E7F7B" w:rsidRDefault="00A8121B"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44,5</w:t>
            </w:r>
          </w:p>
        </w:tc>
      </w:tr>
    </w:tbl>
    <w:p w:rsidR="00FE7FEB" w:rsidRPr="004E7F7B" w:rsidRDefault="00FE7FEB" w:rsidP="004E7F7B">
      <w:pPr>
        <w:pStyle w:val="AralkYok"/>
        <w:jc w:val="both"/>
        <w:rPr>
          <w:rFonts w:ascii="Times New Roman" w:hAnsi="Times New Roman" w:cs="Times New Roman"/>
        </w:rPr>
      </w:pPr>
    </w:p>
    <w:p w:rsidR="00D129CF" w:rsidRPr="004E7F7B" w:rsidRDefault="00D129CF" w:rsidP="004E7F7B">
      <w:pPr>
        <w:rPr>
          <w:rFonts w:ascii="Times New Roman" w:eastAsiaTheme="majorEastAsia" w:hAnsi="Times New Roman" w:cs="Times New Roman"/>
          <w:bCs/>
          <w:i/>
          <w:iCs/>
          <w:color w:val="000000" w:themeColor="text1"/>
          <w:lang w:val="en-GB"/>
        </w:rPr>
      </w:pPr>
    </w:p>
    <w:p w:rsidR="00D129CF" w:rsidRPr="004E7F7B" w:rsidRDefault="00D129CF" w:rsidP="004E7F7B">
      <w:pPr>
        <w:rPr>
          <w:rFonts w:ascii="Times New Roman" w:hAnsi="Times New Roman" w:cs="Times New Roman"/>
        </w:rPr>
      </w:pPr>
    </w:p>
    <w:p w:rsidR="00FE7FEB" w:rsidRPr="004E7F7B" w:rsidRDefault="00FE7FEB" w:rsidP="004E7F7B">
      <w:pPr>
        <w:pStyle w:val="Balk4"/>
        <w:rPr>
          <w:rFonts w:ascii="Times New Roman" w:hAnsi="Times New Roman" w:cs="Times New Roman"/>
          <w:sz w:val="22"/>
        </w:rPr>
      </w:pPr>
      <w:r w:rsidRPr="004E7F7B">
        <w:rPr>
          <w:rFonts w:ascii="Times New Roman" w:hAnsi="Times New Roman" w:cs="Times New Roman"/>
          <w:sz w:val="22"/>
        </w:rPr>
        <w:t>4.1.2.4.Meter Control Fees</w:t>
      </w:r>
    </w:p>
    <w:p w:rsidR="00FE7FEB" w:rsidRPr="004E7F7B" w:rsidRDefault="00FE7FEB" w:rsidP="002A3D78">
      <w:r w:rsidRPr="004E7F7B">
        <w:t xml:space="preserve">With the Board Decision dated </w:t>
      </w:r>
      <w:r w:rsidR="00A8121B" w:rsidRPr="004E7F7B">
        <w:t>26.12.2019</w:t>
      </w:r>
      <w:r w:rsidRPr="004E7F7B">
        <w:t xml:space="preserve"> and numbered </w:t>
      </w:r>
      <w:r w:rsidR="00A8121B" w:rsidRPr="004E7F7B">
        <w:t>9040-3</w:t>
      </w:r>
      <w:r w:rsidRPr="004E7F7B">
        <w:t xml:space="preserve"> published in the Official Gazette dated </w:t>
      </w:r>
      <w:r w:rsidR="00A8121B" w:rsidRPr="004E7F7B">
        <w:t xml:space="preserve">29.12.2019 </w:t>
      </w:r>
      <w:r w:rsidRPr="004E7F7B">
        <w:t xml:space="preserve">and numbered </w:t>
      </w:r>
      <w:r w:rsidR="00A8121B" w:rsidRPr="004E7F7B">
        <w:t>30993</w:t>
      </w:r>
      <w:r w:rsidRPr="004E7F7B">
        <w:t xml:space="preserve"> it is decided to apply the meter control fees in the table hereunder as of 01.01.2019</w:t>
      </w:r>
      <w:bookmarkEnd w:id="96"/>
      <w:bookmarkEnd w:id="97"/>
    </w:p>
    <w:p w:rsidR="00FE7FEB" w:rsidRPr="004E7F7B" w:rsidRDefault="00A8121B" w:rsidP="004E7F7B">
      <w:pPr>
        <w:pStyle w:val="Balk5"/>
        <w:jc w:val="both"/>
        <w:rPr>
          <w:rStyle w:val="Gl"/>
          <w:rFonts w:ascii="Times New Roman" w:hAnsi="Times New Roman" w:cs="Times New Roman"/>
          <w:b/>
          <w:bCs w:val="0"/>
        </w:rPr>
      </w:pPr>
      <w:bookmarkStart w:id="162" w:name="_Toc505346188"/>
      <w:bookmarkStart w:id="163" w:name="_Toc512874152"/>
      <w:bookmarkStart w:id="164" w:name="_Toc48818037"/>
      <w:r w:rsidRPr="004E7F7B">
        <w:rPr>
          <w:rStyle w:val="Gl"/>
          <w:rFonts w:ascii="Times New Roman" w:hAnsi="Times New Roman" w:cs="Times New Roman"/>
          <w:b/>
          <w:bCs w:val="0"/>
        </w:rPr>
        <w:t>Table 4.12</w:t>
      </w:r>
      <w:r w:rsidR="00FE7FEB" w:rsidRPr="004E7F7B">
        <w:rPr>
          <w:rStyle w:val="Gl"/>
          <w:rFonts w:ascii="Times New Roman" w:hAnsi="Times New Roman" w:cs="Times New Roman"/>
          <w:b/>
          <w:bCs w:val="0"/>
        </w:rPr>
        <w:t xml:space="preserve">: </w:t>
      </w:r>
      <w:bookmarkEnd w:id="162"/>
      <w:bookmarkEnd w:id="163"/>
      <w:r w:rsidR="00FE7FEB" w:rsidRPr="004E7F7B">
        <w:rPr>
          <w:rStyle w:val="Gl"/>
          <w:rFonts w:ascii="Times New Roman" w:hAnsi="Times New Roman" w:cs="Times New Roman"/>
          <w:b/>
          <w:bCs w:val="0"/>
        </w:rPr>
        <w:t>Meter Control Fees</w:t>
      </w:r>
      <w:bookmarkEnd w:id="164"/>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FE7FEB" w:rsidRPr="004E7F7B" w:rsidTr="00D816E6">
        <w:trPr>
          <w:jc w:val="center"/>
        </w:trPr>
        <w:tc>
          <w:tcPr>
            <w:tcW w:w="6516"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Type of meter</w:t>
            </w:r>
          </w:p>
        </w:tc>
        <w:tc>
          <w:tcPr>
            <w:tcW w:w="2839"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Meter Control Fee (TL)</w:t>
            </w:r>
          </w:p>
        </w:tc>
      </w:tr>
      <w:tr w:rsidR="00FE7FEB" w:rsidRPr="004E7F7B" w:rsidTr="00D816E6">
        <w:trPr>
          <w:jc w:val="center"/>
        </w:trPr>
        <w:tc>
          <w:tcPr>
            <w:tcW w:w="6516"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Directly connected single phase active or triple phase active and/or reactive meters</w:t>
            </w:r>
          </w:p>
        </w:tc>
        <w:tc>
          <w:tcPr>
            <w:tcW w:w="2839" w:type="dxa"/>
          </w:tcPr>
          <w:p w:rsidR="00FE7FEB" w:rsidRPr="004E7F7B" w:rsidRDefault="00A8121B" w:rsidP="004E7F7B">
            <w:pPr>
              <w:tabs>
                <w:tab w:val="left" w:pos="6828"/>
              </w:tabs>
              <w:rPr>
                <w:rFonts w:ascii="Times New Roman" w:hAnsi="Times New Roman" w:cs="Times New Roman"/>
              </w:rPr>
            </w:pPr>
            <w:r w:rsidRPr="004E7F7B">
              <w:rPr>
                <w:rFonts w:ascii="Times New Roman" w:hAnsi="Times New Roman" w:cs="Times New Roman"/>
              </w:rPr>
              <w:t>24,4</w:t>
            </w:r>
          </w:p>
        </w:tc>
      </w:tr>
      <w:tr w:rsidR="00FE7FEB" w:rsidRPr="004E7F7B" w:rsidTr="00D816E6">
        <w:trPr>
          <w:jc w:val="center"/>
        </w:trPr>
        <w:tc>
          <w:tcPr>
            <w:tcW w:w="6516"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Active and/or reactive meters with current and/or voltage transformer</w:t>
            </w:r>
          </w:p>
        </w:tc>
        <w:tc>
          <w:tcPr>
            <w:tcW w:w="2839" w:type="dxa"/>
          </w:tcPr>
          <w:p w:rsidR="00FE7FEB" w:rsidRPr="004E7F7B" w:rsidRDefault="00A8121B" w:rsidP="004E7F7B">
            <w:pPr>
              <w:tabs>
                <w:tab w:val="left" w:pos="6828"/>
              </w:tabs>
              <w:rPr>
                <w:rFonts w:ascii="Times New Roman" w:hAnsi="Times New Roman" w:cs="Times New Roman"/>
              </w:rPr>
            </w:pPr>
            <w:r w:rsidRPr="004E7F7B">
              <w:rPr>
                <w:rFonts w:ascii="Times New Roman" w:hAnsi="Times New Roman" w:cs="Times New Roman"/>
              </w:rPr>
              <w:t>30,9</w:t>
            </w:r>
          </w:p>
        </w:tc>
      </w:tr>
    </w:tbl>
    <w:p w:rsidR="00FE7FEB" w:rsidRPr="004E7F7B" w:rsidRDefault="00FE7FEB" w:rsidP="004E7F7B">
      <w:pPr>
        <w:spacing w:after="120" w:line="240" w:lineRule="auto"/>
        <w:rPr>
          <w:rFonts w:ascii="Times New Roman" w:hAnsi="Times New Roman" w:cs="Times New Roman"/>
        </w:rPr>
      </w:pPr>
    </w:p>
    <w:p w:rsidR="00FE7FEB" w:rsidRPr="004E7F7B" w:rsidRDefault="00FE7FEB" w:rsidP="002A3D78">
      <w:r w:rsidRPr="004E7F7B">
        <w:t>In addition to the aforementioned arrrangements;</w:t>
      </w:r>
    </w:p>
    <w:p w:rsidR="00FE7FEB" w:rsidRPr="004E7F7B" w:rsidRDefault="00FE7FEB" w:rsidP="002A3D78">
      <w:r w:rsidRPr="004E7F7B">
        <w:t xml:space="preserve">- With the Board Decision dated </w:t>
      </w:r>
      <w:r w:rsidR="00D2623E" w:rsidRPr="004E7F7B">
        <w:t xml:space="preserve">26.12.2020 </w:t>
      </w:r>
      <w:r w:rsidRPr="004E7F7B">
        <w:t xml:space="preserve">and numbered </w:t>
      </w:r>
      <w:r w:rsidR="00D2623E" w:rsidRPr="004E7F7B">
        <w:t>9040-7</w:t>
      </w:r>
      <w:r w:rsidRPr="004E7F7B">
        <w:t xml:space="preserve"> published in the Official Gazette dated </w:t>
      </w:r>
      <w:r w:rsidR="00D2623E" w:rsidRPr="004E7F7B">
        <w:t xml:space="preserve">29.12.2019 </w:t>
      </w:r>
      <w:r w:rsidRPr="004E7F7B">
        <w:t xml:space="preserve">and numbered </w:t>
      </w:r>
      <w:r w:rsidR="00D2623E" w:rsidRPr="004E7F7B">
        <w:t>30993</w:t>
      </w:r>
      <w:r w:rsidRPr="004E7F7B">
        <w:t xml:space="preserve"> the application fees</w:t>
      </w:r>
      <w:r w:rsidR="00D2623E" w:rsidRPr="004E7F7B">
        <w:t xml:space="preserve"> for exempted generation for 2020</w:t>
      </w:r>
      <w:r w:rsidRPr="004E7F7B">
        <w:t xml:space="preserve"> collectible from the ne</w:t>
      </w:r>
      <w:r w:rsidR="00D2623E" w:rsidRPr="004E7F7B">
        <w:t>twork operator as per the Art.36</w:t>
      </w:r>
      <w:r w:rsidRPr="004E7F7B">
        <w:t xml:space="preserve"> of the Regulation on Exempted Generation in the Electricity Market are determined as follows;  </w:t>
      </w:r>
    </w:p>
    <w:p w:rsidR="00FE7FEB" w:rsidRPr="004E7F7B" w:rsidRDefault="00FE7FEB" w:rsidP="004E7F7B">
      <w:pPr>
        <w:pStyle w:val="Balk5"/>
        <w:jc w:val="both"/>
        <w:rPr>
          <w:rStyle w:val="Gl"/>
          <w:rFonts w:ascii="Times New Roman" w:hAnsi="Times New Roman" w:cs="Times New Roman"/>
          <w:b/>
          <w:bCs w:val="0"/>
        </w:rPr>
      </w:pPr>
      <w:bookmarkStart w:id="165" w:name="_Toc505346189"/>
      <w:bookmarkStart w:id="166" w:name="_Toc512874153"/>
      <w:bookmarkStart w:id="167" w:name="_Toc48818038"/>
      <w:r w:rsidRPr="004E7F7B">
        <w:rPr>
          <w:rStyle w:val="Gl"/>
          <w:rFonts w:ascii="Times New Roman" w:hAnsi="Times New Roman" w:cs="Times New Roman"/>
          <w:b/>
          <w:bCs w:val="0"/>
        </w:rPr>
        <w:t>Table 4.1</w:t>
      </w:r>
      <w:r w:rsidR="00D2623E" w:rsidRPr="004E7F7B">
        <w:rPr>
          <w:rStyle w:val="Gl"/>
          <w:rFonts w:ascii="Times New Roman" w:hAnsi="Times New Roman" w:cs="Times New Roman"/>
          <w:b/>
          <w:bCs w:val="0"/>
        </w:rPr>
        <w:t>2</w:t>
      </w:r>
      <w:r w:rsidRPr="004E7F7B">
        <w:rPr>
          <w:rStyle w:val="Gl"/>
          <w:rFonts w:ascii="Times New Roman" w:hAnsi="Times New Roman" w:cs="Times New Roman"/>
          <w:b/>
          <w:bCs w:val="0"/>
        </w:rPr>
        <w:t>: Exempted Generation Application Fee</w:t>
      </w:r>
      <w:bookmarkEnd w:id="165"/>
      <w:bookmarkEnd w:id="166"/>
      <w:bookmarkEnd w:id="16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4E7F7B" w:rsidTr="00D816E6">
        <w:trPr>
          <w:jc w:val="center"/>
        </w:trPr>
        <w:tc>
          <w:tcPr>
            <w:tcW w:w="3789"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Installed Capacity</w:t>
            </w:r>
          </w:p>
        </w:tc>
        <w:tc>
          <w:tcPr>
            <w:tcW w:w="3724"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Application fee (TL)</w:t>
            </w:r>
          </w:p>
        </w:tc>
      </w:tr>
      <w:tr w:rsidR="00FE7FEB" w:rsidRPr="004E7F7B" w:rsidTr="00D816E6">
        <w:trPr>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0-250 kW (included)</w:t>
            </w:r>
          </w:p>
        </w:tc>
        <w:tc>
          <w:tcPr>
            <w:tcW w:w="3724"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w:t>
            </w:r>
          </w:p>
        </w:tc>
      </w:tr>
      <w:tr w:rsidR="00FE7FEB" w:rsidRPr="004E7F7B" w:rsidTr="00D816E6">
        <w:trPr>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 xml:space="preserve">More than 250 kW </w:t>
            </w:r>
          </w:p>
        </w:tc>
        <w:tc>
          <w:tcPr>
            <w:tcW w:w="3724" w:type="dxa"/>
          </w:tcPr>
          <w:p w:rsidR="00FE7FEB" w:rsidRPr="004E7F7B" w:rsidRDefault="00D2623E" w:rsidP="004E7F7B">
            <w:pPr>
              <w:tabs>
                <w:tab w:val="left" w:pos="6828"/>
              </w:tabs>
              <w:rPr>
                <w:rFonts w:ascii="Times New Roman" w:hAnsi="Times New Roman" w:cs="Times New Roman"/>
              </w:rPr>
            </w:pPr>
            <w:r w:rsidRPr="004E7F7B">
              <w:rPr>
                <w:rFonts w:ascii="Times New Roman" w:hAnsi="Times New Roman" w:cs="Times New Roman"/>
              </w:rPr>
              <w:t>830,9</w:t>
            </w:r>
          </w:p>
        </w:tc>
      </w:tr>
    </w:tbl>
    <w:p w:rsidR="00FE7FEB" w:rsidRPr="004E7F7B" w:rsidRDefault="00FE7FEB" w:rsidP="004E7F7B">
      <w:pPr>
        <w:tabs>
          <w:tab w:val="left" w:pos="6828"/>
        </w:tabs>
        <w:spacing w:after="0"/>
        <w:rPr>
          <w:rFonts w:ascii="Times New Roman" w:hAnsi="Times New Roman" w:cs="Times New Roman"/>
        </w:rPr>
      </w:pPr>
    </w:p>
    <w:p w:rsidR="00FE7FEB" w:rsidRPr="004E7F7B" w:rsidRDefault="00FE7FEB" w:rsidP="002A3D78">
      <w:r w:rsidRPr="004E7F7B">
        <w:t xml:space="preserve">- With the Board Decision dated </w:t>
      </w:r>
      <w:r w:rsidR="00D2623E" w:rsidRPr="004E7F7B">
        <w:t xml:space="preserve">26.12.2020 </w:t>
      </w:r>
      <w:r w:rsidRPr="004E7F7B">
        <w:t xml:space="preserve">and numbered </w:t>
      </w:r>
      <w:r w:rsidR="00D2623E" w:rsidRPr="004E7F7B">
        <w:t>9040-8</w:t>
      </w:r>
      <w:r w:rsidRPr="004E7F7B">
        <w:t xml:space="preserve"> published in the Official Gazette dated </w:t>
      </w:r>
      <w:r w:rsidR="00D2623E" w:rsidRPr="004E7F7B">
        <w:t xml:space="preserve">29.12.2019 </w:t>
      </w:r>
      <w:r w:rsidRPr="004E7F7B">
        <w:t xml:space="preserve">and numbered </w:t>
      </w:r>
      <w:r w:rsidR="00D2623E" w:rsidRPr="004E7F7B">
        <w:t>30993</w:t>
      </w:r>
      <w:r w:rsidRPr="004E7F7B">
        <w:t xml:space="preserve"> the annual operational cost to be colected by the assigned supplier compan</w:t>
      </w:r>
      <w:r w:rsidR="00D2623E" w:rsidRPr="004E7F7B">
        <w:t>y in 2020</w:t>
      </w:r>
      <w:r w:rsidRPr="004E7F7B">
        <w:t xml:space="preserve"> as per the Art.3</w:t>
      </w:r>
      <w:r w:rsidR="00D2623E" w:rsidRPr="004E7F7B">
        <w:t>6</w:t>
      </w:r>
      <w:r w:rsidRPr="004E7F7B">
        <w:t xml:space="preserve"> of the Exempted Electricity Generation in the Electricity Market Regulation is determined as follows;</w:t>
      </w:r>
    </w:p>
    <w:p w:rsidR="00FE7FEB" w:rsidRPr="004E7F7B" w:rsidRDefault="00D2623E" w:rsidP="004E7F7B">
      <w:pPr>
        <w:pStyle w:val="Balk5"/>
        <w:jc w:val="both"/>
        <w:rPr>
          <w:rFonts w:ascii="Times New Roman" w:hAnsi="Times New Roman" w:cs="Times New Roman"/>
        </w:rPr>
      </w:pPr>
      <w:bookmarkStart w:id="168" w:name="_Toc505346190"/>
      <w:bookmarkStart w:id="169" w:name="_Toc512874154"/>
      <w:bookmarkStart w:id="170" w:name="_Toc48818039"/>
      <w:r w:rsidRPr="004E7F7B">
        <w:rPr>
          <w:rStyle w:val="Gl"/>
          <w:rFonts w:ascii="Times New Roman" w:hAnsi="Times New Roman" w:cs="Times New Roman"/>
          <w:b/>
          <w:bCs w:val="0"/>
        </w:rPr>
        <w:t>Table 4.13</w:t>
      </w:r>
      <w:r w:rsidR="00FE7FEB" w:rsidRPr="004E7F7B">
        <w:rPr>
          <w:rStyle w:val="Gl"/>
          <w:rFonts w:ascii="Times New Roman" w:hAnsi="Times New Roman" w:cs="Times New Roman"/>
          <w:b/>
          <w:bCs w:val="0"/>
        </w:rPr>
        <w:t>: Exempted Generation Operational Cost</w:t>
      </w:r>
      <w:bookmarkEnd w:id="168"/>
      <w:r w:rsidR="00FE7FEB" w:rsidRPr="004E7F7B">
        <w:rPr>
          <w:rStyle w:val="Gl"/>
          <w:rFonts w:ascii="Times New Roman" w:hAnsi="Times New Roman" w:cs="Times New Roman"/>
          <w:b/>
          <w:bCs w:val="0"/>
        </w:rPr>
        <w:t xml:space="preserve"> (Assigned Supplier Companies)</w:t>
      </w:r>
      <w:bookmarkEnd w:id="169"/>
      <w:bookmarkEnd w:id="170"/>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4E7F7B" w:rsidTr="00D816E6">
        <w:trPr>
          <w:jc w:val="center"/>
        </w:trPr>
        <w:tc>
          <w:tcPr>
            <w:tcW w:w="3789"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Installed Capacity</w:t>
            </w:r>
          </w:p>
        </w:tc>
        <w:tc>
          <w:tcPr>
            <w:tcW w:w="3724"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Operation cost (TL/year)</w:t>
            </w:r>
          </w:p>
        </w:tc>
      </w:tr>
      <w:tr w:rsidR="00FE7FEB" w:rsidRPr="004E7F7B" w:rsidTr="00D816E6">
        <w:trPr>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0-250 kW (included)</w:t>
            </w:r>
          </w:p>
        </w:tc>
        <w:tc>
          <w:tcPr>
            <w:tcW w:w="3724"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w:t>
            </w:r>
          </w:p>
        </w:tc>
      </w:tr>
      <w:tr w:rsidR="00FE7FEB" w:rsidRPr="004E7F7B" w:rsidTr="00D816E6">
        <w:trPr>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 xml:space="preserve">More than 250 kW </w:t>
            </w:r>
          </w:p>
        </w:tc>
        <w:tc>
          <w:tcPr>
            <w:tcW w:w="3724" w:type="dxa"/>
          </w:tcPr>
          <w:p w:rsidR="00FE7FEB" w:rsidRPr="004E7F7B" w:rsidRDefault="00D2623E" w:rsidP="004E7F7B">
            <w:pPr>
              <w:tabs>
                <w:tab w:val="left" w:pos="6828"/>
              </w:tabs>
              <w:rPr>
                <w:rFonts w:ascii="Times New Roman" w:hAnsi="Times New Roman" w:cs="Times New Roman"/>
              </w:rPr>
            </w:pPr>
            <w:r w:rsidRPr="004E7F7B">
              <w:rPr>
                <w:rFonts w:ascii="Times New Roman" w:hAnsi="Times New Roman" w:cs="Times New Roman"/>
              </w:rPr>
              <w:t>1.661,9</w:t>
            </w:r>
          </w:p>
        </w:tc>
      </w:tr>
    </w:tbl>
    <w:p w:rsidR="00FE7FEB" w:rsidRPr="004E7F7B" w:rsidRDefault="00FE7FEB" w:rsidP="004E7F7B">
      <w:pPr>
        <w:rPr>
          <w:rFonts w:ascii="Times New Roman" w:hAnsi="Times New Roman" w:cs="Times New Roman"/>
        </w:rPr>
      </w:pPr>
    </w:p>
    <w:p w:rsidR="00FE7FEB" w:rsidRPr="004E7F7B" w:rsidRDefault="00FE7FEB" w:rsidP="002A3D78">
      <w:r w:rsidRPr="004E7F7B">
        <w:t xml:space="preserve">- With the Board Decision dated </w:t>
      </w:r>
      <w:r w:rsidR="00D2623E" w:rsidRPr="004E7F7B">
        <w:t>26.12.2019</w:t>
      </w:r>
      <w:r w:rsidRPr="004E7F7B">
        <w:t xml:space="preserve"> and numbered </w:t>
      </w:r>
      <w:r w:rsidR="00D2623E" w:rsidRPr="004E7F7B">
        <w:t>9040-9</w:t>
      </w:r>
      <w:r w:rsidRPr="004E7F7B">
        <w:t xml:space="preserve"> published in the Official Gazette dated </w:t>
      </w:r>
      <w:r w:rsidR="00D2623E" w:rsidRPr="004E7F7B">
        <w:t xml:space="preserve">29.12.2019 </w:t>
      </w:r>
      <w:r w:rsidRPr="004E7F7B">
        <w:t xml:space="preserve">and numbered 30629 annual operational cost to be collected </w:t>
      </w:r>
      <w:r w:rsidR="00D2623E" w:rsidRPr="004E7F7B">
        <w:t>by distribution companies in 2020</w:t>
      </w:r>
      <w:r w:rsidRPr="004E7F7B">
        <w:t xml:space="preserve"> as per the second paragraph of Art.3</w:t>
      </w:r>
      <w:r w:rsidR="00D2623E" w:rsidRPr="004E7F7B">
        <w:t>6</w:t>
      </w:r>
      <w:r w:rsidRPr="004E7F7B">
        <w:t xml:space="preserve"> of the Regulation on Exempted electricity Generation ofElectricity Distribution Companies in Electricity Market is determined as follows; </w:t>
      </w:r>
    </w:p>
    <w:p w:rsidR="00FE7FEB" w:rsidRPr="004E7F7B" w:rsidRDefault="00FE7FEB" w:rsidP="004E7F7B">
      <w:pPr>
        <w:pStyle w:val="Balk5"/>
        <w:jc w:val="both"/>
        <w:rPr>
          <w:rFonts w:ascii="Times New Roman" w:hAnsi="Times New Roman" w:cs="Times New Roman"/>
        </w:rPr>
      </w:pPr>
      <w:bookmarkStart w:id="171" w:name="_Toc512874155"/>
      <w:bookmarkStart w:id="172" w:name="_Toc48818040"/>
      <w:r w:rsidRPr="004E7F7B">
        <w:rPr>
          <w:rStyle w:val="Gl"/>
          <w:rFonts w:ascii="Times New Roman" w:hAnsi="Times New Roman" w:cs="Times New Roman"/>
          <w:b/>
          <w:bCs w:val="0"/>
        </w:rPr>
        <w:t>Table 4.18: Exempted Generation Operational Cost  (Electricity Distribution Companies)</w:t>
      </w:r>
      <w:bookmarkEnd w:id="171"/>
      <w:bookmarkEnd w:id="17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7FEB" w:rsidRPr="004E7F7B" w:rsidTr="0095465A">
        <w:trPr>
          <w:trHeight w:val="227"/>
          <w:jc w:val="center"/>
        </w:trPr>
        <w:tc>
          <w:tcPr>
            <w:tcW w:w="3789"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Installed Capacity</w:t>
            </w:r>
          </w:p>
        </w:tc>
        <w:tc>
          <w:tcPr>
            <w:tcW w:w="3724" w:type="dxa"/>
            <w:shd w:val="clear" w:color="auto" w:fill="6E9ECA"/>
            <w:vAlign w:val="center"/>
          </w:tcPr>
          <w:p w:rsidR="00FE7FEB" w:rsidRPr="004E7F7B" w:rsidRDefault="00FE7FEB" w:rsidP="004E7F7B">
            <w:pPr>
              <w:tabs>
                <w:tab w:val="left" w:pos="6828"/>
              </w:tabs>
              <w:rPr>
                <w:rFonts w:ascii="Times New Roman" w:hAnsi="Times New Roman" w:cs="Times New Roman"/>
                <w:b/>
                <w:color w:val="FFFFFF" w:themeColor="background1"/>
              </w:rPr>
            </w:pPr>
            <w:r w:rsidRPr="004E7F7B">
              <w:rPr>
                <w:rFonts w:ascii="Times New Roman" w:hAnsi="Times New Roman" w:cs="Times New Roman"/>
                <w:b/>
                <w:color w:val="FFFFFF" w:themeColor="background1"/>
              </w:rPr>
              <w:t>Operational Cost (TL/year)</w:t>
            </w:r>
          </w:p>
        </w:tc>
      </w:tr>
      <w:tr w:rsidR="00FE7FEB" w:rsidRPr="004E7F7B" w:rsidTr="0095465A">
        <w:trPr>
          <w:trHeight w:val="227"/>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0-10 kW (included)</w:t>
            </w:r>
          </w:p>
        </w:tc>
        <w:tc>
          <w:tcPr>
            <w:tcW w:w="3724"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0</w:t>
            </w:r>
          </w:p>
        </w:tc>
      </w:tr>
      <w:tr w:rsidR="00FE7FEB" w:rsidRPr="004E7F7B" w:rsidTr="0095465A">
        <w:trPr>
          <w:trHeight w:val="227"/>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10-250 kW (included)</w:t>
            </w:r>
          </w:p>
        </w:tc>
        <w:tc>
          <w:tcPr>
            <w:tcW w:w="3724" w:type="dxa"/>
          </w:tcPr>
          <w:p w:rsidR="00FE7FEB" w:rsidRPr="004E7F7B" w:rsidRDefault="00D2623E" w:rsidP="004E7F7B">
            <w:pPr>
              <w:tabs>
                <w:tab w:val="left" w:pos="6828"/>
              </w:tabs>
              <w:rPr>
                <w:rFonts w:ascii="Times New Roman" w:hAnsi="Times New Roman" w:cs="Times New Roman"/>
              </w:rPr>
            </w:pPr>
            <w:r w:rsidRPr="004E7F7B">
              <w:rPr>
                <w:rFonts w:ascii="Times New Roman" w:hAnsi="Times New Roman" w:cs="Times New Roman"/>
              </w:rPr>
              <w:t>1.661,8</w:t>
            </w:r>
          </w:p>
        </w:tc>
      </w:tr>
      <w:tr w:rsidR="00FE7FEB" w:rsidRPr="004E7F7B" w:rsidTr="0095465A">
        <w:trPr>
          <w:trHeight w:val="227"/>
          <w:jc w:val="center"/>
        </w:trPr>
        <w:tc>
          <w:tcPr>
            <w:tcW w:w="3789" w:type="dxa"/>
          </w:tcPr>
          <w:p w:rsidR="00FE7FEB" w:rsidRPr="004E7F7B" w:rsidRDefault="00FE7FEB" w:rsidP="004E7F7B">
            <w:pPr>
              <w:tabs>
                <w:tab w:val="left" w:pos="6828"/>
              </w:tabs>
              <w:rPr>
                <w:rFonts w:ascii="Times New Roman" w:hAnsi="Times New Roman" w:cs="Times New Roman"/>
              </w:rPr>
            </w:pPr>
            <w:r w:rsidRPr="004E7F7B">
              <w:rPr>
                <w:rFonts w:ascii="Times New Roman" w:hAnsi="Times New Roman" w:cs="Times New Roman"/>
              </w:rPr>
              <w:t xml:space="preserve">More than 250 kW </w:t>
            </w:r>
          </w:p>
        </w:tc>
        <w:tc>
          <w:tcPr>
            <w:tcW w:w="3724" w:type="dxa"/>
          </w:tcPr>
          <w:p w:rsidR="00FE7FEB" w:rsidRPr="004E7F7B" w:rsidRDefault="00D2623E" w:rsidP="004E7F7B">
            <w:pPr>
              <w:tabs>
                <w:tab w:val="left" w:pos="6828"/>
              </w:tabs>
              <w:rPr>
                <w:rFonts w:ascii="Times New Roman" w:hAnsi="Times New Roman" w:cs="Times New Roman"/>
              </w:rPr>
            </w:pPr>
            <w:r w:rsidRPr="004E7F7B">
              <w:rPr>
                <w:rFonts w:ascii="Times New Roman" w:hAnsi="Times New Roman" w:cs="Times New Roman"/>
              </w:rPr>
              <w:t>2.323,6</w:t>
            </w:r>
          </w:p>
        </w:tc>
      </w:tr>
    </w:tbl>
    <w:p w:rsidR="00FE7FEB" w:rsidRPr="004E7F7B" w:rsidRDefault="00FE7FEB" w:rsidP="004E7F7B">
      <w:pPr>
        <w:pStyle w:val="Balk3"/>
        <w:rPr>
          <w:rFonts w:ascii="Times New Roman" w:hAnsi="Times New Roman" w:cs="Times New Roman"/>
          <w:sz w:val="22"/>
          <w:szCs w:val="22"/>
        </w:rPr>
      </w:pPr>
      <w:bookmarkStart w:id="173" w:name="_Toc505346071"/>
      <w:bookmarkStart w:id="174" w:name="_Toc514251652"/>
      <w:bookmarkStart w:id="175" w:name="_Toc48817856"/>
      <w:r w:rsidRPr="004E7F7B">
        <w:rPr>
          <w:rFonts w:ascii="Times New Roman" w:hAnsi="Times New Roman" w:cs="Times New Roman"/>
          <w:sz w:val="22"/>
          <w:szCs w:val="22"/>
        </w:rPr>
        <w:t>4.1.3.Market Operation Tariff</w:t>
      </w:r>
      <w:bookmarkEnd w:id="173"/>
      <w:bookmarkEnd w:id="174"/>
      <w:bookmarkEnd w:id="175"/>
    </w:p>
    <w:p w:rsidR="00FE7FEB" w:rsidRPr="004E7F7B" w:rsidRDefault="00FE7FEB" w:rsidP="002A3D78">
      <w:r w:rsidRPr="004E7F7B">
        <w:t xml:space="preserve">EPİAŞ's market </w:t>
      </w:r>
      <w:r w:rsidR="00D2623E" w:rsidRPr="004E7F7B">
        <w:t>operating income ceiling for 2020 was determined as in Table 4.16</w:t>
      </w:r>
      <w:r w:rsidRPr="004E7F7B">
        <w:t xml:space="preserve"> with the Board Decision date</w:t>
      </w:r>
      <w:r w:rsidR="00D2623E" w:rsidRPr="004E7F7B">
        <w:t>d 26.12.2019 and numbered 9095</w:t>
      </w:r>
      <w:r w:rsidRPr="004E7F7B">
        <w:t xml:space="preserve"> published in the Official Gazette dated </w:t>
      </w:r>
      <w:r w:rsidR="00D2623E" w:rsidRPr="004E7F7B">
        <w:rPr>
          <w:rFonts w:eastAsia="Batang"/>
          <w:lang w:eastAsia="ko-KR"/>
        </w:rPr>
        <w:t>29.12.2019</w:t>
      </w:r>
      <w:r w:rsidR="00D2623E" w:rsidRPr="004E7F7B">
        <w:t xml:space="preserve"> and numbered 30993</w:t>
      </w:r>
      <w:r w:rsidRPr="004E7F7B">
        <w:t xml:space="preserve"> and </w:t>
      </w:r>
      <w:r w:rsidR="00D2623E" w:rsidRPr="004E7F7B">
        <w:t>9097</w:t>
      </w:r>
      <w:r w:rsidRPr="004E7F7B">
        <w:t xml:space="preserve"> with the decision of the Organized Wholesale Natural Gas Sales Market Operation Income Ceiling to be applied to meet the price and commissions and the method of implementation has been adopted.</w:t>
      </w:r>
    </w:p>
    <w:p w:rsidR="00FE7FEB" w:rsidRPr="004E7F7B" w:rsidRDefault="00D2623E" w:rsidP="004E7F7B">
      <w:pPr>
        <w:pStyle w:val="Balk5"/>
        <w:jc w:val="both"/>
        <w:rPr>
          <w:rFonts w:ascii="Times New Roman" w:hAnsi="Times New Roman" w:cs="Times New Roman"/>
        </w:rPr>
      </w:pPr>
      <w:bookmarkStart w:id="176" w:name="_Toc505346191"/>
      <w:bookmarkStart w:id="177" w:name="_Toc512874156"/>
      <w:bookmarkStart w:id="178" w:name="_Toc48818041"/>
      <w:r w:rsidRPr="004E7F7B">
        <w:rPr>
          <w:rStyle w:val="Gl"/>
          <w:rFonts w:ascii="Times New Roman" w:hAnsi="Times New Roman" w:cs="Times New Roman"/>
          <w:b/>
          <w:bCs w:val="0"/>
        </w:rPr>
        <w:t>Table 4.16</w:t>
      </w:r>
      <w:r w:rsidR="00FE7FEB" w:rsidRPr="004E7F7B">
        <w:rPr>
          <w:rStyle w:val="Gl"/>
          <w:rFonts w:ascii="Times New Roman" w:hAnsi="Times New Roman" w:cs="Times New Roman"/>
          <w:b/>
          <w:bCs w:val="0"/>
        </w:rPr>
        <w:t>: EPİAŞ Market Operation Price Cap in 20</w:t>
      </w:r>
      <w:bookmarkEnd w:id="176"/>
      <w:bookmarkEnd w:id="177"/>
      <w:r w:rsidR="00D31778" w:rsidRPr="004E7F7B">
        <w:rPr>
          <w:rStyle w:val="Gl"/>
          <w:rFonts w:ascii="Times New Roman" w:hAnsi="Times New Roman" w:cs="Times New Roman"/>
          <w:b/>
          <w:bCs w:val="0"/>
        </w:rPr>
        <w:t>20</w:t>
      </w:r>
      <w:bookmarkEnd w:id="178"/>
    </w:p>
    <w:tbl>
      <w:tblPr>
        <w:tblW w:w="922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7560"/>
        <w:gridCol w:w="1660"/>
      </w:tblGrid>
      <w:tr w:rsidR="00FE7FEB" w:rsidRPr="004E7F7B" w:rsidTr="00D816E6">
        <w:trPr>
          <w:trHeight w:val="315"/>
          <w:jc w:val="center"/>
        </w:trPr>
        <w:tc>
          <w:tcPr>
            <w:tcW w:w="7560" w:type="dxa"/>
            <w:shd w:val="clear" w:color="auto" w:fill="auto"/>
            <w:noWrap/>
            <w:vAlign w:val="center"/>
            <w:hideMark/>
          </w:tcPr>
          <w:p w:rsidR="00FE7FEB" w:rsidRPr="004E7F7B" w:rsidRDefault="00D31778" w:rsidP="004E7F7B">
            <w:pPr>
              <w:spacing w:after="0" w:line="240" w:lineRule="auto"/>
              <w:rPr>
                <w:rFonts w:ascii="Times New Roman" w:eastAsia="Times New Roman" w:hAnsi="Times New Roman" w:cs="Times New Roman"/>
                <w:bCs/>
                <w:lang w:eastAsia="tr-TR"/>
              </w:rPr>
            </w:pPr>
            <w:bookmarkStart w:id="179" w:name="_Toc505346192"/>
            <w:r w:rsidRPr="004E7F7B">
              <w:rPr>
                <w:rFonts w:ascii="Times New Roman" w:eastAsia="Times New Roman" w:hAnsi="Times New Roman" w:cs="Times New Roman"/>
                <w:bCs/>
                <w:lang w:eastAsia="tr-TR"/>
              </w:rPr>
              <w:t>2020</w:t>
            </w:r>
            <w:r w:rsidR="00FE7FEB" w:rsidRPr="004E7F7B">
              <w:rPr>
                <w:rFonts w:ascii="Times New Roman" w:eastAsia="Times New Roman" w:hAnsi="Times New Roman" w:cs="Times New Roman"/>
                <w:bCs/>
                <w:lang w:eastAsia="tr-TR"/>
              </w:rPr>
              <w:t xml:space="preserve"> Market Operation Revenue Cap - Electricity Market Share </w:t>
            </w:r>
            <w:r w:rsidRPr="004E7F7B">
              <w:rPr>
                <w:rFonts w:ascii="Times New Roman" w:eastAsia="Times New Roman" w:hAnsi="Times New Roman" w:cs="Times New Roman"/>
                <w:lang w:eastAsia="tr-TR"/>
              </w:rPr>
              <w:t>(TL - CPI=461,98</w:t>
            </w:r>
            <w:r w:rsidR="00FE7FEB" w:rsidRPr="004E7F7B">
              <w:rPr>
                <w:rFonts w:ascii="Times New Roman" w:eastAsia="Times New Roman" w:hAnsi="Times New Roman" w:cs="Times New Roman"/>
                <w:lang w:eastAsia="tr-TR"/>
              </w:rPr>
              <w:t>)</w:t>
            </w:r>
          </w:p>
        </w:tc>
        <w:tc>
          <w:tcPr>
            <w:tcW w:w="1660" w:type="dxa"/>
            <w:shd w:val="clear" w:color="auto" w:fill="auto"/>
            <w:noWrap/>
            <w:vAlign w:val="center"/>
            <w:hideMark/>
          </w:tcPr>
          <w:p w:rsidR="00FE7FEB" w:rsidRPr="004E7F7B" w:rsidRDefault="00D2623E" w:rsidP="004E7F7B">
            <w:pPr>
              <w:spacing w:after="0" w:line="240" w:lineRule="auto"/>
              <w:rPr>
                <w:rFonts w:ascii="Times New Roman" w:eastAsia="Times New Roman" w:hAnsi="Times New Roman" w:cs="Times New Roman"/>
                <w:bCs/>
                <w:lang w:eastAsia="tr-TR"/>
              </w:rPr>
            </w:pPr>
            <w:r w:rsidRPr="004E7F7B">
              <w:rPr>
                <w:rFonts w:ascii="Times New Roman" w:eastAsia="Times New Roman" w:hAnsi="Times New Roman" w:cs="Times New Roman"/>
                <w:bCs/>
                <w:lang w:eastAsia="tr-TR"/>
              </w:rPr>
              <w:t>157</w:t>
            </w:r>
            <w:r w:rsidR="00FE7FEB" w:rsidRPr="004E7F7B">
              <w:rPr>
                <w:rFonts w:ascii="Times New Roman" w:eastAsia="Times New Roman" w:hAnsi="Times New Roman" w:cs="Times New Roman"/>
                <w:bCs/>
                <w:lang w:eastAsia="tr-TR"/>
              </w:rPr>
              <w:t>.</w:t>
            </w:r>
            <w:r w:rsidRPr="004E7F7B">
              <w:rPr>
                <w:rFonts w:ascii="Times New Roman" w:eastAsia="Times New Roman" w:hAnsi="Times New Roman" w:cs="Times New Roman"/>
                <w:bCs/>
                <w:lang w:eastAsia="tr-TR"/>
              </w:rPr>
              <w:t>578.141</w:t>
            </w:r>
          </w:p>
        </w:tc>
      </w:tr>
      <w:tr w:rsidR="00FE7FEB" w:rsidRPr="004E7F7B" w:rsidTr="00D816E6">
        <w:trPr>
          <w:trHeight w:val="315"/>
          <w:jc w:val="center"/>
        </w:trPr>
        <w:tc>
          <w:tcPr>
            <w:tcW w:w="7560" w:type="dxa"/>
            <w:shd w:val="clear" w:color="auto" w:fill="auto"/>
            <w:noWrap/>
            <w:vAlign w:val="center"/>
            <w:hideMark/>
          </w:tcPr>
          <w:p w:rsidR="00FE7FEB" w:rsidRPr="004E7F7B" w:rsidRDefault="00D31778" w:rsidP="004E7F7B">
            <w:pPr>
              <w:spacing w:after="0" w:line="240" w:lineRule="auto"/>
              <w:rPr>
                <w:rFonts w:ascii="Times New Roman" w:eastAsia="Times New Roman" w:hAnsi="Times New Roman" w:cs="Times New Roman"/>
                <w:bCs/>
                <w:lang w:eastAsia="tr-TR"/>
              </w:rPr>
            </w:pPr>
            <w:r w:rsidRPr="004E7F7B">
              <w:rPr>
                <w:rFonts w:ascii="Times New Roman" w:eastAsia="Times New Roman" w:hAnsi="Times New Roman" w:cs="Times New Roman"/>
                <w:bCs/>
                <w:lang w:eastAsia="tr-TR"/>
              </w:rPr>
              <w:t>2020</w:t>
            </w:r>
            <w:r w:rsidR="00FE7FEB" w:rsidRPr="004E7F7B">
              <w:rPr>
                <w:rFonts w:ascii="Times New Roman" w:eastAsia="Times New Roman" w:hAnsi="Times New Roman" w:cs="Times New Roman"/>
                <w:bCs/>
                <w:lang w:eastAsia="tr-TR"/>
              </w:rPr>
              <w:t xml:space="preserve"> Market Operation Revenue Cap - Natural Gas Market Share </w:t>
            </w:r>
            <w:r w:rsidR="00FE7FEB" w:rsidRPr="004E7F7B">
              <w:rPr>
                <w:rFonts w:ascii="Times New Roman" w:eastAsia="Times New Roman" w:hAnsi="Times New Roman" w:cs="Times New Roman"/>
                <w:lang w:eastAsia="tr-TR"/>
              </w:rPr>
              <w:t>(TL - CPI=</w:t>
            </w:r>
            <w:r w:rsidRPr="004E7F7B">
              <w:rPr>
                <w:rFonts w:ascii="Times New Roman" w:eastAsia="Times New Roman" w:hAnsi="Times New Roman" w:cs="Times New Roman"/>
                <w:lang w:eastAsia="tr-TR"/>
              </w:rPr>
              <w:t>461</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98</w:t>
            </w:r>
            <w:r w:rsidR="00FE7FEB" w:rsidRPr="004E7F7B">
              <w:rPr>
                <w:rFonts w:ascii="Times New Roman" w:eastAsia="Times New Roman" w:hAnsi="Times New Roman" w:cs="Times New Roman"/>
                <w:lang w:eastAsia="tr-TR"/>
              </w:rPr>
              <w:t>)</w:t>
            </w:r>
          </w:p>
        </w:tc>
        <w:tc>
          <w:tcPr>
            <w:tcW w:w="1660" w:type="dxa"/>
            <w:shd w:val="clear" w:color="auto" w:fill="auto"/>
            <w:noWrap/>
            <w:vAlign w:val="center"/>
            <w:hideMark/>
          </w:tcPr>
          <w:p w:rsidR="00FE7FEB" w:rsidRPr="004E7F7B" w:rsidRDefault="00521C1C" w:rsidP="004E7F7B">
            <w:pPr>
              <w:spacing w:after="0" w:line="240" w:lineRule="auto"/>
              <w:rPr>
                <w:rFonts w:ascii="Times New Roman" w:eastAsia="Times New Roman" w:hAnsi="Times New Roman" w:cs="Times New Roman"/>
                <w:bCs/>
                <w:lang w:eastAsia="tr-TR"/>
              </w:rPr>
            </w:pPr>
            <w:r w:rsidRPr="004E7F7B">
              <w:rPr>
                <w:rFonts w:ascii="Times New Roman" w:eastAsia="Times New Roman" w:hAnsi="Times New Roman" w:cs="Times New Roman"/>
                <w:bCs/>
                <w:lang w:eastAsia="tr-TR"/>
              </w:rPr>
              <w:t>7.821.031</w:t>
            </w:r>
          </w:p>
        </w:tc>
      </w:tr>
    </w:tbl>
    <w:p w:rsidR="002A3D78" w:rsidRDefault="002A3D78" w:rsidP="002A3D78">
      <w:pPr>
        <w:pStyle w:val="AralkYok"/>
      </w:pPr>
      <w:bookmarkStart w:id="180" w:name="_Toc505346072"/>
      <w:bookmarkStart w:id="181" w:name="_Toc514251653"/>
      <w:bookmarkEnd w:id="179"/>
    </w:p>
    <w:p w:rsidR="00FE7FEB" w:rsidRPr="004E7F7B" w:rsidRDefault="00FE7FEB" w:rsidP="004E7F7B">
      <w:pPr>
        <w:pStyle w:val="Balk3"/>
        <w:rPr>
          <w:rFonts w:ascii="Times New Roman" w:hAnsi="Times New Roman" w:cs="Times New Roman"/>
          <w:sz w:val="22"/>
          <w:szCs w:val="22"/>
        </w:rPr>
      </w:pPr>
      <w:bookmarkStart w:id="182" w:name="_Toc48817857"/>
      <w:r w:rsidRPr="004E7F7B">
        <w:rPr>
          <w:rFonts w:ascii="Times New Roman" w:hAnsi="Times New Roman" w:cs="Times New Roman"/>
          <w:sz w:val="22"/>
          <w:szCs w:val="22"/>
        </w:rPr>
        <w:t>4.1.4.OIZ Distribution Fee</w:t>
      </w:r>
      <w:bookmarkEnd w:id="180"/>
      <w:bookmarkEnd w:id="181"/>
      <w:bookmarkEnd w:id="182"/>
    </w:p>
    <w:p w:rsidR="00FE7FEB" w:rsidRPr="004E7F7B" w:rsidRDefault="00FE7FEB" w:rsidP="002A3D78">
      <w:r w:rsidRPr="004E7F7B">
        <w:t>The distribution fees to be applied by the Organized Industrial Zones with distribution licenses to the participants within the approved limits in 2019 are published in the Official Gazette dated 28.11.2018 and numbered 8211-1 to 169 published in the Official Gazette dated 09.12.2018 and numbered 30620 and published in the Official Gazette dated 29.12.2018 and numbered 30640. It was approved by the Board Decisions dated 27.12.2018 and numbered 8302-1 to 3.</w:t>
      </w:r>
    </w:p>
    <w:p w:rsidR="00FE7FEB" w:rsidRPr="004E7F7B" w:rsidRDefault="00834948" w:rsidP="002A3D78">
      <w:r w:rsidRPr="004E7F7B">
        <w:t xml:space="preserve">For Industrial or Non-Industrial consumers and manufacturers, </w:t>
      </w:r>
      <w:r w:rsidR="00FE7FEB" w:rsidRPr="004E7F7B">
        <w:t>OIZ administrations are able to offer Distribution price proposals as MV, LV, single term and double term as per the Organized Industrial Zones Regulation Regarding Electricity Market Activities. The distribution-based evaluations are based on the "benchmarking model", taking into account the unit energy cost estimates of the OIZs, investment expenditures, operating expenses, lost energy costs and the Distribution tariff predictions for the Distribution z</w:t>
      </w:r>
      <w:r w:rsidRPr="004E7F7B">
        <w:t>ones in which they are located.</w:t>
      </w:r>
    </w:p>
    <w:p w:rsidR="00FE7FEB" w:rsidRPr="004E7F7B" w:rsidRDefault="00521C1C" w:rsidP="004E7F7B">
      <w:pPr>
        <w:pStyle w:val="Balk3"/>
        <w:rPr>
          <w:rFonts w:ascii="Times New Roman" w:hAnsi="Times New Roman" w:cs="Times New Roman"/>
          <w:sz w:val="22"/>
          <w:szCs w:val="22"/>
        </w:rPr>
      </w:pPr>
      <w:bookmarkStart w:id="183" w:name="_Toc48817858"/>
      <w:r w:rsidRPr="004E7F7B">
        <w:rPr>
          <w:rFonts w:ascii="Times New Roman" w:hAnsi="Times New Roman" w:cs="Times New Roman"/>
          <w:sz w:val="22"/>
          <w:szCs w:val="22"/>
        </w:rPr>
        <w:t>4.1.5.</w:t>
      </w:r>
      <w:r w:rsidR="00FE7FEB" w:rsidRPr="004E7F7B">
        <w:rPr>
          <w:rFonts w:ascii="Times New Roman" w:hAnsi="Times New Roman" w:cs="Times New Roman"/>
          <w:sz w:val="22"/>
          <w:szCs w:val="22"/>
        </w:rPr>
        <w:t>EÜAŞ Wholesale Tariff</w:t>
      </w:r>
      <w:bookmarkEnd w:id="183"/>
    </w:p>
    <w:p w:rsidR="00FE7FEB" w:rsidRPr="004E7F7B" w:rsidRDefault="00FE7FEB" w:rsidP="002A3D78">
      <w:r w:rsidRPr="004E7F7B">
        <w:t>Wholesale tariffs approved by TETA</w:t>
      </w:r>
      <w:r w:rsidR="00521C1C" w:rsidRPr="004E7F7B">
        <w:t>Ş and EÜAŞ for the whole of 2019</w:t>
      </w:r>
      <w:r w:rsidRPr="004E7F7B">
        <w:t xml:space="preserve"> and</w:t>
      </w:r>
      <w:r w:rsidR="00521C1C" w:rsidRPr="004E7F7B">
        <w:t xml:space="preserve"> the first tariff period of 2020</w:t>
      </w:r>
      <w:r w:rsidRPr="004E7F7B">
        <w:t xml:space="preserve"> are given in Tables 4.</w:t>
      </w:r>
      <w:r w:rsidR="00521C1C" w:rsidRPr="004E7F7B">
        <w:t>17 and 4.18</w:t>
      </w:r>
      <w:r w:rsidRPr="004E7F7B">
        <w:t>.</w:t>
      </w:r>
    </w:p>
    <w:p w:rsidR="00FE7FEB" w:rsidRPr="004E7F7B" w:rsidRDefault="00521C1C" w:rsidP="004E7F7B">
      <w:pPr>
        <w:pStyle w:val="Balk5"/>
        <w:jc w:val="both"/>
        <w:rPr>
          <w:rFonts w:ascii="Times New Roman" w:hAnsi="Times New Roman" w:cs="Times New Roman"/>
        </w:rPr>
      </w:pPr>
      <w:bookmarkStart w:id="184" w:name="_Toc505346193"/>
      <w:bookmarkStart w:id="185" w:name="_Toc512874157"/>
      <w:bookmarkStart w:id="186" w:name="_Toc48818042"/>
      <w:r w:rsidRPr="004E7F7B">
        <w:rPr>
          <w:rStyle w:val="Gl"/>
          <w:rFonts w:ascii="Times New Roman" w:hAnsi="Times New Roman" w:cs="Times New Roman"/>
          <w:b/>
          <w:bCs w:val="0"/>
        </w:rPr>
        <w:t xml:space="preserve">Table 4.17: </w:t>
      </w:r>
      <w:r w:rsidR="003B585D" w:rsidRPr="004E7F7B">
        <w:rPr>
          <w:rStyle w:val="Gl"/>
          <w:rFonts w:ascii="Times New Roman" w:hAnsi="Times New Roman" w:cs="Times New Roman"/>
          <w:b/>
          <w:bCs w:val="0"/>
        </w:rPr>
        <w:t>EÜAŞ Wholesale Tariffs (For the Sale of Technical and Non-Technical L</w:t>
      </w:r>
      <w:r w:rsidR="00FE7FEB" w:rsidRPr="004E7F7B">
        <w:rPr>
          <w:rStyle w:val="Gl"/>
          <w:rFonts w:ascii="Times New Roman" w:hAnsi="Times New Roman" w:cs="Times New Roman"/>
          <w:b/>
          <w:bCs w:val="0"/>
        </w:rPr>
        <w:t xml:space="preserve">oses to </w:t>
      </w:r>
      <w:r w:rsidR="003B585D" w:rsidRPr="004E7F7B">
        <w:rPr>
          <w:rStyle w:val="Gl"/>
          <w:rFonts w:ascii="Times New Roman" w:hAnsi="Times New Roman" w:cs="Times New Roman"/>
          <w:b/>
          <w:bCs w:val="0"/>
        </w:rPr>
        <w:t>Assigned Supplier C</w:t>
      </w:r>
      <w:r w:rsidR="00FE7FEB" w:rsidRPr="004E7F7B">
        <w:rPr>
          <w:rStyle w:val="Gl"/>
          <w:rFonts w:ascii="Times New Roman" w:hAnsi="Times New Roman" w:cs="Times New Roman"/>
          <w:b/>
          <w:bCs w:val="0"/>
        </w:rPr>
        <w:t xml:space="preserve">ompanies and </w:t>
      </w:r>
      <w:r w:rsidR="00FE7FEB" w:rsidRPr="004E7F7B">
        <w:rPr>
          <w:rFonts w:ascii="Times New Roman" w:hAnsi="Times New Roman" w:cs="Times New Roman"/>
        </w:rPr>
        <w:t>Distribution Companies)</w:t>
      </w:r>
      <w:bookmarkEnd w:id="184"/>
      <w:bookmarkEnd w:id="185"/>
      <w:bookmarkEnd w:id="186"/>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7FEB" w:rsidRPr="004E7F7B" w:rsidTr="00D816E6">
        <w:trPr>
          <w:trHeight w:val="548"/>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lang w:val="tr-TR"/>
              </w:rPr>
            </w:pPr>
            <w:r w:rsidRPr="004E7F7B">
              <w:rPr>
                <w:rFonts w:ascii="Times New Roman" w:hAnsi="Times New Roman" w:cs="Times New Roman"/>
                <w:b/>
                <w:bCs/>
                <w:color w:val="FFFFFF" w:themeColor="background1"/>
              </w:rPr>
              <w:t>Date of Board Decision</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Board Decision</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w:t>
            </w:r>
            <w:r w:rsidR="003B585D" w:rsidRPr="004E7F7B">
              <w:rPr>
                <w:rFonts w:ascii="Times New Roman" w:hAnsi="Times New Roman" w:cs="Times New Roman"/>
                <w:b/>
                <w:bCs/>
                <w:color w:val="FFFFFF" w:themeColor="background1"/>
              </w:rPr>
              <w:t>ffectiveness D</w:t>
            </w:r>
            <w:r w:rsidRPr="004E7F7B">
              <w:rPr>
                <w:rFonts w:ascii="Times New Roman" w:hAnsi="Times New Roman" w:cs="Times New Roman"/>
                <w:b/>
                <w:bCs/>
                <w:color w:val="FFFFFF" w:themeColor="background1"/>
              </w:rPr>
              <w:t>ate</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 xml:space="preserve">Official Gazette </w:t>
            </w:r>
          </w:p>
          <w:p w:rsidR="00FE7FEB" w:rsidRPr="004E7F7B" w:rsidRDefault="003B585D"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Date and N</w:t>
            </w:r>
            <w:r w:rsidR="00FE7FEB" w:rsidRPr="004E7F7B">
              <w:rPr>
                <w:rFonts w:ascii="Times New Roman" w:hAnsi="Times New Roman" w:cs="Times New Roman"/>
                <w:b/>
                <w:bCs/>
                <w:color w:val="FFFFFF" w:themeColor="background1"/>
              </w:rPr>
              <w:t>umber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3B585D"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Active Electricity Power C</w:t>
            </w:r>
            <w:r w:rsidR="00FE7FEB" w:rsidRPr="004E7F7B">
              <w:rPr>
                <w:rFonts w:ascii="Times New Roman" w:hAnsi="Times New Roman" w:cs="Times New Roman"/>
                <w:b/>
                <w:bCs/>
                <w:color w:val="FFFFFF" w:themeColor="background1"/>
              </w:rPr>
              <w:t>ost(Krş/kWh)</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27.12.2018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8357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01.01.2019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29.12.2018-30640</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12,6335</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27.03.2019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8517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01.04.2019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01.04.2019 -30732</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17,2700</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27.06.2019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8688</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01.07.2019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29.06.2019-30816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20,5159</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30.09.2019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8863</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01.10.2019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01.10.2019-30905</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34,8654</w:t>
            </w:r>
          </w:p>
        </w:tc>
      </w:tr>
    </w:tbl>
    <w:p w:rsidR="00FE7FEB" w:rsidRPr="004E7F7B" w:rsidRDefault="00FE7FEB" w:rsidP="004E7F7B">
      <w:pPr>
        <w:rPr>
          <w:rFonts w:ascii="Times New Roman" w:hAnsi="Times New Roman" w:cs="Times New Roman"/>
        </w:rPr>
      </w:pPr>
    </w:p>
    <w:p w:rsidR="00521C1C" w:rsidRPr="004E7F7B" w:rsidRDefault="00521C1C" w:rsidP="004E7F7B">
      <w:pPr>
        <w:rPr>
          <w:rFonts w:ascii="Times New Roman" w:hAnsi="Times New Roman" w:cs="Times New Roman"/>
        </w:rPr>
      </w:pPr>
    </w:p>
    <w:p w:rsidR="00FE7FEB" w:rsidRPr="004E7F7B" w:rsidRDefault="00521C1C" w:rsidP="004E7F7B">
      <w:pPr>
        <w:pStyle w:val="Balk5"/>
        <w:jc w:val="both"/>
        <w:rPr>
          <w:rStyle w:val="Gl"/>
          <w:rFonts w:ascii="Times New Roman" w:hAnsi="Times New Roman" w:cs="Times New Roman"/>
          <w:b/>
          <w:bCs w:val="0"/>
        </w:rPr>
      </w:pPr>
      <w:bookmarkStart w:id="187" w:name="_Toc48818043"/>
      <w:r w:rsidRPr="004E7F7B">
        <w:rPr>
          <w:rStyle w:val="Gl"/>
          <w:rFonts w:ascii="Times New Roman" w:hAnsi="Times New Roman" w:cs="Times New Roman"/>
          <w:b/>
          <w:bCs w:val="0"/>
        </w:rPr>
        <w:t>Table 4.18</w:t>
      </w:r>
      <w:r w:rsidR="00FE7FEB" w:rsidRPr="004E7F7B">
        <w:rPr>
          <w:rStyle w:val="Gl"/>
          <w:rFonts w:ascii="Times New Roman" w:hAnsi="Times New Roman" w:cs="Times New Roman"/>
          <w:b/>
          <w:bCs w:val="0"/>
        </w:rPr>
        <w:t>: TETAŞ</w:t>
      </w:r>
      <w:r w:rsidRPr="004E7F7B">
        <w:rPr>
          <w:rStyle w:val="Gl"/>
          <w:rFonts w:ascii="Times New Roman" w:hAnsi="Times New Roman" w:cs="Times New Roman"/>
          <w:b/>
          <w:bCs w:val="0"/>
        </w:rPr>
        <w:t>/EÜAŞ</w:t>
      </w:r>
      <w:r w:rsidR="003B585D" w:rsidRPr="004E7F7B">
        <w:rPr>
          <w:rStyle w:val="Gl"/>
          <w:rFonts w:ascii="Times New Roman" w:hAnsi="Times New Roman" w:cs="Times New Roman"/>
          <w:b/>
          <w:bCs w:val="0"/>
        </w:rPr>
        <w:t xml:space="preserve"> Wholesale Tariffs </w:t>
      </w:r>
      <w:r w:rsidR="003B585D" w:rsidRPr="004E7F7B">
        <w:rPr>
          <w:rStyle w:val="Gl"/>
          <w:rFonts w:ascii="Times New Roman" w:hAnsi="Times New Roman" w:cs="Times New Roman"/>
          <w:b/>
          <w:bCs w:val="0"/>
        </w:rPr>
        <w:br/>
        <w:t>(For the S</w:t>
      </w:r>
      <w:r w:rsidR="00FE7FEB" w:rsidRPr="004E7F7B">
        <w:rPr>
          <w:rStyle w:val="Gl"/>
          <w:rFonts w:ascii="Times New Roman" w:hAnsi="Times New Roman" w:cs="Times New Roman"/>
          <w:b/>
          <w:bCs w:val="0"/>
        </w:rPr>
        <w:t xml:space="preserve">ales to the </w:t>
      </w:r>
      <w:r w:rsidR="003B585D" w:rsidRPr="004E7F7B">
        <w:rPr>
          <w:rFonts w:ascii="Times New Roman" w:hAnsi="Times New Roman" w:cs="Times New Roman"/>
        </w:rPr>
        <w:t>Distribution Companies with Regard to Generatl L</w:t>
      </w:r>
      <w:r w:rsidR="00FE7FEB" w:rsidRPr="004E7F7B">
        <w:rPr>
          <w:rFonts w:ascii="Times New Roman" w:hAnsi="Times New Roman" w:cs="Times New Roman"/>
        </w:rPr>
        <w:t>ighting)</w:t>
      </w:r>
      <w:bookmarkEnd w:id="187"/>
      <w:r w:rsidR="00FE7FEB" w:rsidRPr="004E7F7B">
        <w:rPr>
          <w:rFonts w:ascii="Times New Roman" w:hAnsi="Times New Roman" w:cs="Times New Roman"/>
        </w:rPr>
        <w:t xml:space="preserve"> </w:t>
      </w:r>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7FEB" w:rsidRPr="004E7F7B" w:rsidTr="00D816E6">
        <w:trPr>
          <w:trHeight w:val="548"/>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color w:val="FFFFFF" w:themeColor="background1"/>
              </w:rPr>
            </w:pPr>
            <w:r w:rsidRPr="004E7F7B">
              <w:rPr>
                <w:rFonts w:ascii="Times New Roman" w:hAnsi="Times New Roman" w:cs="Times New Roman"/>
                <w:b/>
                <w:bCs/>
                <w:color w:val="FFFFFF" w:themeColor="background1"/>
              </w:rPr>
              <w:t>Date of Board Decision</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Board Decision</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3B585D"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Effectiveness D</w:t>
            </w:r>
            <w:r w:rsidR="00FE7FEB" w:rsidRPr="004E7F7B">
              <w:rPr>
                <w:rFonts w:ascii="Times New Roman" w:hAnsi="Times New Roman" w:cs="Times New Roman"/>
                <w:b/>
                <w:bCs/>
                <w:color w:val="FFFFFF" w:themeColor="background1"/>
              </w:rPr>
              <w:t>ate</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 xml:space="preserve">Official Gazette </w:t>
            </w:r>
          </w:p>
          <w:p w:rsidR="00FE7FEB" w:rsidRPr="004E7F7B" w:rsidRDefault="003B585D"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w:t>
            </w:r>
            <w:r w:rsidR="00FE7FEB" w:rsidRPr="004E7F7B">
              <w:rPr>
                <w:rFonts w:ascii="Times New Roman" w:hAnsi="Times New Roman" w:cs="Times New Roman"/>
                <w:b/>
                <w:bCs/>
                <w:color w:val="FFFFFF" w:themeColor="background1"/>
              </w:rPr>
              <w:t>a</w:t>
            </w:r>
            <w:r w:rsidRPr="004E7F7B">
              <w:rPr>
                <w:rFonts w:ascii="Times New Roman" w:hAnsi="Times New Roman" w:cs="Times New Roman"/>
                <w:b/>
                <w:bCs/>
                <w:color w:val="FFFFFF" w:themeColor="background1"/>
              </w:rPr>
              <w:t>te and N</w:t>
            </w:r>
            <w:r w:rsidR="00FE7FEB" w:rsidRPr="004E7F7B">
              <w:rPr>
                <w:rFonts w:ascii="Times New Roman" w:hAnsi="Times New Roman" w:cs="Times New Roman"/>
                <w:b/>
                <w:bCs/>
                <w:color w:val="FFFFFF" w:themeColor="background1"/>
              </w:rPr>
              <w:t>umber</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Active Electricity Power Cost (Krş/kWh)</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27.12.2018</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8357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01.01.2019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29.12.2018-30640</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25,4600</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27.03.2019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8517</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01.04.2019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01.04.2019 -30732</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25,4600</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27.06.2019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8688</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01.07.2019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29.06.2019-30816</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25,4600</w:t>
            </w:r>
          </w:p>
        </w:tc>
      </w:tr>
      <w:tr w:rsidR="00521C1C" w:rsidRPr="004E7F7B" w:rsidTr="00D816E6">
        <w:trPr>
          <w:jc w:val="center"/>
        </w:trPr>
        <w:tc>
          <w:tcPr>
            <w:tcW w:w="205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30.09.2019</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8863</w:t>
            </w:r>
          </w:p>
        </w:tc>
        <w:tc>
          <w:tcPr>
            <w:tcW w:w="184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01.10.2019</w:t>
            </w:r>
          </w:p>
        </w:tc>
        <w:tc>
          <w:tcPr>
            <w:tcW w:w="226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01.10.2019-30905</w:t>
            </w:r>
          </w:p>
        </w:tc>
        <w:tc>
          <w:tcPr>
            <w:tcW w:w="205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21C1C" w:rsidRPr="004E7F7B" w:rsidRDefault="00521C1C"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29,4772</w:t>
            </w:r>
          </w:p>
        </w:tc>
      </w:tr>
    </w:tbl>
    <w:p w:rsidR="0095465A" w:rsidRDefault="0095465A" w:rsidP="002A3D78">
      <w:pPr>
        <w:pStyle w:val="AralkYok"/>
      </w:pPr>
      <w:bookmarkStart w:id="188" w:name="_Toc505346074"/>
      <w:bookmarkStart w:id="189" w:name="_Toc514251655"/>
    </w:p>
    <w:p w:rsidR="00FE7FEB" w:rsidRPr="004E7F7B" w:rsidRDefault="00FE7FEB" w:rsidP="004E7F7B">
      <w:pPr>
        <w:pStyle w:val="Balk3"/>
        <w:rPr>
          <w:rFonts w:ascii="Times New Roman" w:hAnsi="Times New Roman" w:cs="Times New Roman"/>
          <w:sz w:val="22"/>
          <w:szCs w:val="22"/>
        </w:rPr>
      </w:pPr>
      <w:bookmarkStart w:id="190" w:name="_Toc48817859"/>
      <w:r w:rsidRPr="004E7F7B">
        <w:rPr>
          <w:rFonts w:ascii="Times New Roman" w:hAnsi="Times New Roman" w:cs="Times New Roman"/>
          <w:sz w:val="22"/>
          <w:szCs w:val="22"/>
        </w:rPr>
        <w:t>4.1.6.Turkey Average Electricity Wholesale Price</w:t>
      </w:r>
      <w:bookmarkEnd w:id="188"/>
      <w:bookmarkEnd w:id="189"/>
      <w:bookmarkEnd w:id="190"/>
    </w:p>
    <w:p w:rsidR="009436EF" w:rsidRPr="004E7F7B" w:rsidRDefault="00FE7FEB" w:rsidP="002A3D78">
      <w:pPr>
        <w:rPr>
          <w:color w:val="000000" w:themeColor="text1"/>
          <w:spacing w:val="-1"/>
        </w:rPr>
      </w:pPr>
      <w:r w:rsidRPr="004E7F7B">
        <w:rPr>
          <w:color w:val="000000" w:themeColor="text1"/>
        </w:rPr>
        <w:t xml:space="preserve">With the Board Decision dated </w:t>
      </w:r>
      <w:r w:rsidR="009436EF" w:rsidRPr="004E7F7B">
        <w:t>26.12.2019</w:t>
      </w:r>
      <w:r w:rsidR="009436EF" w:rsidRPr="004E7F7B">
        <w:rPr>
          <w:color w:val="000000" w:themeColor="text1"/>
        </w:rPr>
        <w:t xml:space="preserve"> </w:t>
      </w:r>
      <w:r w:rsidRPr="004E7F7B">
        <w:rPr>
          <w:color w:val="000000" w:themeColor="text1"/>
        </w:rPr>
        <w:t xml:space="preserve">and numbered </w:t>
      </w:r>
      <w:r w:rsidR="009436EF" w:rsidRPr="004E7F7B">
        <w:rPr>
          <w:color w:val="000000" w:themeColor="text1"/>
        </w:rPr>
        <w:t>9040-4</w:t>
      </w:r>
      <w:r w:rsidRPr="004E7F7B">
        <w:rPr>
          <w:color w:val="000000" w:themeColor="text1"/>
        </w:rPr>
        <w:t xml:space="preserve"> published in the Official Gazette dated </w:t>
      </w:r>
      <w:r w:rsidR="00521C1C" w:rsidRPr="004E7F7B">
        <w:rPr>
          <w:color w:val="000000" w:themeColor="text1"/>
        </w:rPr>
        <w:t xml:space="preserve">29.12.2019 </w:t>
      </w:r>
      <w:r w:rsidRPr="004E7F7B">
        <w:t>and numbered</w:t>
      </w:r>
      <w:r w:rsidR="009436EF" w:rsidRPr="004E7F7B">
        <w:t xml:space="preserve"> 30993</w:t>
      </w:r>
      <w:r w:rsidRPr="004E7F7B">
        <w:t xml:space="preserve">, within the scope of the Law on Use of Renewable Energy Resources fort he Purpose of Electricity Generation No:5346; Turkey average electricity wholesale price was determined to be </w:t>
      </w:r>
      <w:r w:rsidR="009436EF" w:rsidRPr="004E7F7B">
        <w:rPr>
          <w:spacing w:val="-1"/>
        </w:rPr>
        <w:t>26,63</w:t>
      </w:r>
      <w:r w:rsidRPr="004E7F7B">
        <w:rPr>
          <w:spacing w:val="-1"/>
        </w:rPr>
        <w:t xml:space="preserve"> </w:t>
      </w:r>
      <w:r w:rsidRPr="004E7F7B">
        <w:rPr>
          <w:color w:val="000000" w:themeColor="text1"/>
          <w:spacing w:val="-1"/>
        </w:rPr>
        <w:t>Krş/</w:t>
      </w:r>
      <w:r w:rsidRPr="004E7F7B">
        <w:rPr>
          <w:spacing w:val="-1"/>
        </w:rPr>
        <w:t>kWh</w:t>
      </w:r>
      <w:r w:rsidR="009436EF" w:rsidRPr="004E7F7B">
        <w:rPr>
          <w:color w:val="000000" w:themeColor="text1"/>
          <w:spacing w:val="-1"/>
        </w:rPr>
        <w:t>, to be applied in 2020</w:t>
      </w:r>
      <w:r w:rsidRPr="004E7F7B">
        <w:rPr>
          <w:color w:val="000000" w:themeColor="text1"/>
          <w:spacing w:val="-1"/>
        </w:rPr>
        <w:t xml:space="preserve">. </w:t>
      </w:r>
    </w:p>
    <w:p w:rsidR="00FE7FEB" w:rsidRPr="004E7F7B" w:rsidRDefault="00FE7FEB" w:rsidP="004E7F7B">
      <w:pPr>
        <w:pStyle w:val="Balk3"/>
        <w:rPr>
          <w:rFonts w:ascii="Times New Roman" w:hAnsi="Times New Roman" w:cs="Times New Roman"/>
          <w:sz w:val="22"/>
          <w:szCs w:val="22"/>
        </w:rPr>
      </w:pPr>
      <w:bookmarkStart w:id="191" w:name="_Toc505346075"/>
      <w:bookmarkStart w:id="192" w:name="_Toc514251656"/>
      <w:bookmarkStart w:id="193" w:name="_Toc48817860"/>
      <w:r w:rsidRPr="004E7F7B">
        <w:rPr>
          <w:rFonts w:ascii="Times New Roman" w:hAnsi="Times New Roman" w:cs="Times New Roman"/>
          <w:sz w:val="22"/>
          <w:szCs w:val="22"/>
        </w:rPr>
        <w:t>4.1.7.License Fees</w:t>
      </w:r>
      <w:bookmarkEnd w:id="191"/>
      <w:bookmarkEnd w:id="192"/>
      <w:bookmarkEnd w:id="193"/>
    </w:p>
    <w:p w:rsidR="009436EF" w:rsidRPr="004E7F7B" w:rsidRDefault="00FE7FEB" w:rsidP="002A3D78">
      <w:r w:rsidRPr="004E7F7B">
        <w:t xml:space="preserve">With the Board Decision dated </w:t>
      </w:r>
      <w:r w:rsidR="009436EF" w:rsidRPr="004E7F7B">
        <w:t xml:space="preserve">26.12.2019 </w:t>
      </w:r>
      <w:r w:rsidRPr="004E7F7B">
        <w:t xml:space="preserve">and numbered </w:t>
      </w:r>
      <w:r w:rsidR="009436EF" w:rsidRPr="004E7F7B">
        <w:t>9043</w:t>
      </w:r>
      <w:r w:rsidRPr="004E7F7B">
        <w:t xml:space="preserve"> published in the Official Gazette dated </w:t>
      </w:r>
      <w:r w:rsidR="009436EF" w:rsidRPr="004E7F7B">
        <w:t xml:space="preserve">29.12.2019 </w:t>
      </w:r>
      <w:r w:rsidRPr="004E7F7B">
        <w:t>and bis numbered 30</w:t>
      </w:r>
      <w:r w:rsidR="009436EF" w:rsidRPr="004E7F7B">
        <w:t>993</w:t>
      </w:r>
      <w:r w:rsidRPr="004E7F7B">
        <w:t>, as per the Art.43 of the electricity Market Licensing Regulation, the fees for preliminary license, annual license, license renewal, license and preliminary license amendments, and getting the copies of</w:t>
      </w:r>
      <w:r w:rsidR="009436EF" w:rsidRPr="004E7F7B">
        <w:t xml:space="preserve"> licenses are determined for 2020</w:t>
      </w:r>
      <w:r w:rsidRPr="004E7F7B">
        <w:t>.</w:t>
      </w:r>
    </w:p>
    <w:p w:rsidR="00FE7FEB" w:rsidRPr="004E7F7B" w:rsidRDefault="00FE7FEB" w:rsidP="004E7F7B">
      <w:pPr>
        <w:pStyle w:val="Balk2"/>
        <w:rPr>
          <w:rFonts w:ascii="Times New Roman" w:hAnsi="Times New Roman" w:cs="Times New Roman"/>
          <w:sz w:val="22"/>
          <w:szCs w:val="22"/>
        </w:rPr>
      </w:pPr>
      <w:bookmarkStart w:id="194" w:name="_Toc505346076"/>
      <w:bookmarkStart w:id="195" w:name="_Toc514251657"/>
      <w:bookmarkStart w:id="196" w:name="_Toc48817861"/>
      <w:r w:rsidRPr="004E7F7B">
        <w:rPr>
          <w:rFonts w:ascii="Times New Roman" w:hAnsi="Times New Roman" w:cs="Times New Roman"/>
          <w:sz w:val="22"/>
          <w:szCs w:val="22"/>
        </w:rPr>
        <w:t>4.2.Natural Gas Market Tarif</w:t>
      </w:r>
      <w:bookmarkEnd w:id="194"/>
      <w:bookmarkEnd w:id="195"/>
      <w:r w:rsidRPr="004E7F7B">
        <w:rPr>
          <w:rFonts w:ascii="Times New Roman" w:hAnsi="Times New Roman" w:cs="Times New Roman"/>
          <w:sz w:val="22"/>
          <w:szCs w:val="22"/>
        </w:rPr>
        <w:t>fs</w:t>
      </w:r>
      <w:bookmarkEnd w:id="196"/>
      <w:r w:rsidRPr="004E7F7B">
        <w:rPr>
          <w:rFonts w:ascii="Times New Roman" w:hAnsi="Times New Roman" w:cs="Times New Roman"/>
          <w:sz w:val="22"/>
          <w:szCs w:val="22"/>
        </w:rPr>
        <w:tab/>
      </w:r>
    </w:p>
    <w:p w:rsidR="00FE7FEB" w:rsidRPr="004E7F7B" w:rsidRDefault="00FE7FEB" w:rsidP="002A3D78">
      <w:r w:rsidRPr="004E7F7B">
        <w:t xml:space="preserve">Regulations on Natural Gas Market tariffs are made as per the Natural Gas Market Lae No:4646 and the Natural Gas Market Tariffs regulation. </w:t>
      </w:r>
    </w:p>
    <w:p w:rsidR="00FE7FEB" w:rsidRPr="004E7F7B" w:rsidRDefault="00FE7FEB" w:rsidP="004E7F7B">
      <w:pPr>
        <w:pStyle w:val="Balk3"/>
        <w:rPr>
          <w:rFonts w:ascii="Times New Roman" w:hAnsi="Times New Roman" w:cs="Times New Roman"/>
          <w:sz w:val="22"/>
          <w:szCs w:val="22"/>
        </w:rPr>
      </w:pPr>
      <w:bookmarkStart w:id="197" w:name="_Toc505346077"/>
      <w:bookmarkStart w:id="198" w:name="_Toc514251658"/>
      <w:bookmarkStart w:id="199" w:name="_Toc48817862"/>
      <w:r w:rsidRPr="004E7F7B">
        <w:rPr>
          <w:rFonts w:ascii="Times New Roman" w:hAnsi="Times New Roman" w:cs="Times New Roman"/>
          <w:sz w:val="22"/>
          <w:szCs w:val="22"/>
        </w:rPr>
        <w:t>4.2.1.Transmission and Shipping Control Tariffs</w:t>
      </w:r>
      <w:bookmarkEnd w:id="197"/>
      <w:bookmarkEnd w:id="198"/>
      <w:bookmarkEnd w:id="199"/>
    </w:p>
    <w:p w:rsidR="00FE7FEB" w:rsidRPr="004E7F7B" w:rsidRDefault="00FE7FEB" w:rsidP="002A3D78">
      <w:pPr>
        <w:rPr>
          <w:bCs/>
          <w:color w:val="000000" w:themeColor="text1"/>
        </w:rPr>
      </w:pPr>
      <w:r w:rsidRPr="004E7F7B">
        <w:t xml:space="preserve">As per the “Principles and Procedures for Determining the Revenue caps taken as basic to the tariffs of natural gas transmision licensees” adopted by the Board Decision dated 03/10/2013 and numbered 4638-1, Board Decision dated </w:t>
      </w:r>
      <w:r w:rsidR="004F4A11" w:rsidRPr="004E7F7B">
        <w:rPr>
          <w:bCs/>
          <w:color w:val="000000" w:themeColor="text1"/>
        </w:rPr>
        <w:t>26</w:t>
      </w:r>
      <w:r w:rsidR="004F4A11" w:rsidRPr="004E7F7B">
        <w:rPr>
          <w:color w:val="000000" w:themeColor="text1"/>
        </w:rPr>
        <w:t xml:space="preserve">.12.2019 </w:t>
      </w:r>
      <w:r w:rsidRPr="004E7F7B">
        <w:t xml:space="preserve">and numbered </w:t>
      </w:r>
      <w:r w:rsidR="004F4A11" w:rsidRPr="004E7F7B">
        <w:rPr>
          <w:color w:val="000000" w:themeColor="text1"/>
        </w:rPr>
        <w:t>9038</w:t>
      </w:r>
      <w:r w:rsidRPr="004E7F7B">
        <w:t xml:space="preserve"> on determining </w:t>
      </w:r>
      <w:r w:rsidRPr="004E7F7B">
        <w:rPr>
          <w:bCs/>
          <w:color w:val="000000" w:themeColor="text1"/>
        </w:rPr>
        <w:t>BOTAŞ’s transmission an</w:t>
      </w:r>
      <w:r w:rsidR="004F4A11" w:rsidRPr="004E7F7B">
        <w:rPr>
          <w:bCs/>
          <w:color w:val="000000" w:themeColor="text1"/>
        </w:rPr>
        <w:t>d shipping control fees for 2020</w:t>
      </w:r>
      <w:r w:rsidR="00431959" w:rsidRPr="004E7F7B">
        <w:rPr>
          <w:bCs/>
          <w:color w:val="000000" w:themeColor="text1"/>
        </w:rPr>
        <w:t xml:space="preserve"> was published in the</w:t>
      </w:r>
      <w:r w:rsidRPr="004E7F7B">
        <w:rPr>
          <w:bCs/>
          <w:color w:val="000000" w:themeColor="text1"/>
        </w:rPr>
        <w:t xml:space="preserve"> Official Gazette dated </w:t>
      </w:r>
      <w:r w:rsidRPr="004E7F7B">
        <w:rPr>
          <w:color w:val="000000" w:themeColor="text1"/>
        </w:rPr>
        <w:t>29.12</w:t>
      </w:r>
      <w:r w:rsidR="004F4A11" w:rsidRPr="004E7F7B">
        <w:rPr>
          <w:color w:val="000000" w:themeColor="text1"/>
        </w:rPr>
        <w:t>.2019</w:t>
      </w:r>
      <w:r w:rsidRPr="004E7F7B">
        <w:rPr>
          <w:color w:val="000000" w:themeColor="text1"/>
        </w:rPr>
        <w:t xml:space="preserve"> </w:t>
      </w:r>
      <w:r w:rsidR="004F4A11" w:rsidRPr="004E7F7B">
        <w:rPr>
          <w:bCs/>
          <w:color w:val="000000" w:themeColor="text1"/>
        </w:rPr>
        <w:t>and numbered 30993</w:t>
      </w:r>
      <w:r w:rsidRPr="004E7F7B">
        <w:rPr>
          <w:bCs/>
          <w:color w:val="000000" w:themeColor="text1"/>
        </w:rPr>
        <w:t xml:space="preserve"> and b</w:t>
      </w:r>
      <w:r w:rsidR="004F4A11" w:rsidRPr="004E7F7B">
        <w:rPr>
          <w:bCs/>
          <w:color w:val="000000" w:themeColor="text1"/>
        </w:rPr>
        <w:t>ecame effective as of 01.01.2020</w:t>
      </w:r>
      <w:r w:rsidRPr="004E7F7B">
        <w:rPr>
          <w:bCs/>
          <w:color w:val="000000" w:themeColor="text1"/>
        </w:rPr>
        <w:t xml:space="preserve">.  Transmission Capacity Fee upper limits determined by the aforementioned decision are as follows; </w:t>
      </w:r>
    </w:p>
    <w:p w:rsidR="00FE7FEB" w:rsidRPr="004E7F7B" w:rsidRDefault="004F4A11" w:rsidP="004E7F7B">
      <w:pPr>
        <w:pStyle w:val="Balk5"/>
        <w:jc w:val="both"/>
        <w:rPr>
          <w:rStyle w:val="Gl"/>
          <w:rFonts w:ascii="Times New Roman" w:hAnsi="Times New Roman" w:cs="Times New Roman"/>
          <w:b/>
          <w:bCs w:val="0"/>
        </w:rPr>
      </w:pPr>
      <w:bookmarkStart w:id="200" w:name="_Toc505346195"/>
      <w:bookmarkStart w:id="201" w:name="_Toc512874159"/>
      <w:bookmarkStart w:id="202" w:name="_Toc48818044"/>
      <w:r w:rsidRPr="004E7F7B">
        <w:rPr>
          <w:rStyle w:val="Gl"/>
          <w:rFonts w:ascii="Times New Roman" w:hAnsi="Times New Roman" w:cs="Times New Roman"/>
          <w:b/>
          <w:bCs w:val="0"/>
        </w:rPr>
        <w:t>Table 4.19</w:t>
      </w:r>
      <w:r w:rsidR="003B585D" w:rsidRPr="004E7F7B">
        <w:rPr>
          <w:rStyle w:val="Gl"/>
          <w:rFonts w:ascii="Times New Roman" w:hAnsi="Times New Roman" w:cs="Times New Roman"/>
          <w:b/>
          <w:bCs w:val="0"/>
        </w:rPr>
        <w:t>: Transmission Capacity Fee Upper L</w:t>
      </w:r>
      <w:r w:rsidR="00FE7FEB" w:rsidRPr="004E7F7B">
        <w:rPr>
          <w:rStyle w:val="Gl"/>
          <w:rFonts w:ascii="Times New Roman" w:hAnsi="Times New Roman" w:cs="Times New Roman"/>
          <w:b/>
          <w:bCs w:val="0"/>
        </w:rPr>
        <w:t>imits</w:t>
      </w:r>
      <w:bookmarkEnd w:id="200"/>
      <w:bookmarkEnd w:id="201"/>
      <w:bookmarkEnd w:id="202"/>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FE7FEB" w:rsidRPr="004E7F7B" w:rsidTr="00D816E6">
        <w:trPr>
          <w:trHeight w:hRule="exact" w:val="340"/>
          <w:jc w:val="center"/>
        </w:trPr>
        <w:tc>
          <w:tcPr>
            <w:tcW w:w="5069" w:type="dxa"/>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Points</w:t>
            </w:r>
          </w:p>
        </w:tc>
        <w:tc>
          <w:tcPr>
            <w:tcW w:w="1640" w:type="dxa"/>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(TL/Sm</w:t>
            </w:r>
            <w:r w:rsidRPr="004E7F7B">
              <w:rPr>
                <w:rFonts w:ascii="Times New Roman" w:hAnsi="Times New Roman" w:cs="Times New Roman"/>
                <w:b/>
                <w:bCs/>
                <w:color w:val="FFFFFF" w:themeColor="background1"/>
                <w:vertAlign w:val="superscript"/>
              </w:rPr>
              <w:t>3</w:t>
            </w:r>
            <w:r w:rsidRPr="004E7F7B">
              <w:rPr>
                <w:rFonts w:ascii="Times New Roman" w:hAnsi="Times New Roman" w:cs="Times New Roman"/>
                <w:b/>
                <w:bCs/>
                <w:color w:val="FFFFFF" w:themeColor="background1"/>
              </w:rPr>
              <w:t>-day)</w:t>
            </w:r>
          </w:p>
        </w:tc>
        <w:tc>
          <w:tcPr>
            <w:tcW w:w="1886" w:type="dxa"/>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(TL/kWhday)</w:t>
            </w:r>
          </w:p>
        </w:tc>
      </w:tr>
      <w:tr w:rsidR="004F4A11" w:rsidRPr="004E7F7B" w:rsidTr="00D816E6">
        <w:trPr>
          <w:trHeight w:hRule="exact" w:val="284"/>
          <w:jc w:val="center"/>
        </w:trPr>
        <w:tc>
          <w:tcPr>
            <w:tcW w:w="5069"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Entry Points</w:t>
            </w:r>
          </w:p>
        </w:tc>
        <w:tc>
          <w:tcPr>
            <w:tcW w:w="1640"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0,000424</w:t>
            </w:r>
          </w:p>
        </w:tc>
        <w:tc>
          <w:tcPr>
            <w:tcW w:w="1886"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0,00003985</w:t>
            </w:r>
          </w:p>
        </w:tc>
      </w:tr>
      <w:tr w:rsidR="004F4A11" w:rsidRPr="004E7F7B" w:rsidTr="00D816E6">
        <w:trPr>
          <w:trHeight w:hRule="exact" w:val="284"/>
          <w:jc w:val="center"/>
        </w:trPr>
        <w:tc>
          <w:tcPr>
            <w:tcW w:w="5069"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Exit Point</w:t>
            </w:r>
          </w:p>
        </w:tc>
        <w:tc>
          <w:tcPr>
            <w:tcW w:w="1640"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0,029253</w:t>
            </w:r>
          </w:p>
        </w:tc>
        <w:tc>
          <w:tcPr>
            <w:tcW w:w="1886"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0,00274934</w:t>
            </w:r>
          </w:p>
        </w:tc>
      </w:tr>
      <w:tr w:rsidR="004F4A11" w:rsidRPr="004E7F7B" w:rsidTr="00D816E6">
        <w:trPr>
          <w:trHeight w:hRule="exact" w:val="284"/>
          <w:jc w:val="center"/>
        </w:trPr>
        <w:tc>
          <w:tcPr>
            <w:tcW w:w="5069"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Export Exit Point (Greece)</w:t>
            </w:r>
          </w:p>
        </w:tc>
        <w:tc>
          <w:tcPr>
            <w:tcW w:w="1640"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0,054424</w:t>
            </w:r>
          </w:p>
        </w:tc>
        <w:tc>
          <w:tcPr>
            <w:tcW w:w="1886" w:type="dxa"/>
            <w:shd w:val="clear" w:color="auto" w:fill="auto"/>
            <w:noWrap/>
            <w:vAlign w:val="center"/>
            <w:hideMark/>
          </w:tcPr>
          <w:p w:rsidR="004F4A11" w:rsidRPr="004E7F7B" w:rsidRDefault="004F4A11"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0,00511504</w:t>
            </w:r>
          </w:p>
        </w:tc>
      </w:tr>
    </w:tbl>
    <w:p w:rsidR="00FE7FEB" w:rsidRPr="004E7F7B" w:rsidRDefault="00FE7FEB" w:rsidP="004E7F7B">
      <w:pPr>
        <w:spacing w:after="0"/>
        <w:rPr>
          <w:rFonts w:ascii="Times New Roman" w:hAnsi="Times New Roman" w:cs="Times New Roman"/>
          <w:color w:val="000000" w:themeColor="text1"/>
        </w:rPr>
      </w:pPr>
    </w:p>
    <w:p w:rsidR="00FE7FEB" w:rsidRPr="004E7F7B" w:rsidRDefault="00FE7FEB" w:rsidP="002A3D78">
      <w:r w:rsidRPr="004E7F7B">
        <w:t>With the same Board Decision transmission service fee upper limit of BOTAŞ was determined as follows;</w:t>
      </w:r>
    </w:p>
    <w:p w:rsidR="00FE7FEB" w:rsidRPr="004E7F7B" w:rsidRDefault="00730076" w:rsidP="004E7F7B">
      <w:pPr>
        <w:pStyle w:val="Balk5"/>
        <w:jc w:val="both"/>
        <w:rPr>
          <w:rStyle w:val="Gl"/>
          <w:rFonts w:ascii="Times New Roman" w:hAnsi="Times New Roman" w:cs="Times New Roman"/>
          <w:b/>
          <w:bCs w:val="0"/>
        </w:rPr>
      </w:pPr>
      <w:bookmarkStart w:id="203" w:name="_Toc505346196"/>
      <w:bookmarkStart w:id="204" w:name="_Toc512874160"/>
      <w:bookmarkStart w:id="205" w:name="_Toc48818045"/>
      <w:r w:rsidRPr="004E7F7B">
        <w:rPr>
          <w:rStyle w:val="Gl"/>
          <w:rFonts w:ascii="Times New Roman" w:hAnsi="Times New Roman" w:cs="Times New Roman"/>
          <w:b/>
          <w:bCs w:val="0"/>
        </w:rPr>
        <w:t>Table 4.20</w:t>
      </w:r>
      <w:r w:rsidR="00FE7FEB" w:rsidRPr="004E7F7B">
        <w:rPr>
          <w:rStyle w:val="Gl"/>
          <w:rFonts w:ascii="Times New Roman" w:hAnsi="Times New Roman" w:cs="Times New Roman"/>
          <w:b/>
          <w:bCs w:val="0"/>
        </w:rPr>
        <w:t>: Transmission Service Fee Upper Limit of BOTAŞ</w:t>
      </w:r>
      <w:bookmarkEnd w:id="203"/>
      <w:bookmarkEnd w:id="204"/>
      <w:bookmarkEnd w:id="205"/>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FE7FEB" w:rsidRPr="004E7F7B" w:rsidTr="00D816E6">
        <w:trPr>
          <w:trHeight w:hRule="exact" w:val="284"/>
          <w:jc w:val="center"/>
        </w:trPr>
        <w:tc>
          <w:tcPr>
            <w:tcW w:w="3076" w:type="dxa"/>
            <w:shd w:val="clear" w:color="auto" w:fill="6E9ECA"/>
            <w:vAlign w:val="center"/>
            <w:hideMark/>
          </w:tcPr>
          <w:p w:rsidR="00FE7FEB" w:rsidRPr="004E7F7B" w:rsidRDefault="00FE7FEB" w:rsidP="004E7F7B">
            <w:pPr>
              <w:rPr>
                <w:rFonts w:ascii="Times New Roman" w:hAnsi="Times New Roman" w:cs="Times New Roman"/>
                <w:b/>
                <w:bCs/>
                <w:color w:val="FFFFFF" w:themeColor="background1"/>
              </w:rPr>
            </w:pPr>
          </w:p>
        </w:tc>
        <w:tc>
          <w:tcPr>
            <w:tcW w:w="1640" w:type="dxa"/>
            <w:shd w:val="clear" w:color="auto" w:fill="6E9ECA"/>
            <w:vAlign w:val="center"/>
            <w:hideMark/>
          </w:tcPr>
          <w:p w:rsidR="00FE7FEB" w:rsidRPr="004E7F7B" w:rsidRDefault="00FE7FEB"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(TL/Sm</w:t>
            </w:r>
            <w:r w:rsidRPr="004E7F7B">
              <w:rPr>
                <w:rFonts w:ascii="Times New Roman" w:hAnsi="Times New Roman" w:cs="Times New Roman"/>
                <w:b/>
                <w:bCs/>
                <w:color w:val="FFFFFF" w:themeColor="background1"/>
                <w:vertAlign w:val="superscript"/>
              </w:rPr>
              <w:t>3</w:t>
            </w:r>
            <w:r w:rsidRPr="004E7F7B">
              <w:rPr>
                <w:rFonts w:ascii="Times New Roman" w:hAnsi="Times New Roman" w:cs="Times New Roman"/>
                <w:b/>
                <w:bCs/>
                <w:color w:val="FFFFFF" w:themeColor="background1"/>
              </w:rPr>
              <w:t>)</w:t>
            </w:r>
          </w:p>
        </w:tc>
        <w:tc>
          <w:tcPr>
            <w:tcW w:w="1886" w:type="dxa"/>
            <w:shd w:val="clear" w:color="auto" w:fill="6E9ECA"/>
            <w:vAlign w:val="center"/>
            <w:hideMark/>
          </w:tcPr>
          <w:p w:rsidR="00FE7FEB" w:rsidRPr="004E7F7B" w:rsidRDefault="00FE7FEB"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(TL/kWh)</w:t>
            </w:r>
          </w:p>
        </w:tc>
      </w:tr>
      <w:tr w:rsidR="00FE7FEB" w:rsidRPr="004E7F7B" w:rsidTr="00D816E6">
        <w:trPr>
          <w:trHeight w:hRule="exact" w:val="284"/>
          <w:jc w:val="center"/>
        </w:trPr>
        <w:tc>
          <w:tcPr>
            <w:tcW w:w="3076" w:type="dxa"/>
            <w:shd w:val="clear" w:color="auto" w:fill="auto"/>
            <w:noWrap/>
            <w:vAlign w:val="center"/>
            <w:hideMark/>
          </w:tcPr>
          <w:p w:rsidR="00FE7FEB" w:rsidRPr="004E7F7B" w:rsidRDefault="00FE7FEB"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Transmission Service Fee</w:t>
            </w:r>
          </w:p>
        </w:tc>
        <w:tc>
          <w:tcPr>
            <w:tcW w:w="1640" w:type="dxa"/>
            <w:shd w:val="clear" w:color="auto" w:fill="auto"/>
            <w:noWrap/>
            <w:vAlign w:val="center"/>
            <w:hideMark/>
          </w:tcPr>
          <w:p w:rsidR="00FE7FEB" w:rsidRPr="004E7F7B" w:rsidRDefault="004F4A11"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0,034185</w:t>
            </w:r>
          </w:p>
        </w:tc>
        <w:tc>
          <w:tcPr>
            <w:tcW w:w="1886" w:type="dxa"/>
            <w:shd w:val="clear" w:color="auto" w:fill="auto"/>
            <w:noWrap/>
            <w:vAlign w:val="center"/>
            <w:hideMark/>
          </w:tcPr>
          <w:p w:rsidR="00FE7FEB" w:rsidRPr="004E7F7B" w:rsidRDefault="004F4A11"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0,00321288</w:t>
            </w:r>
          </w:p>
        </w:tc>
      </w:tr>
    </w:tbl>
    <w:p w:rsidR="00FE7FEB" w:rsidRPr="004E7F7B" w:rsidRDefault="00FE7FEB" w:rsidP="004E7F7B">
      <w:pPr>
        <w:rPr>
          <w:rFonts w:ascii="Times New Roman" w:hAnsi="Times New Roman" w:cs="Times New Roman"/>
        </w:rPr>
      </w:pPr>
    </w:p>
    <w:p w:rsidR="00C24B0B" w:rsidRPr="004E7F7B" w:rsidRDefault="00C178C9" w:rsidP="002A3D78">
      <w:r w:rsidRPr="004E7F7B">
        <w:t>With the Board Decision dated 26.12.2019 and numbered 9036, dated 03.10.2013 and numbered 4638-1   published in the Official Gazette dated 29.12.2019 and bis numbered 30993</w:t>
      </w:r>
      <w:r w:rsidR="00FE7FEB" w:rsidRPr="004E7F7B">
        <w:rPr>
          <w:color w:val="000000" w:themeColor="text1"/>
        </w:rPr>
        <w:t>, within the scope of the “Principles and Procedures for Determining the Revenue Caps to be taken as basis to the Tariffs of natural Gas Transmission License Holding Companies” adopted by the Board Decision dated 03/10/2013 and numbered 4638-1; decision was taken regarding the annual revenue requirements to be the basis for transmission and shippin</w:t>
      </w:r>
      <w:r w:rsidRPr="004E7F7B">
        <w:rPr>
          <w:color w:val="000000" w:themeColor="text1"/>
        </w:rPr>
        <w:t>g control tariffs for the third</w:t>
      </w:r>
      <w:r w:rsidR="00FE7FEB" w:rsidRPr="004E7F7B">
        <w:rPr>
          <w:color w:val="000000" w:themeColor="text1"/>
        </w:rPr>
        <w:t xml:space="preserve"> implementation period of BOTAŞ, the holder of the transmission license dated 23/05/2003 and numbered and the decision was published in the Official Gazette dated 31/12/2016 and numbered 29935. Wi</w:t>
      </w:r>
      <w:r w:rsidRPr="004E7F7B">
        <w:rPr>
          <w:color w:val="000000" w:themeColor="text1"/>
        </w:rPr>
        <w:t>th the said decision, the third</w:t>
      </w:r>
      <w:r w:rsidR="00FE7FEB" w:rsidRPr="004E7F7B">
        <w:rPr>
          <w:color w:val="000000" w:themeColor="text1"/>
        </w:rPr>
        <w:t xml:space="preserve"> implementation period for the transmission and shipping tariff</w:t>
      </w:r>
      <w:r w:rsidRPr="004E7F7B">
        <w:rPr>
          <w:color w:val="000000" w:themeColor="text1"/>
        </w:rPr>
        <w:t>s of BOTAŞ was determined as 2020-2022</w:t>
      </w:r>
      <w:r w:rsidR="00FE7FEB" w:rsidRPr="004E7F7B">
        <w:rPr>
          <w:color w:val="000000" w:themeColor="text1"/>
        </w:rPr>
        <w:t>.   The real reasonable rate of return for transmission and shippin</w:t>
      </w:r>
      <w:r w:rsidRPr="004E7F7B">
        <w:rPr>
          <w:color w:val="000000" w:themeColor="text1"/>
        </w:rPr>
        <w:t>g tariffs was determined as 11,5</w:t>
      </w:r>
      <w:r w:rsidR="00FE7FEB" w:rsidRPr="004E7F7B">
        <w:rPr>
          <w:color w:val="000000" w:themeColor="text1"/>
        </w:rPr>
        <w:t>2% (before tax), net real reasonable rate o</w:t>
      </w:r>
      <w:r w:rsidRPr="004E7F7B">
        <w:rPr>
          <w:color w:val="000000" w:themeColor="text1"/>
        </w:rPr>
        <w:t>f return was determined as 10,89</w:t>
      </w:r>
      <w:r w:rsidR="00FE7FEB" w:rsidRPr="004E7F7B">
        <w:rPr>
          <w:color w:val="000000" w:themeColor="text1"/>
        </w:rPr>
        <w:t>3 (before tax). Annual investment cap and revenue requ</w:t>
      </w:r>
      <w:r w:rsidRPr="004E7F7B">
        <w:rPr>
          <w:color w:val="000000" w:themeColor="text1"/>
        </w:rPr>
        <w:t>irements of BOTAŞ for the third</w:t>
      </w:r>
      <w:r w:rsidR="00FE7FEB" w:rsidRPr="004E7F7B">
        <w:rPr>
          <w:color w:val="000000" w:themeColor="text1"/>
        </w:rPr>
        <w:t xml:space="preserve"> implementation period are given in the tables hereunder;  </w:t>
      </w:r>
    </w:p>
    <w:p w:rsidR="00FE7FEB" w:rsidRPr="004E7F7B" w:rsidRDefault="00C178C9" w:rsidP="004E7F7B">
      <w:pPr>
        <w:pStyle w:val="Balk5"/>
        <w:jc w:val="both"/>
        <w:rPr>
          <w:rStyle w:val="Gl"/>
          <w:rFonts w:ascii="Times New Roman" w:hAnsi="Times New Roman" w:cs="Times New Roman"/>
          <w:b/>
          <w:bCs w:val="0"/>
        </w:rPr>
      </w:pPr>
      <w:bookmarkStart w:id="206" w:name="_Toc505346197"/>
      <w:bookmarkStart w:id="207" w:name="_Toc512874161"/>
      <w:bookmarkStart w:id="208" w:name="_Toc48818046"/>
      <w:r w:rsidRPr="004E7F7B">
        <w:rPr>
          <w:rStyle w:val="Gl"/>
          <w:rFonts w:ascii="Times New Roman" w:hAnsi="Times New Roman" w:cs="Times New Roman"/>
          <w:b/>
          <w:bCs w:val="0"/>
        </w:rPr>
        <w:t>Table 4.21</w:t>
      </w:r>
      <w:r w:rsidR="003B585D" w:rsidRPr="004E7F7B">
        <w:rPr>
          <w:rStyle w:val="Gl"/>
          <w:rFonts w:ascii="Times New Roman" w:hAnsi="Times New Roman" w:cs="Times New Roman"/>
          <w:b/>
          <w:bCs w:val="0"/>
        </w:rPr>
        <w:t>: Investment Cap of BOTAŞ for Second Implementation P</w:t>
      </w:r>
      <w:r w:rsidR="00FE7FEB" w:rsidRPr="004E7F7B">
        <w:rPr>
          <w:rStyle w:val="Gl"/>
          <w:rFonts w:ascii="Times New Roman" w:hAnsi="Times New Roman" w:cs="Times New Roman"/>
          <w:b/>
          <w:bCs w:val="0"/>
        </w:rPr>
        <w:t>erio</w:t>
      </w:r>
      <w:bookmarkEnd w:id="206"/>
      <w:bookmarkEnd w:id="207"/>
      <w:r w:rsidR="00FE7FEB" w:rsidRPr="004E7F7B">
        <w:rPr>
          <w:rStyle w:val="Gl"/>
          <w:rFonts w:ascii="Times New Roman" w:hAnsi="Times New Roman" w:cs="Times New Roman"/>
          <w:b/>
          <w:bCs w:val="0"/>
        </w:rPr>
        <w:t>d</w:t>
      </w:r>
      <w:bookmarkEnd w:id="208"/>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835"/>
        <w:gridCol w:w="1316"/>
        <w:gridCol w:w="1940"/>
        <w:gridCol w:w="2051"/>
      </w:tblGrid>
      <w:tr w:rsidR="00FE7FEB" w:rsidRPr="004E7F7B" w:rsidTr="00216EDE">
        <w:tc>
          <w:tcPr>
            <w:tcW w:w="2835" w:type="dxa"/>
            <w:shd w:val="clear" w:color="auto" w:fill="6E9ECA"/>
          </w:tcPr>
          <w:p w:rsidR="00FE7FEB" w:rsidRPr="004E7F7B" w:rsidRDefault="00FE7FEB" w:rsidP="004E7F7B">
            <w:pPr>
              <w:rPr>
                <w:rFonts w:ascii="Times New Roman" w:hAnsi="Times New Roman" w:cs="Times New Roman"/>
                <w:color w:val="FFFFFF" w:themeColor="background1"/>
              </w:rPr>
            </w:pPr>
          </w:p>
        </w:tc>
        <w:tc>
          <w:tcPr>
            <w:tcW w:w="1242"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2020</w:t>
            </w:r>
          </w:p>
        </w:tc>
        <w:tc>
          <w:tcPr>
            <w:tcW w:w="1940"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2021</w:t>
            </w:r>
          </w:p>
        </w:tc>
        <w:tc>
          <w:tcPr>
            <w:tcW w:w="2051"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2022</w:t>
            </w:r>
          </w:p>
        </w:tc>
      </w:tr>
      <w:tr w:rsidR="00C178C9" w:rsidRPr="004E7F7B" w:rsidTr="00216EDE">
        <w:trPr>
          <w:trHeight w:val="283"/>
        </w:trPr>
        <w:tc>
          <w:tcPr>
            <w:tcW w:w="2835" w:type="dxa"/>
          </w:tcPr>
          <w:p w:rsidR="00C178C9" w:rsidRPr="004E7F7B" w:rsidRDefault="00C178C9" w:rsidP="004E7F7B">
            <w:pPr>
              <w:rPr>
                <w:rFonts w:ascii="Times New Roman" w:hAnsi="Times New Roman" w:cs="Times New Roman"/>
                <w:color w:val="000000" w:themeColor="text1"/>
                <w:vertAlign w:val="superscript"/>
              </w:rPr>
            </w:pPr>
            <w:r w:rsidRPr="004E7F7B">
              <w:rPr>
                <w:rFonts w:ascii="Times New Roman" w:hAnsi="Times New Roman" w:cs="Times New Roman"/>
                <w:color w:val="000000" w:themeColor="text1"/>
              </w:rPr>
              <w:t>Investment cap (TL)</w:t>
            </w:r>
            <w:r w:rsidRPr="004E7F7B">
              <w:rPr>
                <w:rFonts w:ascii="Times New Roman" w:hAnsi="Times New Roman" w:cs="Times New Roman"/>
                <w:color w:val="000000" w:themeColor="text1"/>
                <w:vertAlign w:val="superscript"/>
              </w:rPr>
              <w:t>1</w:t>
            </w:r>
          </w:p>
        </w:tc>
        <w:tc>
          <w:tcPr>
            <w:tcW w:w="1242"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754.116.406</w:t>
            </w:r>
          </w:p>
        </w:tc>
        <w:tc>
          <w:tcPr>
            <w:tcW w:w="1940"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1.152.083.349</w:t>
            </w:r>
          </w:p>
        </w:tc>
        <w:tc>
          <w:tcPr>
            <w:tcW w:w="2051"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640.263.000</w:t>
            </w:r>
          </w:p>
        </w:tc>
      </w:tr>
    </w:tbl>
    <w:p w:rsidR="00FE7FEB" w:rsidRPr="004E7F7B" w:rsidRDefault="00FE7FEB" w:rsidP="004E7F7B">
      <w:pPr>
        <w:ind w:firstLine="708"/>
        <w:rPr>
          <w:rFonts w:ascii="Times New Roman" w:hAnsi="Times New Roman" w:cs="Times New Roman"/>
          <w:color w:val="000000" w:themeColor="text1"/>
        </w:rPr>
      </w:pPr>
      <w:r w:rsidRPr="004E7F7B">
        <w:rPr>
          <w:rFonts w:ascii="Times New Roman" w:hAnsi="Times New Roman" w:cs="Times New Roman"/>
          <w:color w:val="000000" w:themeColor="text1"/>
          <w:vertAlign w:val="superscript"/>
        </w:rPr>
        <w:t>1</w:t>
      </w:r>
      <w:r w:rsidRPr="004E7F7B">
        <w:rPr>
          <w:rFonts w:ascii="Times New Roman" w:hAnsi="Times New Roman" w:cs="Times New Roman"/>
          <w:color w:val="000000" w:themeColor="text1"/>
        </w:rPr>
        <w:t>Th</w:t>
      </w:r>
      <w:r w:rsidR="00C178C9" w:rsidRPr="004E7F7B">
        <w:rPr>
          <w:rFonts w:ascii="Times New Roman" w:hAnsi="Times New Roman" w:cs="Times New Roman"/>
          <w:color w:val="000000" w:themeColor="text1"/>
        </w:rPr>
        <w:t>ese amounts are with PPI =449,96</w:t>
      </w:r>
      <w:r w:rsidRPr="004E7F7B">
        <w:rPr>
          <w:rFonts w:ascii="Times New Roman" w:hAnsi="Times New Roman" w:cs="Times New Roman"/>
          <w:color w:val="000000" w:themeColor="text1"/>
        </w:rPr>
        <w:t xml:space="preserve"> .</w:t>
      </w:r>
    </w:p>
    <w:p w:rsidR="00FE7FEB" w:rsidRPr="004E7F7B" w:rsidRDefault="00C178C9" w:rsidP="004E7F7B">
      <w:pPr>
        <w:pStyle w:val="Balk5"/>
        <w:jc w:val="both"/>
        <w:rPr>
          <w:rStyle w:val="Gl"/>
          <w:rFonts w:ascii="Times New Roman" w:hAnsi="Times New Roman" w:cs="Times New Roman"/>
          <w:b/>
          <w:bCs w:val="0"/>
        </w:rPr>
      </w:pPr>
      <w:bookmarkStart w:id="209" w:name="_Toc505346198"/>
      <w:bookmarkStart w:id="210" w:name="_Toc512874162"/>
      <w:bookmarkStart w:id="211" w:name="_Toc48818047"/>
      <w:r w:rsidRPr="004E7F7B">
        <w:rPr>
          <w:rStyle w:val="Gl"/>
          <w:rFonts w:ascii="Times New Roman" w:hAnsi="Times New Roman" w:cs="Times New Roman"/>
          <w:b/>
          <w:bCs w:val="0"/>
        </w:rPr>
        <w:t>Table 4.22</w:t>
      </w:r>
      <w:r w:rsidR="003B585D" w:rsidRPr="004E7F7B">
        <w:rPr>
          <w:rStyle w:val="Gl"/>
          <w:rFonts w:ascii="Times New Roman" w:hAnsi="Times New Roman" w:cs="Times New Roman"/>
          <w:b/>
          <w:bCs w:val="0"/>
        </w:rPr>
        <w:t>: Revenue Requirement of BOTAŞ for Second Implementation P</w:t>
      </w:r>
      <w:r w:rsidR="00FE7FEB" w:rsidRPr="004E7F7B">
        <w:rPr>
          <w:rStyle w:val="Gl"/>
          <w:rFonts w:ascii="Times New Roman" w:hAnsi="Times New Roman" w:cs="Times New Roman"/>
          <w:b/>
          <w:bCs w:val="0"/>
        </w:rPr>
        <w:t>eriod</w:t>
      </w:r>
      <w:bookmarkEnd w:id="209"/>
      <w:bookmarkEnd w:id="210"/>
      <w:bookmarkEnd w:id="211"/>
    </w:p>
    <w:tbl>
      <w:tblPr>
        <w:tblW w:w="0" w:type="auto"/>
        <w:tblInd w:w="-11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3227"/>
        <w:gridCol w:w="1846"/>
        <w:gridCol w:w="2218"/>
        <w:gridCol w:w="2218"/>
      </w:tblGrid>
      <w:tr w:rsidR="00FE7FEB" w:rsidRPr="004E7F7B" w:rsidTr="00216EDE">
        <w:tc>
          <w:tcPr>
            <w:tcW w:w="3227" w:type="dxa"/>
            <w:shd w:val="clear" w:color="auto" w:fill="6E9ECA"/>
          </w:tcPr>
          <w:p w:rsidR="00FE7FEB" w:rsidRPr="004E7F7B" w:rsidRDefault="00FE7FEB" w:rsidP="004E7F7B">
            <w:pPr>
              <w:rPr>
                <w:rFonts w:ascii="Times New Roman" w:hAnsi="Times New Roman" w:cs="Times New Roman"/>
                <w:color w:val="FFFFFF" w:themeColor="background1"/>
              </w:rPr>
            </w:pPr>
          </w:p>
        </w:tc>
        <w:tc>
          <w:tcPr>
            <w:tcW w:w="1846"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2020</w:t>
            </w:r>
          </w:p>
        </w:tc>
        <w:tc>
          <w:tcPr>
            <w:tcW w:w="2218"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2021</w:t>
            </w:r>
          </w:p>
        </w:tc>
        <w:tc>
          <w:tcPr>
            <w:tcW w:w="2218" w:type="dxa"/>
            <w:shd w:val="clear" w:color="auto" w:fill="6E9ECA"/>
          </w:tcPr>
          <w:p w:rsidR="00FE7FEB" w:rsidRPr="004E7F7B" w:rsidRDefault="00C178C9"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2022</w:t>
            </w:r>
          </w:p>
        </w:tc>
      </w:tr>
      <w:tr w:rsidR="00C178C9" w:rsidRPr="004E7F7B" w:rsidTr="00216EDE">
        <w:tc>
          <w:tcPr>
            <w:tcW w:w="3227" w:type="dxa"/>
          </w:tcPr>
          <w:p w:rsidR="00C178C9" w:rsidRPr="004E7F7B" w:rsidRDefault="00C178C9" w:rsidP="004E7F7B">
            <w:pPr>
              <w:rPr>
                <w:rFonts w:ascii="Times New Roman" w:hAnsi="Times New Roman" w:cs="Times New Roman"/>
                <w:color w:val="000000" w:themeColor="text1"/>
                <w:vertAlign w:val="superscript"/>
              </w:rPr>
            </w:pPr>
            <w:r w:rsidRPr="004E7F7B">
              <w:rPr>
                <w:rFonts w:ascii="Times New Roman" w:hAnsi="Times New Roman" w:cs="Times New Roman"/>
                <w:color w:val="000000" w:themeColor="text1"/>
              </w:rPr>
              <w:t>Revenue requirement (TL)</w:t>
            </w:r>
            <w:r w:rsidRPr="004E7F7B">
              <w:rPr>
                <w:rFonts w:ascii="Times New Roman" w:hAnsi="Times New Roman" w:cs="Times New Roman"/>
                <w:color w:val="000000" w:themeColor="text1"/>
                <w:vertAlign w:val="superscript"/>
              </w:rPr>
              <w:t>1</w:t>
            </w:r>
          </w:p>
        </w:tc>
        <w:tc>
          <w:tcPr>
            <w:tcW w:w="1846"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3.148.131.989</w:t>
            </w:r>
          </w:p>
        </w:tc>
        <w:tc>
          <w:tcPr>
            <w:tcW w:w="2218"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3.226.998.030</w:t>
            </w:r>
          </w:p>
        </w:tc>
        <w:tc>
          <w:tcPr>
            <w:tcW w:w="2218" w:type="dxa"/>
          </w:tcPr>
          <w:p w:rsidR="00C178C9" w:rsidRPr="004E7F7B" w:rsidRDefault="00C178C9"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3.270.274.834</w:t>
            </w:r>
          </w:p>
        </w:tc>
      </w:tr>
    </w:tbl>
    <w:p w:rsidR="00FE7FEB" w:rsidRPr="004E7F7B" w:rsidRDefault="00FE7FEB" w:rsidP="004E7F7B">
      <w:pPr>
        <w:ind w:firstLine="708"/>
        <w:rPr>
          <w:rFonts w:ascii="Times New Roman" w:hAnsi="Times New Roman" w:cs="Times New Roman"/>
          <w:color w:val="000000" w:themeColor="text1"/>
        </w:rPr>
      </w:pPr>
      <w:r w:rsidRPr="004E7F7B">
        <w:rPr>
          <w:rFonts w:ascii="Times New Roman" w:hAnsi="Times New Roman" w:cs="Times New Roman"/>
          <w:color w:val="000000" w:themeColor="text1"/>
          <w:vertAlign w:val="superscript"/>
        </w:rPr>
        <w:t>1</w:t>
      </w:r>
      <w:r w:rsidRPr="004E7F7B">
        <w:rPr>
          <w:rFonts w:ascii="Times New Roman" w:hAnsi="Times New Roman" w:cs="Times New Roman"/>
          <w:color w:val="000000" w:themeColor="text1"/>
        </w:rPr>
        <w:t>Th</w:t>
      </w:r>
      <w:r w:rsidR="00C178C9" w:rsidRPr="004E7F7B">
        <w:rPr>
          <w:rFonts w:ascii="Times New Roman" w:hAnsi="Times New Roman" w:cs="Times New Roman"/>
          <w:color w:val="000000" w:themeColor="text1"/>
        </w:rPr>
        <w:t>ese amounts are with ÜFE =499,96</w:t>
      </w:r>
      <w:r w:rsidRPr="004E7F7B">
        <w:rPr>
          <w:rFonts w:ascii="Times New Roman" w:hAnsi="Times New Roman" w:cs="Times New Roman"/>
          <w:color w:val="000000" w:themeColor="text1"/>
        </w:rPr>
        <w:t>.</w:t>
      </w:r>
    </w:p>
    <w:p w:rsidR="00FE7FEB" w:rsidRPr="004E7F7B" w:rsidRDefault="00FE7FEB" w:rsidP="004E7F7B">
      <w:pPr>
        <w:pStyle w:val="Balk3"/>
        <w:rPr>
          <w:rFonts w:ascii="Times New Roman" w:hAnsi="Times New Roman" w:cs="Times New Roman"/>
          <w:sz w:val="22"/>
          <w:szCs w:val="22"/>
        </w:rPr>
      </w:pPr>
      <w:bookmarkStart w:id="212" w:name="_Toc505346078"/>
      <w:bookmarkStart w:id="213" w:name="_Toc514251659"/>
      <w:bookmarkStart w:id="214" w:name="_Toc48817863"/>
      <w:r w:rsidRPr="004E7F7B">
        <w:rPr>
          <w:rFonts w:ascii="Times New Roman" w:hAnsi="Times New Roman" w:cs="Times New Roman"/>
          <w:sz w:val="22"/>
          <w:szCs w:val="22"/>
        </w:rPr>
        <w:t>4.2.2.Connection Tariffs</w:t>
      </w:r>
      <w:bookmarkEnd w:id="212"/>
      <w:bookmarkEnd w:id="213"/>
      <w:bookmarkEnd w:id="214"/>
    </w:p>
    <w:p w:rsidR="00AB35D3" w:rsidRPr="004E7F7B" w:rsidRDefault="00DB148F" w:rsidP="002A3D78">
      <w:r w:rsidRPr="004E7F7B">
        <w:t>With the Board Decision dated 26.12.2019 and numbered 9039, the decision regarding the determination of the amounts stated in the principles and procedures for connection and service fees in Natural Gas Distribution Sector was published in the Official Gazette dated 29.12.2019 and numbered 30993. The updated prices for 2020 are given in Table 4.23;</w:t>
      </w:r>
    </w:p>
    <w:p w:rsidR="002A3D78" w:rsidRDefault="002A3D78" w:rsidP="004E7F7B">
      <w:pPr>
        <w:pStyle w:val="Balk5"/>
        <w:jc w:val="both"/>
        <w:rPr>
          <w:rStyle w:val="Gl"/>
          <w:rFonts w:ascii="Times New Roman" w:hAnsi="Times New Roman" w:cs="Times New Roman"/>
          <w:b/>
          <w:bCs w:val="0"/>
        </w:rPr>
      </w:pPr>
    </w:p>
    <w:p w:rsidR="00FE7FEB" w:rsidRPr="004E7F7B" w:rsidRDefault="00AB35D3" w:rsidP="004E7F7B">
      <w:pPr>
        <w:pStyle w:val="Balk5"/>
        <w:jc w:val="both"/>
        <w:rPr>
          <w:rFonts w:ascii="Times New Roman" w:hAnsi="Times New Roman" w:cs="Times New Roman"/>
        </w:rPr>
      </w:pPr>
      <w:bookmarkStart w:id="215" w:name="_Toc48818048"/>
      <w:r w:rsidRPr="004E7F7B">
        <w:rPr>
          <w:rStyle w:val="Gl"/>
          <w:rFonts w:ascii="Times New Roman" w:hAnsi="Times New Roman" w:cs="Times New Roman"/>
          <w:b/>
          <w:bCs w:val="0"/>
        </w:rPr>
        <w:t>Table 4.23</w:t>
      </w:r>
      <w:r w:rsidR="003B585D" w:rsidRPr="004E7F7B">
        <w:rPr>
          <w:rStyle w:val="Gl"/>
          <w:rFonts w:ascii="Times New Roman" w:hAnsi="Times New Roman" w:cs="Times New Roman"/>
          <w:b/>
          <w:bCs w:val="0"/>
        </w:rPr>
        <w:t>: Connection Tariffs D</w:t>
      </w:r>
      <w:r w:rsidR="00FE7FEB" w:rsidRPr="004E7F7B">
        <w:rPr>
          <w:rStyle w:val="Gl"/>
          <w:rFonts w:ascii="Times New Roman" w:hAnsi="Times New Roman" w:cs="Times New Roman"/>
          <w:b/>
          <w:bCs w:val="0"/>
        </w:rPr>
        <w:t>etermined for Distribution Companies</w:t>
      </w:r>
      <w:bookmarkEnd w:id="215"/>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555"/>
        <w:gridCol w:w="2948"/>
        <w:gridCol w:w="2119"/>
      </w:tblGrid>
      <w:tr w:rsidR="00FE7FEB" w:rsidRPr="004E7F7B" w:rsidTr="0095465A">
        <w:trPr>
          <w:trHeight w:val="20"/>
          <w:tblHeader/>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tcPr>
          <w:p w:rsidR="00FE7FEB" w:rsidRPr="0095465A" w:rsidRDefault="00FE7FEB" w:rsidP="004E7F7B">
            <w:pPr>
              <w:spacing w:after="0" w:line="240" w:lineRule="auto"/>
              <w:rPr>
                <w:rFonts w:ascii="Times New Roman" w:hAnsi="Times New Roman" w:cs="Times New Roman"/>
                <w:b/>
                <w:bCs/>
                <w:color w:val="FFFFFF" w:themeColor="background1"/>
                <w:lang w:val="tr-TR"/>
              </w:rPr>
            </w:pP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95465A" w:rsidRDefault="008B4B74" w:rsidP="004E7F7B">
            <w:pPr>
              <w:spacing w:after="0" w:line="240" w:lineRule="auto"/>
              <w:rPr>
                <w:rFonts w:ascii="Times New Roman" w:hAnsi="Times New Roman" w:cs="Times New Roman"/>
                <w:b/>
                <w:bCs/>
                <w:color w:val="FFFFFF" w:themeColor="background1"/>
              </w:rPr>
            </w:pPr>
            <w:r w:rsidRPr="0095465A">
              <w:rPr>
                <w:rFonts w:ascii="Times New Roman" w:hAnsi="Times New Roman" w:cs="Times New Roman"/>
                <w:b/>
                <w:bCs/>
                <w:color w:val="FFFFFF" w:themeColor="background1"/>
              </w:rPr>
              <w:t>2019</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FE7FEB" w:rsidRPr="004E7F7B" w:rsidRDefault="008B4B74"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2020</w:t>
            </w:r>
          </w:p>
        </w:tc>
      </w:tr>
      <w:tr w:rsidR="00FE7FEB"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DB148F" w:rsidP="004E7F7B">
            <w:pPr>
              <w:spacing w:after="0" w:line="240" w:lineRule="auto"/>
              <w:rPr>
                <w:rFonts w:ascii="Times New Roman" w:hAnsi="Times New Roman" w:cs="Times New Roman"/>
                <w:b/>
                <w:bCs/>
                <w:color w:val="000000" w:themeColor="text1"/>
              </w:rPr>
            </w:pPr>
            <w:r w:rsidRPr="004E7F7B">
              <w:rPr>
                <w:rFonts w:ascii="Times New Roman" w:hAnsi="Times New Roman" w:cs="Times New Roman"/>
                <w:bCs/>
                <w:color w:val="000000" w:themeColor="text1"/>
              </w:rPr>
              <w:t>The subscriber connection fee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594</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656,7</w:t>
            </w:r>
          </w:p>
        </w:tc>
      </w:tr>
      <w:tr w:rsidR="00FE7FEB"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DB148F" w:rsidP="004E7F7B">
            <w:pPr>
              <w:spacing w:after="0" w:line="240" w:lineRule="auto"/>
              <w:rPr>
                <w:rFonts w:ascii="Times New Roman" w:hAnsi="Times New Roman" w:cs="Times New Roman"/>
                <w:b/>
                <w:bCs/>
                <w:color w:val="000000" w:themeColor="text1"/>
              </w:rPr>
            </w:pPr>
            <w:r w:rsidRPr="004E7F7B">
              <w:rPr>
                <w:rFonts w:ascii="Times New Roman" w:hAnsi="Times New Roman" w:cs="Times New Roman"/>
                <w:bCs/>
                <w:color w:val="000000" w:themeColor="text1"/>
              </w:rPr>
              <w:t>Additional subscriber connection fee (TL/m2)</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color w:val="000000" w:themeColor="text1"/>
              </w:rPr>
              <w:t xml:space="preserve"> 516</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570,5</w:t>
            </w:r>
          </w:p>
        </w:tc>
      </w:tr>
      <w:tr w:rsidR="00FE7FEB"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Connection control and approval fee (for initial 100 meters)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rPr>
                <w:rFonts w:ascii="Times New Roman" w:hAnsi="Times New Roman" w:cs="Times New Roman"/>
              </w:rPr>
            </w:pPr>
            <w:r w:rsidRPr="004E7F7B">
              <w:rPr>
                <w:rFonts w:ascii="Times New Roman" w:hAnsi="Times New Roman" w:cs="Times New Roman"/>
                <w:color w:val="000000" w:themeColor="text1"/>
              </w:rPr>
              <w:t>516</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highlight w:val="yellow"/>
              </w:rPr>
            </w:pPr>
            <w:r w:rsidRPr="004E7F7B">
              <w:rPr>
                <w:rFonts w:ascii="Times New Roman" w:hAnsi="Times New Roman" w:cs="Times New Roman"/>
                <w:color w:val="000000" w:themeColor="text1"/>
              </w:rPr>
              <w:t>570,5</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Connection control and approval fee (for additional each 1 meter)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3,2</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3,5</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Security deposit for boiler (TL/unit)</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510</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563,9</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Security deposit for stove (TL/housing)</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455</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503</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Security deposit for central system (TL/BBS)</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455</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503</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Security deposit for oven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27</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29,8</w:t>
            </w:r>
          </w:p>
        </w:tc>
      </w:tr>
      <w:tr w:rsidR="00D01BB2"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D01BB2"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Security deposit for water heater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55</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D01BB2"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60,8</w:t>
            </w:r>
          </w:p>
        </w:tc>
      </w:tr>
      <w:tr w:rsidR="006A6F88"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6A6F88"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The cost for changing the meter with pre-paid meter.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8B4B74" w:rsidP="004E7F7B">
            <w:pPr>
              <w:rPr>
                <w:rFonts w:ascii="Times New Roman" w:hAnsi="Times New Roman" w:cs="Times New Roman"/>
                <w:color w:val="000000" w:themeColor="text1"/>
              </w:rPr>
            </w:pPr>
            <w:r w:rsidRPr="004E7F7B">
              <w:rPr>
                <w:rFonts w:ascii="Times New Roman" w:hAnsi="Times New Roman" w:cs="Times New Roman"/>
                <w:color w:val="000000" w:themeColor="text1"/>
              </w:rPr>
              <w:t>243</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268,7</w:t>
            </w:r>
          </w:p>
        </w:tc>
      </w:tr>
      <w:tr w:rsidR="00FE7FEB"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6A6F88"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color w:val="000000" w:themeColor="text1"/>
              </w:rPr>
              <w:t>Meter opening-closing fee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24</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26,5</w:t>
            </w:r>
          </w:p>
        </w:tc>
      </w:tr>
      <w:tr w:rsidR="006A6F88" w:rsidRPr="004E7F7B" w:rsidTr="0095465A">
        <w:trPr>
          <w:trHeight w:val="20"/>
          <w:jc w:val="center"/>
        </w:trPr>
        <w:tc>
          <w:tcPr>
            <w:tcW w:w="23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6A6F88"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Service box removal fee (TL)</w:t>
            </w:r>
          </w:p>
        </w:tc>
        <w:tc>
          <w:tcPr>
            <w:tcW w:w="153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206</w:t>
            </w:r>
          </w:p>
        </w:tc>
        <w:tc>
          <w:tcPr>
            <w:tcW w:w="110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6A6F88" w:rsidRPr="004E7F7B" w:rsidRDefault="008B4B74" w:rsidP="004E7F7B">
            <w:pPr>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227,8</w:t>
            </w:r>
          </w:p>
        </w:tc>
      </w:tr>
    </w:tbl>
    <w:p w:rsidR="00FE7FEB" w:rsidRPr="004E7F7B" w:rsidRDefault="00FE7FEB" w:rsidP="004E7F7B">
      <w:pPr>
        <w:rPr>
          <w:rFonts w:ascii="Times New Roman" w:hAnsi="Times New Roman" w:cs="Times New Roman"/>
        </w:rPr>
      </w:pPr>
    </w:p>
    <w:p w:rsidR="00FE7FEB" w:rsidRPr="004E7F7B" w:rsidRDefault="003B585D" w:rsidP="004E7F7B">
      <w:pPr>
        <w:pStyle w:val="Balk3"/>
        <w:rPr>
          <w:rFonts w:ascii="Times New Roman" w:hAnsi="Times New Roman" w:cs="Times New Roman"/>
          <w:sz w:val="22"/>
          <w:szCs w:val="22"/>
        </w:rPr>
      </w:pPr>
      <w:bookmarkStart w:id="216" w:name="_Toc48817864"/>
      <w:r w:rsidRPr="004E7F7B">
        <w:rPr>
          <w:rFonts w:ascii="Times New Roman" w:hAnsi="Times New Roman" w:cs="Times New Roman"/>
          <w:sz w:val="22"/>
          <w:szCs w:val="22"/>
        </w:rPr>
        <w:t>4.2.3.Fees for Internal Installation Project Approval, Supervision, Testing and Commissioning T</w:t>
      </w:r>
      <w:r w:rsidR="00FE7FEB" w:rsidRPr="004E7F7B">
        <w:rPr>
          <w:rFonts w:ascii="Times New Roman" w:hAnsi="Times New Roman" w:cs="Times New Roman"/>
          <w:sz w:val="22"/>
          <w:szCs w:val="22"/>
        </w:rPr>
        <w:t>ransactions</w:t>
      </w:r>
      <w:bookmarkEnd w:id="216"/>
      <w:r w:rsidR="00FE7FEB" w:rsidRPr="004E7F7B">
        <w:rPr>
          <w:rFonts w:ascii="Times New Roman" w:hAnsi="Times New Roman" w:cs="Times New Roman"/>
          <w:sz w:val="22"/>
          <w:szCs w:val="22"/>
        </w:rPr>
        <w:t xml:space="preserve"> </w:t>
      </w:r>
    </w:p>
    <w:p w:rsidR="00FE7FEB" w:rsidRPr="004E7F7B" w:rsidRDefault="00FE7FEB" w:rsidP="002A3D78">
      <w:r w:rsidRPr="004E7F7B">
        <w:t xml:space="preserve">Board Decision dated </w:t>
      </w:r>
      <w:r w:rsidR="008B4B74" w:rsidRPr="004E7F7B">
        <w:t>26.12.2019</w:t>
      </w:r>
      <w:r w:rsidRPr="004E7F7B">
        <w:t xml:space="preserve"> and numbered </w:t>
      </w:r>
      <w:r w:rsidR="008B4B74" w:rsidRPr="004E7F7B">
        <w:t>9039</w:t>
      </w:r>
      <w:r w:rsidRPr="004E7F7B">
        <w:t xml:space="preserve"> on Natural Gas Distribution Companies' internal installation project approval, supervision, testing and commissioning transactions were published in the Official Gazette numbered </w:t>
      </w:r>
      <w:r w:rsidR="008B4B74" w:rsidRPr="004E7F7B">
        <w:t>30993</w:t>
      </w:r>
      <w:r w:rsidRPr="004E7F7B">
        <w:t xml:space="preserve"> on </w:t>
      </w:r>
      <w:r w:rsidR="008B4B74" w:rsidRPr="004E7F7B">
        <w:t>2</w:t>
      </w:r>
      <w:r w:rsidRPr="004E7F7B">
        <w:t>9.12.201</w:t>
      </w:r>
      <w:r w:rsidR="008B4B74" w:rsidRPr="004E7F7B">
        <w:t>9</w:t>
      </w:r>
      <w:r w:rsidRPr="004E7F7B">
        <w:t>. Th</w:t>
      </w:r>
      <w:r w:rsidR="008B4B74" w:rsidRPr="004E7F7B">
        <w:t>e updated price for the year 2020 is shown in Table 4.24</w:t>
      </w:r>
      <w:r w:rsidRPr="004E7F7B">
        <w:t>.</w:t>
      </w:r>
    </w:p>
    <w:p w:rsidR="00FE7FEB" w:rsidRPr="004E7F7B" w:rsidRDefault="008B4B74" w:rsidP="004E7F7B">
      <w:pPr>
        <w:pStyle w:val="Balk5"/>
        <w:jc w:val="both"/>
        <w:rPr>
          <w:rFonts w:ascii="Times New Roman" w:hAnsi="Times New Roman" w:cs="Times New Roman"/>
        </w:rPr>
      </w:pPr>
      <w:bookmarkStart w:id="217" w:name="_Toc48818049"/>
      <w:r w:rsidRPr="004E7F7B">
        <w:rPr>
          <w:rStyle w:val="Gl"/>
          <w:rFonts w:ascii="Times New Roman" w:hAnsi="Times New Roman" w:cs="Times New Roman"/>
          <w:b/>
          <w:bCs w:val="0"/>
        </w:rPr>
        <w:t>Table 4.24</w:t>
      </w:r>
      <w:r w:rsidR="00C807DF" w:rsidRPr="004E7F7B">
        <w:rPr>
          <w:rStyle w:val="Gl"/>
          <w:rFonts w:ascii="Times New Roman" w:hAnsi="Times New Roman" w:cs="Times New Roman"/>
          <w:b/>
          <w:bCs w:val="0"/>
        </w:rPr>
        <w:t>: Internal Installation Project App</w:t>
      </w:r>
      <w:r w:rsidR="0060053F" w:rsidRPr="004E7F7B">
        <w:rPr>
          <w:rStyle w:val="Gl"/>
          <w:rFonts w:ascii="Times New Roman" w:hAnsi="Times New Roman" w:cs="Times New Roman"/>
          <w:b/>
          <w:bCs w:val="0"/>
        </w:rPr>
        <w:t xml:space="preserve">roval, Supervision, Testing and </w:t>
      </w:r>
      <w:r w:rsidR="00C807DF" w:rsidRPr="004E7F7B">
        <w:rPr>
          <w:rStyle w:val="Gl"/>
          <w:rFonts w:ascii="Times New Roman" w:hAnsi="Times New Roman" w:cs="Times New Roman"/>
          <w:b/>
          <w:bCs w:val="0"/>
        </w:rPr>
        <w:t>Commissioning Transactions Max. Fees Set F</w:t>
      </w:r>
      <w:r w:rsidR="00FE7FEB" w:rsidRPr="004E7F7B">
        <w:rPr>
          <w:rStyle w:val="Gl"/>
          <w:rFonts w:ascii="Times New Roman" w:hAnsi="Times New Roman" w:cs="Times New Roman"/>
          <w:b/>
          <w:bCs w:val="0"/>
        </w:rPr>
        <w:t>orth by the Authority</w:t>
      </w:r>
      <w:bookmarkEnd w:id="217"/>
    </w:p>
    <w:tbl>
      <w:tblPr>
        <w:tblW w:w="892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1E0" w:firstRow="1" w:lastRow="1" w:firstColumn="1" w:lastColumn="1" w:noHBand="0" w:noVBand="0"/>
      </w:tblPr>
      <w:tblGrid>
        <w:gridCol w:w="2945"/>
        <w:gridCol w:w="2990"/>
        <w:gridCol w:w="2990"/>
      </w:tblGrid>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8B4B74" w:rsidP="004E7F7B">
            <w:pPr>
              <w:spacing w:after="0" w:line="240" w:lineRule="auto"/>
              <w:rPr>
                <w:rFonts w:ascii="Times New Roman" w:hAnsi="Times New Roman" w:cs="Times New Roman"/>
                <w:b/>
                <w:bCs/>
                <w:color w:val="FFFFFF" w:themeColor="background1"/>
                <w:lang w:val="tr-TR"/>
              </w:rPr>
            </w:pPr>
            <w:r w:rsidRPr="004E7F7B">
              <w:rPr>
                <w:rFonts w:ascii="Times New Roman" w:hAnsi="Times New Roman" w:cs="Times New Roman"/>
                <w:b/>
                <w:bCs/>
                <w:color w:val="FFFFFF" w:themeColor="background1"/>
              </w:rPr>
              <w:t>Fees for Internal Installation</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8B4B74"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2019</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8B4B74" w:rsidP="004E7F7B">
            <w:pPr>
              <w:spacing w:after="0" w:line="240" w:lineRule="auto"/>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2020</w:t>
            </w:r>
          </w:p>
        </w:tc>
      </w:tr>
      <w:tr w:rsidR="008B4B74"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8B4B74" w:rsidRPr="004E7F7B" w:rsidRDefault="008B4B74"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 xml:space="preserve">Type of </w:t>
            </w:r>
            <w:r w:rsidR="00C807DF" w:rsidRPr="004E7F7B">
              <w:rPr>
                <w:rFonts w:ascii="Times New Roman" w:hAnsi="Times New Roman" w:cs="Times New Roman"/>
                <w:bCs/>
                <w:color w:val="000000" w:themeColor="text1"/>
              </w:rPr>
              <w:t>M</w:t>
            </w:r>
            <w:r w:rsidRPr="004E7F7B">
              <w:rPr>
                <w:rFonts w:ascii="Times New Roman" w:hAnsi="Times New Roman" w:cs="Times New Roman"/>
                <w:bCs/>
                <w:color w:val="000000" w:themeColor="text1"/>
              </w:rPr>
              <w:t>eter</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8B4B74" w:rsidRPr="004E7F7B" w:rsidRDefault="008B4B74" w:rsidP="004E7F7B">
            <w:pPr>
              <w:spacing w:after="0" w:line="240" w:lineRule="auto"/>
              <w:rPr>
                <w:rFonts w:ascii="Times New Roman" w:hAnsi="Times New Roman" w:cs="Times New Roman"/>
              </w:rPr>
            </w:pP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8B4B74" w:rsidRPr="004E7F7B" w:rsidRDefault="008B4B74" w:rsidP="004E7F7B">
            <w:pPr>
              <w:spacing w:after="0" w:line="240" w:lineRule="auto"/>
              <w:rPr>
                <w:rFonts w:ascii="Times New Roman" w:hAnsi="Times New Roman" w:cs="Times New Roman"/>
              </w:rPr>
            </w:pP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G4, G6 (TL/piece)</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41</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45,3</w:t>
            </w: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G10, G16, G25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77</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85,1</w:t>
            </w: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G40, G65, G100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154</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170,3</w:t>
            </w: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G160, G250, G400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234</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258,7</w:t>
            </w: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Bigger than G400 (TL/No)</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315</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348,3</w:t>
            </w:r>
          </w:p>
        </w:tc>
      </w:tr>
      <w:tr w:rsidR="00FE7FEB" w:rsidRPr="004E7F7B" w:rsidTr="00D816E6">
        <w:trPr>
          <w:trHeight w:val="20"/>
          <w:jc w:val="center"/>
        </w:trPr>
        <w:tc>
          <w:tcPr>
            <w:tcW w:w="2944"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line="240" w:lineRule="auto"/>
              <w:rPr>
                <w:rFonts w:ascii="Times New Roman" w:hAnsi="Times New Roman" w:cs="Times New Roman"/>
                <w:bCs/>
                <w:color w:val="000000" w:themeColor="text1"/>
              </w:rPr>
            </w:pPr>
            <w:r w:rsidRPr="004E7F7B">
              <w:rPr>
                <w:rFonts w:ascii="Times New Roman" w:hAnsi="Times New Roman" w:cs="Times New Roman"/>
                <w:bCs/>
                <w:color w:val="000000" w:themeColor="text1"/>
              </w:rPr>
              <w:t>Colon Line (TL/Project)</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41</w:t>
            </w:r>
          </w:p>
        </w:tc>
        <w:tc>
          <w:tcPr>
            <w:tcW w:w="298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8B4B74" w:rsidP="004E7F7B">
            <w:pPr>
              <w:spacing w:after="0" w:line="240" w:lineRule="auto"/>
              <w:rPr>
                <w:rFonts w:ascii="Times New Roman" w:hAnsi="Times New Roman" w:cs="Times New Roman"/>
              </w:rPr>
            </w:pPr>
            <w:r w:rsidRPr="004E7F7B">
              <w:rPr>
                <w:rFonts w:ascii="Times New Roman" w:hAnsi="Times New Roman" w:cs="Times New Roman"/>
              </w:rPr>
              <w:t>45,3</w:t>
            </w:r>
          </w:p>
        </w:tc>
      </w:tr>
    </w:tbl>
    <w:p w:rsidR="0095465A" w:rsidRDefault="0095465A" w:rsidP="002A3D78">
      <w:pPr>
        <w:pStyle w:val="AralkYok"/>
      </w:pPr>
      <w:bookmarkStart w:id="218" w:name="_Toc505346081"/>
      <w:bookmarkStart w:id="219" w:name="_Toc514251662"/>
    </w:p>
    <w:p w:rsidR="00FE7FEB" w:rsidRPr="004E7F7B" w:rsidRDefault="00FE7FEB" w:rsidP="004E7F7B">
      <w:pPr>
        <w:pStyle w:val="Balk3"/>
        <w:rPr>
          <w:rFonts w:ascii="Times New Roman" w:hAnsi="Times New Roman" w:cs="Times New Roman"/>
          <w:sz w:val="22"/>
          <w:szCs w:val="22"/>
        </w:rPr>
      </w:pPr>
      <w:bookmarkStart w:id="220" w:name="_Toc48817865"/>
      <w:r w:rsidRPr="004E7F7B">
        <w:rPr>
          <w:rFonts w:ascii="Times New Roman" w:hAnsi="Times New Roman" w:cs="Times New Roman"/>
          <w:sz w:val="22"/>
          <w:szCs w:val="22"/>
        </w:rPr>
        <w:t>4.2.4.Wholesale Tariffs</w:t>
      </w:r>
      <w:bookmarkEnd w:id="218"/>
      <w:bookmarkEnd w:id="219"/>
      <w:bookmarkEnd w:id="220"/>
    </w:p>
    <w:p w:rsidR="00FE7FEB" w:rsidRPr="004E7F7B" w:rsidRDefault="00FE7FEB" w:rsidP="002A3D78">
      <w:r w:rsidRPr="004E7F7B">
        <w:t>With the Board Decision dated 22/12/2011 and numbered 3577, it was decided that the natural gas wholesale prices shall be determined freely among the parties starting from 01/01/2012 until a new regulation in this respect is done.</w:t>
      </w:r>
    </w:p>
    <w:p w:rsidR="00FE7FEB" w:rsidRPr="004E7F7B" w:rsidRDefault="00FE7FEB" w:rsidP="004E7F7B">
      <w:pPr>
        <w:pStyle w:val="Balk3"/>
        <w:rPr>
          <w:rFonts w:ascii="Times New Roman" w:hAnsi="Times New Roman" w:cs="Times New Roman"/>
          <w:sz w:val="22"/>
          <w:szCs w:val="22"/>
        </w:rPr>
      </w:pPr>
      <w:bookmarkStart w:id="221" w:name="_Toc505346082"/>
      <w:bookmarkStart w:id="222" w:name="_Toc514251663"/>
      <w:bookmarkStart w:id="223" w:name="_Toc48817866"/>
      <w:r w:rsidRPr="004E7F7B">
        <w:rPr>
          <w:rFonts w:ascii="Times New Roman" w:hAnsi="Times New Roman" w:cs="Times New Roman"/>
          <w:sz w:val="22"/>
          <w:szCs w:val="22"/>
        </w:rPr>
        <w:t>4.2.5.Retail Sale Tarif</w:t>
      </w:r>
      <w:bookmarkEnd w:id="221"/>
      <w:bookmarkEnd w:id="222"/>
      <w:r w:rsidRPr="004E7F7B">
        <w:rPr>
          <w:rFonts w:ascii="Times New Roman" w:hAnsi="Times New Roman" w:cs="Times New Roman"/>
          <w:sz w:val="22"/>
          <w:szCs w:val="22"/>
        </w:rPr>
        <w:t>fs</w:t>
      </w:r>
      <w:bookmarkEnd w:id="223"/>
    </w:p>
    <w:p w:rsidR="00367CE6" w:rsidRPr="004E7F7B" w:rsidRDefault="00367CE6" w:rsidP="002A3D78">
      <w:pPr>
        <w:rPr>
          <w:b/>
        </w:rPr>
      </w:pPr>
      <w:r w:rsidRPr="004E7F7B">
        <w:t xml:space="preserve">The following Board decisions, which concern the retail sales tariffs of the 2017-2021 tariff period, have been adopted according to the following documents: Tariff Calculation Rules and Procedures for Natural Gas Distribution Companies (which was adopted in accordance with the Board Decision number 7139. This Board Decision was adopted on 22.06.2017 and came into force after it was published on the Official Gazette of the date 01.07.2017, with the number 30111), Board Decision with the number 8647-2 and of the date 30.05.2019, Board Decision number 5120-1 (the later amended that of this Decision is 10.07.2014), Board Decision with the number 8305-1 and of the date 27.12.2018. </w:t>
      </w:r>
    </w:p>
    <w:p w:rsidR="00216EDE" w:rsidRPr="004E7F7B" w:rsidRDefault="00FE7FEB" w:rsidP="004E7F7B">
      <w:pPr>
        <w:pStyle w:val="Balk5"/>
        <w:jc w:val="both"/>
        <w:rPr>
          <w:rFonts w:ascii="Times New Roman" w:hAnsi="Times New Roman" w:cs="Times New Roman"/>
        </w:rPr>
      </w:pPr>
      <w:bookmarkStart w:id="224" w:name="_Toc48818050"/>
      <w:r w:rsidRPr="004E7F7B">
        <w:rPr>
          <w:rFonts w:ascii="Times New Roman" w:hAnsi="Times New Roman" w:cs="Times New Roman"/>
        </w:rPr>
        <w:t>Table 4.2</w:t>
      </w:r>
      <w:r w:rsidR="006D4A58" w:rsidRPr="004E7F7B">
        <w:rPr>
          <w:rFonts w:ascii="Times New Roman" w:hAnsi="Times New Roman" w:cs="Times New Roman"/>
        </w:rPr>
        <w:t>5</w:t>
      </w:r>
      <w:r w:rsidRPr="004E7F7B">
        <w:rPr>
          <w:rFonts w:ascii="Times New Roman" w:hAnsi="Times New Roman" w:cs="Times New Roman"/>
        </w:rPr>
        <w:t>: Natural Gas Distribution Companies With Board Decision Regarding Retail Tariffs In 201</w:t>
      </w:r>
      <w:r w:rsidR="003D72A3" w:rsidRPr="004E7F7B">
        <w:rPr>
          <w:rFonts w:ascii="Times New Roman" w:hAnsi="Times New Roman" w:cs="Times New Roman"/>
        </w:rPr>
        <w:t>9</w:t>
      </w:r>
      <w:bookmarkEnd w:id="224"/>
    </w:p>
    <w:tbl>
      <w:tblPr>
        <w:tblStyle w:val="TabloKlavuzu"/>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09"/>
        <w:gridCol w:w="2067"/>
        <w:gridCol w:w="1376"/>
        <w:gridCol w:w="3570"/>
      </w:tblGrid>
      <w:tr w:rsidR="00643CE4" w:rsidRPr="004E7F7B" w:rsidTr="00BF3DA9">
        <w:trPr>
          <w:trHeight w:val="20"/>
          <w:tblHeader/>
          <w:jc w:val="center"/>
        </w:trPr>
        <w:tc>
          <w:tcPr>
            <w:tcW w:w="1356" w:type="pct"/>
            <w:shd w:val="clear" w:color="auto" w:fill="6E9ECA"/>
            <w:vAlign w:val="center"/>
          </w:tcPr>
          <w:p w:rsidR="00643CE4" w:rsidRPr="004E7F7B" w:rsidRDefault="00643CE4" w:rsidP="004E7F7B">
            <w:pPr>
              <w:rPr>
                <w:rFonts w:ascii="Times New Roman" w:hAnsi="Times New Roman" w:cs="Times New Roman"/>
                <w:color w:val="FFFFFF" w:themeColor="background1"/>
              </w:rPr>
            </w:pPr>
            <w:r w:rsidRPr="004E7F7B">
              <w:rPr>
                <w:rFonts w:ascii="Times New Roman" w:hAnsi="Times New Roman" w:cs="Times New Roman"/>
                <w:b/>
                <w:bCs/>
                <w:color w:val="FFFFFF" w:themeColor="background1"/>
              </w:rPr>
              <w:t>Natural Gas Distribution Company</w:t>
            </w:r>
          </w:p>
        </w:tc>
        <w:tc>
          <w:tcPr>
            <w:tcW w:w="1074" w:type="pct"/>
            <w:shd w:val="clear" w:color="auto" w:fill="6E9ECA"/>
            <w:vAlign w:val="center"/>
          </w:tcPr>
          <w:p w:rsidR="00643CE4" w:rsidRPr="004E7F7B" w:rsidRDefault="00643CE4"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Date of Board Decision</w:t>
            </w:r>
          </w:p>
        </w:tc>
        <w:tc>
          <w:tcPr>
            <w:tcW w:w="715" w:type="pct"/>
            <w:shd w:val="clear" w:color="auto" w:fill="6E9ECA"/>
            <w:vAlign w:val="center"/>
          </w:tcPr>
          <w:p w:rsidR="00643CE4" w:rsidRPr="004E7F7B" w:rsidRDefault="00643CE4"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Board Decision</w:t>
            </w:r>
          </w:p>
        </w:tc>
        <w:tc>
          <w:tcPr>
            <w:tcW w:w="1855" w:type="pct"/>
            <w:shd w:val="clear" w:color="auto" w:fill="6E9ECA"/>
            <w:vAlign w:val="center"/>
          </w:tcPr>
          <w:p w:rsidR="00643CE4" w:rsidRPr="004E7F7B" w:rsidRDefault="00643CE4" w:rsidP="004E7F7B">
            <w:pPr>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Coverage</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Afyon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8603</w:t>
            </w:r>
          </w:p>
        </w:tc>
        <w:tc>
          <w:tcPr>
            <w:tcW w:w="1855" w:type="pct"/>
            <w:vAlign w:val="center"/>
          </w:tcPr>
          <w:p w:rsidR="003D72A3" w:rsidRPr="004E7F7B" w:rsidRDefault="00946ED9"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Balıkesir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8604</w:t>
            </w:r>
          </w:p>
        </w:tc>
        <w:tc>
          <w:tcPr>
            <w:tcW w:w="1855" w:type="pct"/>
            <w:vAlign w:val="center"/>
          </w:tcPr>
          <w:p w:rsidR="003D72A3" w:rsidRPr="004E7F7B" w:rsidRDefault="00946ED9"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913"/>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Bandırma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8605</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Calculation of Annual License and Participation Share</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Düzce Ereğli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8606</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Gemlik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8607</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Malatya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8608</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Mustafakemalpaşa Susurluk Karacabey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8609</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Tokat Amasya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8610</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Armadaş Arsan Maraş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8620</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6D53A3" w:rsidP="004E7F7B">
            <w:pPr>
              <w:rPr>
                <w:rFonts w:ascii="Times New Roman" w:hAnsi="Times New Roman" w:cs="Times New Roman"/>
              </w:rPr>
            </w:pPr>
            <w:r w:rsidRPr="004E7F7B">
              <w:rPr>
                <w:rFonts w:ascii="Times New Roman" w:hAnsi="Times New Roman" w:cs="Times New Roman"/>
              </w:rPr>
              <w:t>Bursa Natural Gas Distribution Trade and Commitment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8611</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Çordaş Çorlu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8612</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Enerya Ereğli</w:t>
            </w:r>
            <w:r w:rsidR="006D53A3" w:rsidRPr="004E7F7B">
              <w:rPr>
                <w:rFonts w:ascii="Times New Roman" w:hAnsi="Times New Roman" w:cs="Times New Roman"/>
              </w:rPr>
              <w:t xml:space="preserve">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8613</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Enerya Kapadokya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8614</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643CE4" w:rsidP="004E7F7B">
            <w:pPr>
              <w:rPr>
                <w:rFonts w:ascii="Times New Roman" w:hAnsi="Times New Roman" w:cs="Times New Roman"/>
              </w:rPr>
            </w:pPr>
            <w:r w:rsidRPr="004E7F7B">
              <w:rPr>
                <w:rFonts w:ascii="Times New Roman" w:hAnsi="Times New Roman" w:cs="Times New Roman"/>
                <w:color w:val="000000"/>
              </w:rPr>
              <w:t xml:space="preserve">İnegöl </w:t>
            </w:r>
            <w:r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8616</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İzgaz İzmit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8617</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Kızılcahamam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8618</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Palgaz </w:t>
            </w:r>
            <w:r w:rsidR="006D53A3" w:rsidRPr="004E7F7B">
              <w:rPr>
                <w:rFonts w:ascii="Times New Roman" w:hAnsi="Times New Roman" w:cs="Times New Roman"/>
                <w:color w:val="000000"/>
              </w:rPr>
              <w:t xml:space="preserve">Natural </w:t>
            </w:r>
            <w:r w:rsidR="006D53A3"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23.05.2019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8619</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Diyarbakır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8640</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6D53A3" w:rsidP="004E7F7B">
            <w:pPr>
              <w:rPr>
                <w:rFonts w:ascii="Times New Roman" w:hAnsi="Times New Roman" w:cs="Times New Roman"/>
              </w:rPr>
            </w:pPr>
            <w:r w:rsidRPr="004E7F7B">
              <w:rPr>
                <w:rFonts w:ascii="Times New Roman" w:hAnsi="Times New Roman" w:cs="Times New Roman"/>
                <w:color w:val="000000"/>
              </w:rPr>
              <w:t>Enerya Karaman</w:t>
            </w:r>
            <w:r w:rsidRPr="004E7F7B">
              <w:rPr>
                <w:rFonts w:ascii="Times New Roman" w:hAnsi="Times New Roman" w:cs="Times New Roman"/>
              </w:rPr>
              <w:t xml:space="preserve">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8604</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6D53A3" w:rsidP="004E7F7B">
            <w:pPr>
              <w:rPr>
                <w:rFonts w:ascii="Times New Roman" w:hAnsi="Times New Roman" w:cs="Times New Roman"/>
              </w:rPr>
            </w:pPr>
            <w:r w:rsidRPr="004E7F7B">
              <w:rPr>
                <w:rFonts w:ascii="Times New Roman" w:hAnsi="Times New Roman" w:cs="Times New Roman"/>
                <w:color w:val="000000"/>
              </w:rPr>
              <w:t xml:space="preserve">Enerya Karaman </w:t>
            </w:r>
            <w:r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8646</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İzmir </w:t>
            </w:r>
            <w:r w:rsidR="00643CE4" w:rsidRPr="004E7F7B">
              <w:rPr>
                <w:rFonts w:ascii="Times New Roman" w:hAnsi="Times New Roman" w:cs="Times New Roman"/>
              </w:rPr>
              <w:t>Natural Gas Distribution Trade and Commitment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8639</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Calculation of Annual License and Participation Share</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Kayserigaz Kayseri</w:t>
            </w:r>
            <w:r w:rsidR="00643CE4" w:rsidRPr="004E7F7B">
              <w:rPr>
                <w:rFonts w:ascii="Times New Roman" w:hAnsi="Times New Roman" w:cs="Times New Roman"/>
                <w:color w:val="000000"/>
              </w:rPr>
              <w:t xml:space="preserve"> Natural</w:t>
            </w:r>
            <w:r w:rsidRPr="004E7F7B">
              <w:rPr>
                <w:rFonts w:ascii="Times New Roman" w:hAnsi="Times New Roman" w:cs="Times New Roman"/>
                <w:color w:val="000000"/>
              </w:rPr>
              <w:t xml:space="preserve"> </w:t>
            </w:r>
            <w:r w:rsidR="00643CE4" w:rsidRPr="004E7F7B">
              <w:rPr>
                <w:rFonts w:ascii="Times New Roman" w:hAnsi="Times New Roman" w:cs="Times New Roman"/>
                <w:color w:val="000000"/>
              </w:rPr>
              <w:t>Gas Distribution Marketing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8635</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Palen </w:t>
            </w:r>
            <w:r w:rsidR="00643CE4" w:rsidRPr="004E7F7B">
              <w:rPr>
                <w:rFonts w:ascii="Times New Roman" w:hAnsi="Times New Roman" w:cs="Times New Roman"/>
                <w:color w:val="000000"/>
              </w:rPr>
              <w:t xml:space="preserve">Energy </w:t>
            </w:r>
            <w:r w:rsidR="00643CE4" w:rsidRPr="004E7F7B">
              <w:rPr>
                <w:rFonts w:ascii="Times New Roman" w:hAnsi="Times New Roman" w:cs="Times New Roman"/>
              </w:rPr>
              <w:t>Natural 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8637</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Aksa Siirt Batm</w:t>
            </w:r>
            <w:r w:rsidR="006D53A3" w:rsidRPr="004E7F7B">
              <w:rPr>
                <w:rFonts w:ascii="Times New Roman" w:hAnsi="Times New Roman" w:cs="Times New Roman"/>
                <w:color w:val="000000"/>
              </w:rPr>
              <w:t xml:space="preserve">an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20.06.2019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8665</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Çanakkale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27.06.2019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8680</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Revision of Unit Price Due to Update of Real Reasonable Rate of Return and Expansion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Manisa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27.06.2019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8601</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Calculation of Annual License and Participation Share with Expansion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Van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27.06.2019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8682</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Samgaz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27.06.2019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8683</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Gümüşhane Bayburt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8714</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Karadeniz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8715</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Gazdaş Gaziantep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8717</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Kargaz </w:t>
            </w:r>
            <w:r w:rsidR="006D53A3" w:rsidRPr="004E7F7B">
              <w:rPr>
                <w:rFonts w:ascii="Times New Roman" w:hAnsi="Times New Roman" w:cs="Times New Roman"/>
                <w:color w:val="000000"/>
              </w:rPr>
              <w:t xml:space="preserve">Natural </w:t>
            </w:r>
            <w:r w:rsidR="006D53A3"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8718</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Akmercan Adıyaman </w:t>
            </w:r>
            <w:r w:rsidR="006D53A3" w:rsidRPr="004E7F7B">
              <w:rPr>
                <w:rFonts w:ascii="Times New Roman" w:hAnsi="Times New Roman" w:cs="Times New Roman"/>
                <w:color w:val="000000"/>
              </w:rPr>
              <w:t xml:space="preserve">Natural </w:t>
            </w:r>
            <w:r w:rsidR="006D53A3"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8731</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Armagaz Arsan Marmara </w:t>
            </w:r>
            <w:r w:rsidR="00643CE4"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8734</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Enerya Erzincan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8737</w:t>
            </w:r>
          </w:p>
        </w:tc>
        <w:tc>
          <w:tcPr>
            <w:tcW w:w="1855" w:type="pct"/>
            <w:vAlign w:val="center"/>
          </w:tcPr>
          <w:p w:rsidR="003D72A3" w:rsidRPr="004E7F7B" w:rsidRDefault="00A876A1"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Esgaz Eskişehir </w:t>
            </w:r>
            <w:r w:rsidR="00643CE4" w:rsidRPr="004E7F7B">
              <w:rPr>
                <w:rFonts w:ascii="Times New Roman" w:hAnsi="Times New Roman" w:cs="Times New Roman"/>
              </w:rPr>
              <w:t>Natural Gas Distribution Trade and Commitment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8732</w:t>
            </w:r>
          </w:p>
        </w:tc>
        <w:tc>
          <w:tcPr>
            <w:tcW w:w="1855" w:type="pct"/>
            <w:vAlign w:val="center"/>
          </w:tcPr>
          <w:p w:rsidR="003D72A3" w:rsidRPr="004E7F7B" w:rsidRDefault="00397847"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Polgaz Polatlı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8738</w:t>
            </w:r>
          </w:p>
        </w:tc>
        <w:tc>
          <w:tcPr>
            <w:tcW w:w="1855" w:type="pct"/>
            <w:vAlign w:val="center"/>
          </w:tcPr>
          <w:p w:rsidR="003D72A3" w:rsidRPr="004E7F7B" w:rsidRDefault="00397847"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Çukurova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8752</w:t>
            </w:r>
          </w:p>
        </w:tc>
        <w:tc>
          <w:tcPr>
            <w:tcW w:w="1855" w:type="pct"/>
            <w:vAlign w:val="center"/>
          </w:tcPr>
          <w:p w:rsidR="003D72A3" w:rsidRPr="004E7F7B" w:rsidRDefault="00397847"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Elazığ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8744</w:t>
            </w:r>
          </w:p>
        </w:tc>
        <w:tc>
          <w:tcPr>
            <w:tcW w:w="1855" w:type="pct"/>
            <w:vAlign w:val="center"/>
          </w:tcPr>
          <w:p w:rsidR="003D72A3" w:rsidRPr="004E7F7B" w:rsidRDefault="00397847"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Sivas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8745</w:t>
            </w:r>
          </w:p>
        </w:tc>
        <w:tc>
          <w:tcPr>
            <w:tcW w:w="1855" w:type="pct"/>
            <w:vAlign w:val="center"/>
          </w:tcPr>
          <w:p w:rsidR="003D72A3" w:rsidRPr="004E7F7B" w:rsidRDefault="00397847"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Çorum </w:t>
            </w:r>
            <w:r w:rsidR="00643CE4" w:rsidRPr="004E7F7B">
              <w:rPr>
                <w:rFonts w:ascii="Times New Roman" w:hAnsi="Times New Roman" w:cs="Times New Roman"/>
                <w:color w:val="000000"/>
              </w:rPr>
              <w:t xml:space="preserve">Natural </w:t>
            </w:r>
            <w:r w:rsidR="00643CE4"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8753</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r w:rsidRPr="004E7F7B">
              <w:rPr>
                <w:rFonts w:ascii="Times New Roman" w:hAnsi="Times New Roman" w:cs="Times New Roman"/>
                <w:color w:val="FF0000"/>
              </w:rPr>
              <w:t xml:space="preserve"> </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Enerya Aksaray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8754</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Enerya Aydın</w:t>
            </w:r>
            <w:r w:rsidR="006D53A3" w:rsidRPr="004E7F7B">
              <w:rPr>
                <w:rFonts w:ascii="Times New Roman" w:hAnsi="Times New Roman" w:cs="Times New Roman"/>
              </w:rPr>
              <w:t xml:space="preserve">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8755</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Kargaz Kars Ardahan </w:t>
            </w:r>
            <w:r w:rsidR="00643CE4" w:rsidRPr="004E7F7B">
              <w:rPr>
                <w:rFonts w:ascii="Times New Roman" w:hAnsi="Times New Roman" w:cs="Times New Roman"/>
              </w:rPr>
              <w:t>Natural Gas Distribution Trade and Commitment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8746</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Sürmeli </w:t>
            </w:r>
            <w:r w:rsidR="00643CE4" w:rsidRPr="004E7F7B">
              <w:rPr>
                <w:rFonts w:ascii="Times New Roman" w:hAnsi="Times New Roman" w:cs="Times New Roman"/>
                <w:color w:val="000000"/>
              </w:rPr>
              <w:t xml:space="preserve">Natural </w:t>
            </w:r>
            <w:r w:rsidR="00643CE4"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8756</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Udaş Uşak </w:t>
            </w:r>
            <w:r w:rsidR="00643CE4" w:rsidRPr="004E7F7B">
              <w:rPr>
                <w:rFonts w:ascii="Times New Roman" w:hAnsi="Times New Roman" w:cs="Times New Roman"/>
                <w:color w:val="000000"/>
              </w:rPr>
              <w:t xml:space="preserve">Natural </w:t>
            </w:r>
            <w:r w:rsidR="00643CE4"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8747</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Agdaş Adapazarı</w:t>
            </w:r>
            <w:r w:rsidR="006D53A3" w:rsidRPr="004E7F7B">
              <w:rPr>
                <w:rFonts w:ascii="Times New Roman" w:hAnsi="Times New Roman" w:cs="Times New Roman"/>
              </w:rPr>
              <w:t xml:space="preserve">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01.08.2019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8769</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Enerya Konya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01.08.2019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8768</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Updating the Real Reasonable Rate of Return, Revision of Consumption Estimation and Calculation of LNG Price Difference</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Torosgaz Isparta Burdur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08.08.2019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8782</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Revision of Consumption Estimate and Calculation of CNG Price Difference</w:t>
            </w:r>
            <w:r w:rsidRPr="004E7F7B">
              <w:rPr>
                <w:rFonts w:ascii="Times New Roman" w:hAnsi="Times New Roman" w:cs="Times New Roman"/>
                <w:color w:val="FF0000"/>
              </w:rPr>
              <w:t xml:space="preserve"> </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Şanlıurfa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8735</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r w:rsidRPr="004E7F7B">
              <w:rPr>
                <w:rFonts w:ascii="Times New Roman" w:hAnsi="Times New Roman" w:cs="Times New Roman"/>
                <w:color w:val="FF0000"/>
              </w:rPr>
              <w:t xml:space="preserve"> </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Ordu Giresun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22.08.2019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8800</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r w:rsidRPr="004E7F7B">
              <w:rPr>
                <w:rFonts w:ascii="Times New Roman" w:hAnsi="Times New Roman" w:cs="Times New Roman"/>
                <w:color w:val="FF0000"/>
              </w:rPr>
              <w:t xml:space="preserve"> </w:t>
            </w:r>
          </w:p>
        </w:tc>
      </w:tr>
      <w:tr w:rsidR="003D72A3" w:rsidRPr="004E7F7B" w:rsidTr="00BF3DA9">
        <w:trPr>
          <w:trHeight w:val="20"/>
          <w:jc w:val="center"/>
        </w:trPr>
        <w:tc>
          <w:tcPr>
            <w:tcW w:w="1356" w:type="pct"/>
            <w:vAlign w:val="center"/>
          </w:tcPr>
          <w:p w:rsidR="003D72A3" w:rsidRPr="004E7F7B" w:rsidRDefault="006D53A3" w:rsidP="004E7F7B">
            <w:pPr>
              <w:rPr>
                <w:rFonts w:ascii="Times New Roman" w:hAnsi="Times New Roman" w:cs="Times New Roman"/>
              </w:rPr>
            </w:pPr>
            <w:r w:rsidRPr="004E7F7B">
              <w:rPr>
                <w:rFonts w:ascii="Times New Roman" w:hAnsi="Times New Roman" w:cs="Times New Roman"/>
                <w:color w:val="000000"/>
              </w:rPr>
              <w:t xml:space="preserve">Enerya Denizli </w:t>
            </w:r>
            <w:r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29.08.2019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8804</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Trakya Bölgesi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29.08.2019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8805</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for Updating the Real Reasonable Rate of Return</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Kırgaz Kırıkkale Kırşehir </w:t>
            </w:r>
            <w:r w:rsidR="00643CE4" w:rsidRPr="004E7F7B">
              <w:rPr>
                <w:rFonts w:ascii="Times New Roman" w:hAnsi="Times New Roman" w:cs="Times New Roman"/>
                <w:color w:val="000000"/>
              </w:rPr>
              <w:t>Natural Gas Distribution Marketing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11.09.2019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8719</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Selçuk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11.09.2019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8720</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r w:rsidRPr="004E7F7B">
              <w:rPr>
                <w:rFonts w:ascii="Times New Roman" w:hAnsi="Times New Roman" w:cs="Times New Roman"/>
                <w:color w:val="FF0000"/>
              </w:rPr>
              <w:t xml:space="preserve"> </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Aksa Bilecik Bolu </w:t>
            </w:r>
            <w:r w:rsidR="006D53A3" w:rsidRPr="004E7F7B">
              <w:rPr>
                <w:rFonts w:ascii="Times New Roman" w:hAnsi="Times New Roman" w:cs="Times New Roman"/>
              </w:rPr>
              <w:t>Natural 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25.07.5019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8751</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Revision of Consumption Forecast</w:t>
            </w:r>
          </w:p>
        </w:tc>
      </w:tr>
      <w:tr w:rsidR="003D72A3" w:rsidRPr="004E7F7B" w:rsidTr="00BF3DA9">
        <w:trPr>
          <w:trHeight w:val="20"/>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Çinigaz </w:t>
            </w:r>
            <w:r w:rsidR="00643CE4" w:rsidRPr="004E7F7B">
              <w:rPr>
                <w:rFonts w:ascii="Times New Roman" w:hAnsi="Times New Roman" w:cs="Times New Roman"/>
                <w:color w:val="000000"/>
              </w:rPr>
              <w:t xml:space="preserve">Natural </w:t>
            </w:r>
            <w:r w:rsidR="00643CE4" w:rsidRPr="004E7F7B">
              <w:rPr>
                <w:rFonts w:ascii="Times New Roman" w:hAnsi="Times New Roman" w:cs="Times New Roman"/>
              </w:rPr>
              <w:t>Gas Distribution Industry and Trade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18.07.2019</w:t>
            </w:r>
            <w:r w:rsidRPr="004E7F7B">
              <w:rPr>
                <w:rFonts w:ascii="Times New Roman" w:hAnsi="Times New Roman" w:cs="Times New Roman"/>
                <w:color w:val="000000"/>
              </w:rPr>
              <w:br/>
              <w:t>28.11.2019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8736</w:t>
            </w:r>
            <w:r w:rsidRPr="004E7F7B">
              <w:rPr>
                <w:rFonts w:ascii="Times New Roman" w:hAnsi="Times New Roman" w:cs="Times New Roman"/>
                <w:color w:val="000000"/>
              </w:rPr>
              <w:br/>
              <w:t>8957</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Revision of Unit Price Due to Update of Real Reasonable Rate of Return and Expansion</w:t>
            </w:r>
          </w:p>
        </w:tc>
      </w:tr>
      <w:tr w:rsidR="003D72A3" w:rsidRPr="004E7F7B" w:rsidTr="00BF3DA9">
        <w:trPr>
          <w:trHeight w:val="657"/>
          <w:jc w:val="center"/>
        </w:trPr>
        <w:tc>
          <w:tcPr>
            <w:tcW w:w="1356"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 xml:space="preserve">Enerya Antalya </w:t>
            </w:r>
            <w:r w:rsidR="006D53A3" w:rsidRPr="004E7F7B">
              <w:rPr>
                <w:rFonts w:ascii="Times New Roman" w:hAnsi="Times New Roman" w:cs="Times New Roman"/>
              </w:rPr>
              <w:t>Gas Distribution CO.INC.</w:t>
            </w:r>
          </w:p>
        </w:tc>
        <w:tc>
          <w:tcPr>
            <w:tcW w:w="1074"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30.05.2019</w:t>
            </w:r>
            <w:r w:rsidRPr="004E7F7B">
              <w:rPr>
                <w:rFonts w:ascii="Times New Roman" w:hAnsi="Times New Roman" w:cs="Times New Roman"/>
                <w:color w:val="000000"/>
              </w:rPr>
              <w:br/>
              <w:t>05.09.2019</w:t>
            </w:r>
          </w:p>
        </w:tc>
        <w:tc>
          <w:tcPr>
            <w:tcW w:w="715" w:type="pct"/>
            <w:vAlign w:val="center"/>
          </w:tcPr>
          <w:p w:rsidR="003D72A3" w:rsidRPr="004E7F7B" w:rsidRDefault="003D72A3" w:rsidP="004E7F7B">
            <w:pPr>
              <w:rPr>
                <w:rFonts w:ascii="Times New Roman" w:hAnsi="Times New Roman" w:cs="Times New Roman"/>
              </w:rPr>
            </w:pPr>
            <w:r w:rsidRPr="004E7F7B">
              <w:rPr>
                <w:rFonts w:ascii="Times New Roman" w:hAnsi="Times New Roman" w:cs="Times New Roman"/>
                <w:color w:val="000000"/>
              </w:rPr>
              <w:t>8638</w:t>
            </w:r>
            <w:r w:rsidRPr="004E7F7B">
              <w:rPr>
                <w:rFonts w:ascii="Times New Roman" w:hAnsi="Times New Roman" w:cs="Times New Roman"/>
                <w:color w:val="000000"/>
              </w:rPr>
              <w:br/>
              <w:t>8825</w:t>
            </w:r>
          </w:p>
        </w:tc>
        <w:tc>
          <w:tcPr>
            <w:tcW w:w="1855" w:type="pct"/>
            <w:vAlign w:val="center"/>
          </w:tcPr>
          <w:p w:rsidR="003D72A3" w:rsidRPr="004E7F7B" w:rsidRDefault="000F220C" w:rsidP="004E7F7B">
            <w:pPr>
              <w:rPr>
                <w:rFonts w:ascii="Times New Roman" w:hAnsi="Times New Roman" w:cs="Times New Roman"/>
                <w:color w:val="FF0000"/>
              </w:rPr>
            </w:pPr>
            <w:r w:rsidRPr="004E7F7B">
              <w:rPr>
                <w:rFonts w:ascii="Times New Roman" w:hAnsi="Times New Roman" w:cs="Times New Roman"/>
                <w:color w:val="222222"/>
                <w:lang w:val="en"/>
              </w:rPr>
              <w:t>Unit Price Revision due to Update of Real Reasonable Rate of Return and Calculation of Income Spread</w:t>
            </w:r>
            <w:r w:rsidRPr="004E7F7B">
              <w:rPr>
                <w:rFonts w:ascii="Times New Roman" w:hAnsi="Times New Roman" w:cs="Times New Roman"/>
                <w:color w:val="FF0000"/>
              </w:rPr>
              <w:t xml:space="preserve"> </w:t>
            </w:r>
          </w:p>
        </w:tc>
      </w:tr>
    </w:tbl>
    <w:p w:rsidR="007908DA" w:rsidRPr="0095465A" w:rsidRDefault="000F220C" w:rsidP="007B4A7D">
      <w:pPr>
        <w:pStyle w:val="Balk3"/>
        <w:numPr>
          <w:ilvl w:val="2"/>
          <w:numId w:val="14"/>
        </w:numPr>
        <w:spacing w:before="200"/>
        <w:rPr>
          <w:rFonts w:ascii="Times New Roman" w:hAnsi="Times New Roman" w:cs="Times New Roman"/>
          <w:sz w:val="22"/>
          <w:szCs w:val="22"/>
        </w:rPr>
      </w:pPr>
      <w:bookmarkStart w:id="225" w:name="_Toc48817867"/>
      <w:bookmarkStart w:id="226" w:name="_Toc39153466"/>
      <w:r w:rsidRPr="0095465A">
        <w:rPr>
          <w:rFonts w:ascii="Times New Roman" w:hAnsi="Times New Roman" w:cs="Times New Roman"/>
          <w:sz w:val="22"/>
          <w:szCs w:val="22"/>
        </w:rPr>
        <w:t>Other Board Decisions Concerning the Natural Gas Market Tariffs</w:t>
      </w:r>
      <w:bookmarkEnd w:id="225"/>
      <w:r w:rsidRPr="0095465A">
        <w:rPr>
          <w:rFonts w:ascii="Times New Roman" w:hAnsi="Times New Roman" w:cs="Times New Roman"/>
          <w:sz w:val="22"/>
          <w:szCs w:val="22"/>
        </w:rPr>
        <w:t xml:space="preserve"> </w:t>
      </w:r>
      <w:bookmarkEnd w:id="226"/>
    </w:p>
    <w:p w:rsidR="000F220C" w:rsidRPr="002A3D78" w:rsidRDefault="000F220C" w:rsidP="007B4A7D">
      <w:pPr>
        <w:pStyle w:val="ListeParagraf"/>
        <w:numPr>
          <w:ilvl w:val="0"/>
          <w:numId w:val="36"/>
        </w:numPr>
      </w:pPr>
      <w:r w:rsidRPr="002A3D78">
        <w:rPr>
          <w:lang w:val="en"/>
        </w:rPr>
        <w:t>With the Board Decision dated 26.12.2019 and numbered 9098 published in the Official Gazette dated 29.12.2019 and numbered 30993, it is aimed to determine the fees stated in the "Fees and Commissions to be Applied to Meet the Organized Wholesale Natural Gas Sales Market Operating Income Cap and the Method Statement for the Application". decision has been taken. The decision is in effect as of 01.01.2020. The unit fees, including VAT, that will be valid in the Organized Wholesale Natural Gas Sales Market in 2020 in the decision are as follows.</w:t>
      </w:r>
    </w:p>
    <w:p w:rsidR="007908DA" w:rsidRPr="002A3D78" w:rsidRDefault="000F220C" w:rsidP="004E7F7B">
      <w:pPr>
        <w:pStyle w:val="ListeParagraf"/>
        <w:tabs>
          <w:tab w:val="left" w:pos="284"/>
          <w:tab w:val="left" w:pos="709"/>
          <w:tab w:val="left" w:pos="851"/>
        </w:tabs>
        <w:spacing w:after="0" w:line="269" w:lineRule="auto"/>
        <w:rPr>
          <w:rFonts w:ascii="Times New Roman" w:hAnsi="Times New Roman" w:cs="Times New Roman"/>
        </w:rPr>
      </w:pPr>
      <w:r w:rsidRPr="002A3D78">
        <w:rPr>
          <w:rFonts w:ascii="Times New Roman" w:hAnsi="Times New Roman" w:cs="Times New Roman"/>
        </w:rPr>
        <w:t xml:space="preserve"> </w:t>
      </w:r>
    </w:p>
    <w:tbl>
      <w:tblPr>
        <w:tblStyle w:val="TabloKlavuzu"/>
        <w:tblW w:w="0" w:type="auto"/>
        <w:jc w:val="center"/>
        <w:tblLook w:val="04A0" w:firstRow="1" w:lastRow="0" w:firstColumn="1" w:lastColumn="0" w:noHBand="0" w:noVBand="1"/>
      </w:tblPr>
      <w:tblGrid>
        <w:gridCol w:w="4111"/>
        <w:gridCol w:w="1559"/>
      </w:tblGrid>
      <w:tr w:rsidR="007908DA" w:rsidRPr="004E7F7B" w:rsidTr="00107296">
        <w:trPr>
          <w:jc w:val="center"/>
        </w:trPr>
        <w:tc>
          <w:tcPr>
            <w:tcW w:w="4111" w:type="dxa"/>
          </w:tcPr>
          <w:p w:rsidR="007908DA" w:rsidRPr="004E7F7B" w:rsidRDefault="000F220C" w:rsidP="004E7F7B">
            <w:pPr>
              <w:pStyle w:val="ListeParagraf"/>
              <w:tabs>
                <w:tab w:val="left" w:pos="284"/>
                <w:tab w:val="left" w:pos="709"/>
                <w:tab w:val="left" w:pos="851"/>
              </w:tabs>
              <w:spacing w:line="269" w:lineRule="auto"/>
              <w:ind w:left="0"/>
              <w:rPr>
                <w:rFonts w:ascii="Times New Roman" w:hAnsi="Times New Roman" w:cs="Times New Roman"/>
                <w:b/>
              </w:rPr>
            </w:pPr>
            <w:r w:rsidRPr="004E7F7B">
              <w:rPr>
                <w:rFonts w:ascii="Times New Roman" w:hAnsi="Times New Roman" w:cs="Times New Roman"/>
                <w:b/>
              </w:rPr>
              <w:t>Name of fee</w:t>
            </w:r>
          </w:p>
        </w:tc>
        <w:tc>
          <w:tcPr>
            <w:tcW w:w="1559" w:type="dxa"/>
          </w:tcPr>
          <w:p w:rsidR="007908DA" w:rsidRPr="004E7F7B" w:rsidRDefault="001B2DF6" w:rsidP="004E7F7B">
            <w:pPr>
              <w:pStyle w:val="ListeParagraf"/>
              <w:tabs>
                <w:tab w:val="left" w:pos="284"/>
                <w:tab w:val="left" w:pos="709"/>
                <w:tab w:val="left" w:pos="851"/>
              </w:tabs>
              <w:spacing w:line="269" w:lineRule="auto"/>
              <w:ind w:left="0"/>
              <w:rPr>
                <w:rFonts w:ascii="Times New Roman" w:hAnsi="Times New Roman" w:cs="Times New Roman"/>
                <w:b/>
              </w:rPr>
            </w:pPr>
            <w:r w:rsidRPr="004E7F7B">
              <w:rPr>
                <w:rFonts w:ascii="Times New Roman" w:hAnsi="Times New Roman" w:cs="Times New Roman"/>
                <w:b/>
              </w:rPr>
              <w:t>Unit Price</w:t>
            </w:r>
          </w:p>
        </w:tc>
      </w:tr>
      <w:tr w:rsidR="007908DA" w:rsidRPr="004E7F7B" w:rsidTr="00107296">
        <w:trPr>
          <w:jc w:val="center"/>
        </w:trPr>
        <w:tc>
          <w:tcPr>
            <w:tcW w:w="4111" w:type="dxa"/>
          </w:tcPr>
          <w:p w:rsidR="007908DA" w:rsidRPr="004E7F7B" w:rsidRDefault="001B2DF6"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rPr>
              <w:t>Unit Op</w:t>
            </w:r>
            <w:r w:rsidR="000F220C" w:rsidRPr="004E7F7B">
              <w:rPr>
                <w:rFonts w:ascii="Times New Roman" w:hAnsi="Times New Roman" w:cs="Times New Roman"/>
              </w:rPr>
              <w:t>eration Fee</w:t>
            </w:r>
          </w:p>
        </w:tc>
        <w:tc>
          <w:tcPr>
            <w:tcW w:w="1559" w:type="dxa"/>
          </w:tcPr>
          <w:p w:rsidR="007908DA" w:rsidRPr="004E7F7B" w:rsidRDefault="007908DA"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rPr>
              <w:t>0,0012TL/Sm</w:t>
            </w:r>
            <w:r w:rsidRPr="004E7F7B">
              <w:rPr>
                <w:rFonts w:ascii="Times New Roman" w:hAnsi="Times New Roman" w:cs="Times New Roman"/>
                <w:vertAlign w:val="superscript"/>
              </w:rPr>
              <w:t>3</w:t>
            </w:r>
          </w:p>
        </w:tc>
      </w:tr>
      <w:tr w:rsidR="007908DA" w:rsidRPr="004E7F7B" w:rsidTr="00107296">
        <w:trPr>
          <w:jc w:val="center"/>
        </w:trPr>
        <w:tc>
          <w:tcPr>
            <w:tcW w:w="4111" w:type="dxa"/>
          </w:tcPr>
          <w:p w:rsidR="007908DA" w:rsidRPr="004E7F7B" w:rsidRDefault="001B2DF6"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lang w:val="en"/>
              </w:rPr>
              <w:t>Unit Imbalance Settlement Operating Fee</w:t>
            </w:r>
          </w:p>
        </w:tc>
        <w:tc>
          <w:tcPr>
            <w:tcW w:w="1559" w:type="dxa"/>
          </w:tcPr>
          <w:p w:rsidR="007908DA" w:rsidRPr="004E7F7B" w:rsidRDefault="007908DA"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rPr>
              <w:t>0,0035 TL/Sm</w:t>
            </w:r>
            <w:r w:rsidRPr="004E7F7B">
              <w:rPr>
                <w:rFonts w:ascii="Times New Roman" w:hAnsi="Times New Roman" w:cs="Times New Roman"/>
                <w:vertAlign w:val="superscript"/>
              </w:rPr>
              <w:t>3</w:t>
            </w:r>
          </w:p>
        </w:tc>
      </w:tr>
      <w:tr w:rsidR="007908DA" w:rsidRPr="004E7F7B" w:rsidTr="00107296">
        <w:trPr>
          <w:jc w:val="center"/>
        </w:trPr>
        <w:tc>
          <w:tcPr>
            <w:tcW w:w="4111" w:type="dxa"/>
          </w:tcPr>
          <w:p w:rsidR="007908DA" w:rsidRPr="004E7F7B" w:rsidRDefault="000F220C"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lang w:val="en"/>
              </w:rPr>
              <w:t>Annual Participation Fee</w:t>
            </w:r>
          </w:p>
        </w:tc>
        <w:tc>
          <w:tcPr>
            <w:tcW w:w="1559" w:type="dxa"/>
          </w:tcPr>
          <w:p w:rsidR="007908DA" w:rsidRPr="004E7F7B" w:rsidRDefault="007908DA"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rPr>
              <w:t>17.380 TL</w:t>
            </w:r>
          </w:p>
        </w:tc>
      </w:tr>
      <w:tr w:rsidR="007908DA" w:rsidRPr="004E7F7B" w:rsidTr="00107296">
        <w:trPr>
          <w:jc w:val="center"/>
        </w:trPr>
        <w:tc>
          <w:tcPr>
            <w:tcW w:w="4111" w:type="dxa"/>
          </w:tcPr>
          <w:p w:rsidR="007908DA" w:rsidRPr="004E7F7B" w:rsidRDefault="000F220C"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lang w:val="en"/>
              </w:rPr>
              <w:t>Unaccepted Appeal Fee</w:t>
            </w:r>
          </w:p>
        </w:tc>
        <w:tc>
          <w:tcPr>
            <w:tcW w:w="1559" w:type="dxa"/>
          </w:tcPr>
          <w:p w:rsidR="007908DA" w:rsidRPr="004E7F7B" w:rsidRDefault="000F220C" w:rsidP="004E7F7B">
            <w:pPr>
              <w:pStyle w:val="ListeParagraf"/>
              <w:tabs>
                <w:tab w:val="left" w:pos="284"/>
                <w:tab w:val="left" w:pos="709"/>
                <w:tab w:val="left" w:pos="851"/>
              </w:tabs>
              <w:spacing w:line="269" w:lineRule="auto"/>
              <w:ind w:left="0"/>
              <w:rPr>
                <w:rFonts w:ascii="Times New Roman" w:hAnsi="Times New Roman" w:cs="Times New Roman"/>
              </w:rPr>
            </w:pPr>
            <w:r w:rsidRPr="004E7F7B">
              <w:rPr>
                <w:rFonts w:ascii="Times New Roman" w:hAnsi="Times New Roman" w:cs="Times New Roman"/>
              </w:rPr>
              <w:t>200 TL/piece</w:t>
            </w:r>
          </w:p>
        </w:tc>
      </w:tr>
    </w:tbl>
    <w:p w:rsidR="007908DA" w:rsidRPr="004E7F7B" w:rsidRDefault="007908DA" w:rsidP="004E7F7B">
      <w:pPr>
        <w:rPr>
          <w:rFonts w:ascii="Times New Roman" w:hAnsi="Times New Roman" w:cs="Times New Roman"/>
        </w:rPr>
      </w:pPr>
    </w:p>
    <w:p w:rsidR="00FE7FEB" w:rsidRPr="004E7F7B" w:rsidRDefault="007908DA" w:rsidP="004E7F7B">
      <w:pPr>
        <w:pStyle w:val="Balk3"/>
        <w:rPr>
          <w:rFonts w:ascii="Times New Roman" w:hAnsi="Times New Roman" w:cs="Times New Roman"/>
          <w:sz w:val="22"/>
          <w:szCs w:val="22"/>
        </w:rPr>
      </w:pPr>
      <w:bookmarkStart w:id="227" w:name="_Toc442431284"/>
      <w:bookmarkStart w:id="228" w:name="_Toc505346083"/>
      <w:bookmarkStart w:id="229" w:name="_Toc514251664"/>
      <w:bookmarkStart w:id="230" w:name="_Toc48817868"/>
      <w:r w:rsidRPr="004E7F7B">
        <w:rPr>
          <w:rFonts w:ascii="Times New Roman" w:hAnsi="Times New Roman" w:cs="Times New Roman"/>
          <w:sz w:val="22"/>
          <w:szCs w:val="22"/>
        </w:rPr>
        <w:t>4.2.7</w:t>
      </w:r>
      <w:r w:rsidR="00FE7FEB" w:rsidRPr="004E7F7B">
        <w:rPr>
          <w:rFonts w:ascii="Times New Roman" w:hAnsi="Times New Roman" w:cs="Times New Roman"/>
          <w:sz w:val="22"/>
          <w:szCs w:val="22"/>
        </w:rPr>
        <w:t xml:space="preserve">.License </w:t>
      </w:r>
      <w:bookmarkEnd w:id="227"/>
      <w:bookmarkEnd w:id="228"/>
      <w:bookmarkEnd w:id="229"/>
      <w:r w:rsidR="00FE7FEB" w:rsidRPr="004E7F7B">
        <w:rPr>
          <w:rFonts w:ascii="Times New Roman" w:hAnsi="Times New Roman" w:cs="Times New Roman"/>
          <w:sz w:val="22"/>
          <w:szCs w:val="22"/>
        </w:rPr>
        <w:t>Fees</w:t>
      </w:r>
      <w:bookmarkEnd w:id="230"/>
    </w:p>
    <w:p w:rsidR="00FE7FEB" w:rsidRPr="004E7F7B" w:rsidRDefault="00FE7FEB" w:rsidP="002A3D78">
      <w:r w:rsidRPr="004E7F7B">
        <w:t>With the Board Decision dated 2</w:t>
      </w:r>
      <w:r w:rsidR="003D72A3" w:rsidRPr="004E7F7B">
        <w:t>6.12.2019</w:t>
      </w:r>
      <w:r w:rsidRPr="004E7F7B">
        <w:t xml:space="preserve"> and numbered </w:t>
      </w:r>
      <w:r w:rsidR="003D72A3" w:rsidRPr="004E7F7B">
        <w:t>9046</w:t>
      </w:r>
      <w:r w:rsidRPr="004E7F7B">
        <w:t xml:space="preserve"> published in the Official Gazette dated </w:t>
      </w:r>
      <w:r w:rsidR="003D72A3" w:rsidRPr="004E7F7B">
        <w:t>29.12.2019</w:t>
      </w:r>
      <w:r w:rsidRPr="004E7F7B">
        <w:t xml:space="preserve"> and bis numbered 30</w:t>
      </w:r>
      <w:r w:rsidR="003D72A3" w:rsidRPr="004E7F7B">
        <w:t>993</w:t>
      </w:r>
      <w:r w:rsidRPr="004E7F7B">
        <w:t>, as per the Art.10 of the Law No: 4628 amended by item (a) of paragraph (B) of Law No: 4646, the contribution fee to be paid in the natural gas mar</w:t>
      </w:r>
      <w:r w:rsidR="003D72A3" w:rsidRPr="004E7F7B">
        <w:t>ket in 2020</w:t>
      </w:r>
      <w:r w:rsidRPr="004E7F7B">
        <w:t xml:space="preserve"> was determined. </w:t>
      </w:r>
    </w:p>
    <w:p w:rsidR="00FE7FEB" w:rsidRPr="004E7F7B" w:rsidRDefault="00FE7FEB" w:rsidP="002A3D78">
      <w:r w:rsidRPr="004E7F7B">
        <w:t xml:space="preserve">With the Board Decision dated </w:t>
      </w:r>
      <w:r w:rsidR="003D72A3" w:rsidRPr="004E7F7B">
        <w:t>26.12.2019</w:t>
      </w:r>
      <w:r w:rsidRPr="004E7F7B">
        <w:t xml:space="preserve"> and numeberd </w:t>
      </w:r>
      <w:r w:rsidR="003D72A3" w:rsidRPr="004E7F7B">
        <w:t>9044</w:t>
      </w:r>
      <w:r w:rsidRPr="004E7F7B">
        <w:t xml:space="preserve"> published in the Official Gazette dated </w:t>
      </w:r>
      <w:r w:rsidR="003D72A3" w:rsidRPr="004E7F7B">
        <w:t>29.12.2019</w:t>
      </w:r>
      <w:r w:rsidRPr="004E7F7B">
        <w:t xml:space="preserve"> and bis numbered 30</w:t>
      </w:r>
      <w:r w:rsidR="003D72A3" w:rsidRPr="004E7F7B">
        <w:t>993</w:t>
      </w:r>
      <w:r w:rsidRPr="004E7F7B">
        <w:t>, as pe the Natural Gas Market License Regulation, the fees for obtaining license, license modification, annual license, license renewal and getti</w:t>
      </w:r>
      <w:r w:rsidR="003D72A3" w:rsidRPr="004E7F7B">
        <w:t>ng a copy of the license for 2020</w:t>
      </w:r>
      <w:r w:rsidRPr="004E7F7B">
        <w:t xml:space="preserve"> were determined.</w:t>
      </w:r>
    </w:p>
    <w:p w:rsidR="00FE7FEB" w:rsidRPr="004E7F7B" w:rsidRDefault="00FE7FEB" w:rsidP="002A3D78">
      <w:r w:rsidRPr="004E7F7B">
        <w:t xml:space="preserve">With the Board Decision dated </w:t>
      </w:r>
      <w:r w:rsidR="003D72A3" w:rsidRPr="004E7F7B">
        <w:t>26.12.2019</w:t>
      </w:r>
      <w:r w:rsidRPr="004E7F7B">
        <w:t xml:space="preserve"> and numebered </w:t>
      </w:r>
      <w:r w:rsidR="003D72A3" w:rsidRPr="004E7F7B">
        <w:t>9045</w:t>
      </w:r>
      <w:r w:rsidRPr="004E7F7B">
        <w:t xml:space="preserve"> published in the Ofiicial Gazette dated </w:t>
      </w:r>
      <w:r w:rsidR="003D72A3" w:rsidRPr="004E7F7B">
        <w:t>29.12.2019</w:t>
      </w:r>
      <w:r w:rsidRPr="004E7F7B">
        <w:t xml:space="preserve"> and bis numbered 30</w:t>
      </w:r>
      <w:r w:rsidR="003D72A3" w:rsidRPr="004E7F7B">
        <w:t>993</w:t>
      </w:r>
      <w:r w:rsidRPr="004E7F7B">
        <w:t>, as per the Natural Gas Market Certificate Regulation, the fees for obtaining certificate, certificate renewal, modification, getting a copy, visa fees and the service fees to be collected by the distribution companies liable to grantinternal installations and service lines cert</w:t>
      </w:r>
      <w:r w:rsidR="003D72A3" w:rsidRPr="004E7F7B">
        <w:t>ificates were determined for 2020</w:t>
      </w:r>
      <w:r w:rsidRPr="004E7F7B">
        <w:t xml:space="preserve">.  </w:t>
      </w:r>
    </w:p>
    <w:p w:rsidR="00FE7FEB" w:rsidRPr="004E7F7B" w:rsidRDefault="00FE7FEB" w:rsidP="004E7F7B">
      <w:pPr>
        <w:pStyle w:val="Balk2"/>
        <w:rPr>
          <w:rFonts w:ascii="Times New Roman" w:hAnsi="Times New Roman" w:cs="Times New Roman"/>
          <w:sz w:val="22"/>
          <w:szCs w:val="22"/>
        </w:rPr>
      </w:pPr>
      <w:bookmarkStart w:id="231" w:name="_Toc48817869"/>
      <w:r w:rsidRPr="004E7F7B">
        <w:rPr>
          <w:rFonts w:ascii="Times New Roman" w:hAnsi="Times New Roman" w:cs="Times New Roman"/>
          <w:sz w:val="22"/>
          <w:szCs w:val="22"/>
        </w:rPr>
        <w:t>4.3.Petroleum Market Tariffs</w:t>
      </w:r>
      <w:bookmarkEnd w:id="231"/>
    </w:p>
    <w:p w:rsidR="00FE7FEB" w:rsidRPr="004E7F7B" w:rsidRDefault="00FE7FEB" w:rsidP="002A3D78">
      <w:r w:rsidRPr="004E7F7B">
        <w:t xml:space="preserve">Upon the effectiveness of the Petroleum Market Law No:5015, free price implementation started as of 01/01/2005. In petroleum sales and purchases it was adopted to take into consideration the nearest accessible world free market conditions. The price is accepted as; the market price formed in the nearest delivery port or the refining undertaking for domestic crude petroleum.   </w:t>
      </w:r>
    </w:p>
    <w:p w:rsidR="00FE7FEB" w:rsidRPr="004E7F7B" w:rsidRDefault="00FE7FEB" w:rsidP="002A3D78">
      <w:r w:rsidRPr="004E7F7B">
        <w:t xml:space="preserve">The tariffs in the Petroleum Market can be considered in four categories according to the process they are subject to; namely; </w:t>
      </w:r>
    </w:p>
    <w:p w:rsidR="00FE7FEB" w:rsidRPr="004E7F7B" w:rsidRDefault="00FE7FEB" w:rsidP="007B4A7D">
      <w:pPr>
        <w:pStyle w:val="ListeParagraf"/>
        <w:numPr>
          <w:ilvl w:val="0"/>
          <w:numId w:val="36"/>
        </w:numPr>
      </w:pPr>
      <w:r w:rsidRPr="002A3D78">
        <w:rPr>
          <w:b/>
        </w:rPr>
        <w:t>Tariffs Subject to Approval</w:t>
      </w:r>
      <w:r w:rsidRPr="004E7F7B">
        <w:t>: Are the transmission tariffs for the transmission activity performed within the scope of transmission license and the tariffs for licensed storage activities in the storage facilities connected to the transmission lines.</w:t>
      </w:r>
    </w:p>
    <w:p w:rsidR="00FE7FEB" w:rsidRPr="004E7F7B" w:rsidRDefault="00FE7FEB" w:rsidP="007B4A7D">
      <w:pPr>
        <w:pStyle w:val="ListeParagraf"/>
        <w:numPr>
          <w:ilvl w:val="0"/>
          <w:numId w:val="36"/>
        </w:numPr>
      </w:pPr>
      <w:r w:rsidRPr="002A3D78">
        <w:rPr>
          <w:b/>
        </w:rPr>
        <w:t>Tariffs Subject to Notification</w:t>
      </w:r>
      <w:r w:rsidRPr="004E7F7B">
        <w:t>:  Are the tariffs for licensed storage activities not connected to the processing and transmission lines and the changes in the price cap tariffs of the refining undertakings and distributors. Such tariffs are applied after being notified to the Authority.</w:t>
      </w:r>
    </w:p>
    <w:p w:rsidR="00FE7FEB" w:rsidRPr="004E7F7B" w:rsidRDefault="00FE7FEB" w:rsidP="007B4A7D">
      <w:pPr>
        <w:pStyle w:val="ListeParagraf"/>
        <w:numPr>
          <w:ilvl w:val="0"/>
          <w:numId w:val="36"/>
        </w:numPr>
      </w:pPr>
      <w:r w:rsidRPr="002A3D78">
        <w:rPr>
          <w:b/>
        </w:rPr>
        <w:t>Price Announcement</w:t>
      </w:r>
      <w:r w:rsidRPr="004E7F7B">
        <w:t>: Are the prices announced as the liquid fuel price caps at the boards visibly placed in the liquid fuel stations by the vendors and which don’t require approval and notification.</w:t>
      </w:r>
    </w:p>
    <w:p w:rsidR="00FE7FEB" w:rsidRPr="004E7F7B" w:rsidRDefault="00FE7FEB" w:rsidP="007B4A7D">
      <w:pPr>
        <w:pStyle w:val="ListeParagraf"/>
        <w:numPr>
          <w:ilvl w:val="0"/>
          <w:numId w:val="36"/>
        </w:numPr>
      </w:pPr>
      <w:r w:rsidRPr="002A3D78">
        <w:rPr>
          <w:b/>
        </w:rPr>
        <w:t>Price List</w:t>
      </w:r>
      <w:r w:rsidRPr="004E7F7B">
        <w:t xml:space="preserve">: Is the changes in the price lists notified to the Authority regarding the products within the scope of the processing license holders. </w:t>
      </w:r>
    </w:p>
    <w:p w:rsidR="00FE7FEB" w:rsidRPr="002A3D78" w:rsidRDefault="00FE7FEB" w:rsidP="002A3D78">
      <w:r w:rsidRPr="002A3D78">
        <w:t>The database for electronic notification and monitoring of the liquid fuel tank prices of the distributors and the prices they suggest to the vendors or the price caps they determine on behalf of the vendors has been established. The database is updated by the electronic notifications of the distribution companies. After compiling the database the vendor prices and Public Procurement Authority index are announced to the public. As a result of the data gathered, ceilling prices of vendors as per cities and İstanbul Euroepan Side average liquid fuel prices of 8 companies with the highest transaction volume to be used in liquid fuel price difference calculations within the scope of Public Procurement Legislation are announced to the public.</w:t>
      </w:r>
    </w:p>
    <w:p w:rsidR="00FE7FEB" w:rsidRPr="002A3D78" w:rsidRDefault="00FE7FEB" w:rsidP="002A3D78">
      <w:r w:rsidRPr="002A3D78">
        <w:t xml:space="preserve">As per the Article 10 of the Law no:5015,  the refining undertakings and distributors shall notify the Authority of the prices of their activities as price caps taking into consideration the price formations in the attainable world free markets.  </w:t>
      </w:r>
    </w:p>
    <w:p w:rsidR="00FE7FEB" w:rsidRPr="002A3D78" w:rsidRDefault="00FE7FEB" w:rsidP="002A3D78">
      <w:r w:rsidRPr="002A3D78">
        <w:t>Within the scope of the Law No: 5015; the pricing implementations of the refining undertaking license holder TÜPRAŞ and the distribution license holders whose total market shares equal to 90% of the market are scrutinized within the framework of;</w:t>
      </w:r>
    </w:p>
    <w:p w:rsidR="00FE7FEB" w:rsidRPr="004E7F7B" w:rsidRDefault="00FE7FEB" w:rsidP="007B4A7D">
      <w:pPr>
        <w:pStyle w:val="ListeParagraf"/>
        <w:numPr>
          <w:ilvl w:val="0"/>
          <w:numId w:val="38"/>
        </w:numPr>
      </w:pPr>
      <w:r w:rsidRPr="004E7F7B">
        <w:t>Price formation,</w:t>
      </w:r>
    </w:p>
    <w:p w:rsidR="00FE7FEB" w:rsidRPr="004E7F7B" w:rsidRDefault="00FE7FEB" w:rsidP="007B4A7D">
      <w:pPr>
        <w:pStyle w:val="ListeParagraf"/>
        <w:numPr>
          <w:ilvl w:val="0"/>
          <w:numId w:val="38"/>
        </w:numPr>
      </w:pPr>
      <w:r w:rsidRPr="004E7F7B">
        <w:t>Liquid fuel prices in our country,</w:t>
      </w:r>
    </w:p>
    <w:p w:rsidR="00FE7FEB" w:rsidRPr="004E7F7B" w:rsidRDefault="00FE7FEB" w:rsidP="007B4A7D">
      <w:pPr>
        <w:pStyle w:val="ListeParagraf"/>
        <w:numPr>
          <w:ilvl w:val="0"/>
          <w:numId w:val="38"/>
        </w:numPr>
      </w:pPr>
      <w:r w:rsidRPr="004E7F7B">
        <w:t>Change in these prices by years,</w:t>
      </w:r>
    </w:p>
    <w:p w:rsidR="00FE7FEB" w:rsidRPr="004E7F7B" w:rsidRDefault="00FE7FEB" w:rsidP="007B4A7D">
      <w:pPr>
        <w:pStyle w:val="ListeParagraf"/>
        <w:numPr>
          <w:ilvl w:val="0"/>
          <w:numId w:val="38"/>
        </w:numPr>
      </w:pPr>
      <w:r w:rsidRPr="004E7F7B">
        <w:t xml:space="preserve">Change in Turkish distribution and vendor shares, </w:t>
      </w:r>
    </w:p>
    <w:p w:rsidR="00FE7FEB" w:rsidRPr="004E7F7B" w:rsidRDefault="00FE7FEB" w:rsidP="007B4A7D">
      <w:pPr>
        <w:pStyle w:val="ListeParagraf"/>
        <w:numPr>
          <w:ilvl w:val="0"/>
          <w:numId w:val="38"/>
        </w:numPr>
      </w:pPr>
      <w:r w:rsidRPr="004E7F7B">
        <w:t>Reflecting the price movements to the consumers,</w:t>
      </w:r>
    </w:p>
    <w:p w:rsidR="00FE7FEB" w:rsidRPr="004E7F7B" w:rsidRDefault="00FE7FEB" w:rsidP="007B4A7D">
      <w:pPr>
        <w:pStyle w:val="ListeParagraf"/>
        <w:numPr>
          <w:ilvl w:val="0"/>
          <w:numId w:val="38"/>
        </w:numPr>
      </w:pPr>
      <w:r w:rsidRPr="004E7F7B">
        <w:t>Benchmarking of the prices formed in the closest accessible world free markets and EU and Turkey.</w:t>
      </w:r>
    </w:p>
    <w:p w:rsidR="00FE7FEB" w:rsidRPr="004E7F7B" w:rsidRDefault="00FE7FEB" w:rsidP="002A3D78">
      <w:r w:rsidRPr="004E7F7B">
        <w:t>The findings were evaluated with market participants and related Ministries in 201</w:t>
      </w:r>
      <w:r w:rsidR="006D4A58" w:rsidRPr="004E7F7B">
        <w:t>9</w:t>
      </w:r>
      <w:r w:rsidRPr="004E7F7B">
        <w:t xml:space="preserve">. </w:t>
      </w:r>
    </w:p>
    <w:p w:rsidR="00FE7FEB" w:rsidRPr="004E7F7B" w:rsidRDefault="00FE7FEB" w:rsidP="002A3D78">
      <w:r w:rsidRPr="004E7F7B">
        <w:t>Opinions were given on the tariff files of the companies which apply to the Authority to obtain distributor, transmission and storage licenses. In addition, the procedures for the amendment of storage and transmission tariffs have been finalized.</w:t>
      </w:r>
    </w:p>
    <w:p w:rsidR="00FE7FEB" w:rsidRPr="004E7F7B" w:rsidRDefault="00FE7FEB" w:rsidP="002A3D78">
      <w:r w:rsidRPr="004E7F7B">
        <w:t>The third paragraph of Art. 8 of the Petroleum Market Pricing System Regulation stipulates that the license applications whose tariff file sre not deemed appropriate shall be rejected.  Accordingly, the tariff files annexed to the license applications made to the Petroleum Market Department were examined.</w:t>
      </w:r>
    </w:p>
    <w:p w:rsidR="00FE7FEB" w:rsidRPr="004E7F7B" w:rsidRDefault="00FE7FEB" w:rsidP="002A3D78">
      <w:r w:rsidRPr="004E7F7B">
        <w:t>Within the scope of the Energy Market Notification Regulation, management of the part of the reporting system related to the prices is carried out, price notifications are followed, necessary corrections are made,</w:t>
      </w:r>
    </w:p>
    <w:p w:rsidR="00FE7FEB" w:rsidRPr="004E7F7B" w:rsidRDefault="00FE7FEB" w:rsidP="007B4A7D">
      <w:pPr>
        <w:pStyle w:val="ListeParagraf"/>
        <w:numPr>
          <w:ilvl w:val="0"/>
          <w:numId w:val="37"/>
        </w:numPr>
      </w:pPr>
      <w:r w:rsidRPr="004E7F7B">
        <w:t>Through the information system, not only the domestic prices are monitored but also the foreign price movements are followed up within the scope of Platts subscription the prices and FOB and CIF prices of products such as crude oil (brent dated) and benzene, diesel, fuel oil types, kerosene, jet fuel and liquid fuel prices with and without tax in the EU member states are monitored. The data gathered are used in reports and analiysis to monitor the price movements of the distributor and refining undertaking license hıolders within the scope of the closest attainable free market price formation. In this respect “Petroleum Market Pricing Reports” started to be published annuaaly in 2014 also continued to e published in EMRA2s web site in 201</w:t>
      </w:r>
      <w:r w:rsidR="006D4A58" w:rsidRPr="004E7F7B">
        <w:t>9</w:t>
      </w:r>
      <w:r w:rsidRPr="004E7F7B">
        <w:t xml:space="preserve">. </w:t>
      </w:r>
    </w:p>
    <w:p w:rsidR="00FE7FEB" w:rsidRPr="004E7F7B" w:rsidRDefault="00FE7FEB" w:rsidP="004E7F7B">
      <w:pPr>
        <w:pStyle w:val="Balk3"/>
        <w:rPr>
          <w:rFonts w:ascii="Times New Roman" w:hAnsi="Times New Roman" w:cs="Times New Roman"/>
          <w:sz w:val="22"/>
          <w:szCs w:val="22"/>
        </w:rPr>
      </w:pPr>
      <w:bookmarkStart w:id="232" w:name="_Toc48817870"/>
      <w:r w:rsidRPr="004E7F7B">
        <w:rPr>
          <w:rFonts w:ascii="Times New Roman" w:hAnsi="Times New Roman" w:cs="Times New Roman"/>
          <w:sz w:val="22"/>
          <w:szCs w:val="22"/>
        </w:rPr>
        <w:t>4.3.1.License Fees</w:t>
      </w:r>
      <w:bookmarkEnd w:id="232"/>
    </w:p>
    <w:p w:rsidR="00FE7FEB" w:rsidRPr="004E7F7B" w:rsidRDefault="00FE7FEB" w:rsidP="002A3D78">
      <w:r w:rsidRPr="004E7F7B">
        <w:t xml:space="preserve">With the Board Decision dated </w:t>
      </w:r>
      <w:r w:rsidR="006D4A58" w:rsidRPr="004E7F7B">
        <w:t>26.12.2019</w:t>
      </w:r>
      <w:r w:rsidRPr="004E7F7B">
        <w:t xml:space="preserve"> and numbered </w:t>
      </w:r>
      <w:r w:rsidR="006D4A58" w:rsidRPr="004E7F7B">
        <w:t>9047</w:t>
      </w:r>
      <w:r w:rsidRPr="004E7F7B">
        <w:t xml:space="preserve"> published in the Official Gazette dated </w:t>
      </w:r>
      <w:r w:rsidR="006D4A58" w:rsidRPr="004E7F7B">
        <w:t>29.12.2019</w:t>
      </w:r>
      <w:r w:rsidRPr="004E7F7B">
        <w:t xml:space="preserve"> and bis numbered </w:t>
      </w:r>
      <w:r w:rsidR="006D4A58" w:rsidRPr="004E7F7B">
        <w:t>30993</w:t>
      </w:r>
      <w:r w:rsidRPr="004E7F7B">
        <w:t xml:space="preserve">, the fees for license acquisition, license modification, extension, getting a copy of the license, tariff approval, liquid fule trade permit and coupon </w:t>
      </w:r>
      <w:r w:rsidR="006D4A58" w:rsidRPr="004E7F7B">
        <w:t>service were determined for 2020</w:t>
      </w:r>
      <w:r w:rsidRPr="004E7F7B">
        <w:t>.</w:t>
      </w:r>
    </w:p>
    <w:p w:rsidR="00FE7FEB" w:rsidRPr="004E7F7B" w:rsidRDefault="00FE7FEB" w:rsidP="002A3D78">
      <w:r w:rsidRPr="004E7F7B">
        <w:t>With the Board Decision dated 2</w:t>
      </w:r>
      <w:r w:rsidR="006D4A58" w:rsidRPr="004E7F7B">
        <w:t>6</w:t>
      </w:r>
      <w:r w:rsidRPr="004E7F7B">
        <w:t>.12.201</w:t>
      </w:r>
      <w:r w:rsidR="006D4A58" w:rsidRPr="004E7F7B">
        <w:t>9</w:t>
      </w:r>
      <w:r w:rsidRPr="004E7F7B">
        <w:t xml:space="preserve"> and numbered</w:t>
      </w:r>
      <w:r w:rsidR="006D4A58" w:rsidRPr="004E7F7B">
        <w:t xml:space="preserve"> 9048</w:t>
      </w:r>
      <w:r w:rsidRPr="004E7F7B">
        <w:t xml:space="preserve"> published in the Official Gazette dated 2</w:t>
      </w:r>
      <w:r w:rsidR="006D4A58" w:rsidRPr="004E7F7B">
        <w:t>9.12.2019</w:t>
      </w:r>
      <w:r w:rsidRPr="004E7F7B">
        <w:t xml:space="preserve"> and bis numbered </w:t>
      </w:r>
      <w:r w:rsidR="006D4A58" w:rsidRPr="004E7F7B">
        <w:t>30993, the contribution fees for 2020</w:t>
      </w:r>
      <w:r w:rsidRPr="004E7F7B">
        <w:t>, the real and legal persons are liable to pay in the Petroleum Market as per Art.10 of the Law No:4628 amended by the sub-paragraph (a) of the paragraph (c) of Art.27 of the Law No:5015 were determined.</w:t>
      </w:r>
    </w:p>
    <w:p w:rsidR="00FE7FEB" w:rsidRPr="004E7F7B" w:rsidRDefault="00FE7FEB" w:rsidP="004E7F7B">
      <w:pPr>
        <w:pStyle w:val="Balk2"/>
        <w:rPr>
          <w:rFonts w:ascii="Times New Roman" w:hAnsi="Times New Roman" w:cs="Times New Roman"/>
          <w:sz w:val="22"/>
          <w:szCs w:val="22"/>
        </w:rPr>
      </w:pPr>
      <w:bookmarkStart w:id="233" w:name="_Toc442431287"/>
      <w:bookmarkStart w:id="234" w:name="_Toc505346086"/>
      <w:bookmarkStart w:id="235" w:name="_Toc514251667"/>
      <w:bookmarkStart w:id="236" w:name="_Toc48817871"/>
      <w:r w:rsidRPr="004E7F7B">
        <w:rPr>
          <w:rFonts w:ascii="Times New Roman" w:hAnsi="Times New Roman" w:cs="Times New Roman"/>
          <w:sz w:val="22"/>
          <w:szCs w:val="22"/>
        </w:rPr>
        <w:t xml:space="preserve">4.4.Prices in the Liquefied Petroleum Gases (LPG) </w:t>
      </w:r>
      <w:bookmarkEnd w:id="233"/>
      <w:bookmarkEnd w:id="234"/>
      <w:bookmarkEnd w:id="235"/>
      <w:r w:rsidRPr="004E7F7B">
        <w:rPr>
          <w:rFonts w:ascii="Times New Roman" w:hAnsi="Times New Roman" w:cs="Times New Roman"/>
          <w:sz w:val="22"/>
          <w:szCs w:val="22"/>
        </w:rPr>
        <w:t>Market</w:t>
      </w:r>
      <w:bookmarkEnd w:id="236"/>
    </w:p>
    <w:p w:rsidR="00FE7FEB" w:rsidRPr="004E7F7B" w:rsidRDefault="00FE7FEB" w:rsidP="002A3D78">
      <w:r w:rsidRPr="004E7F7B">
        <w:t>Liquefied Petroleum Gases Market Law No: 5307 and Law Amending the Electricity Market Law and Liquefied Petroleum Gas (LPG) Market License Regulation foresees that the prices for buying and selling LPG will be in accordance with the accesible free world market conditions. According to the law, Refining Undertakings and Distributors report the prices of their market activities under the Licenses to the Authority at the ceiling prices, taking into account the price formation in accessible world free markets.</w:t>
      </w:r>
    </w:p>
    <w:p w:rsidR="00FE7FEB" w:rsidRPr="004E7F7B" w:rsidRDefault="00FE7FEB" w:rsidP="002A3D78">
      <w:r w:rsidRPr="004E7F7B">
        <w:t>In this context, developments in domestic LPG prices were regularly monitored, taking into account the ceiling price notifications given by Refining Undertakings and Distributors about their market activities under the Licenses. Comprehensive studies have been carried out on auto gas prices in addition to the regular notifications given to the Agency. Price developments in our country's LPG market are compared with price movements in EU countries, taking into account other market-relevant parameters.</w:t>
      </w:r>
    </w:p>
    <w:p w:rsidR="00FE7FEB" w:rsidRPr="004E7F7B" w:rsidRDefault="00FE7FEB" w:rsidP="004E7F7B">
      <w:pPr>
        <w:pStyle w:val="Balk3"/>
        <w:rPr>
          <w:rFonts w:ascii="Times New Roman" w:hAnsi="Times New Roman" w:cs="Times New Roman"/>
          <w:sz w:val="22"/>
          <w:szCs w:val="22"/>
        </w:rPr>
      </w:pPr>
      <w:bookmarkStart w:id="237" w:name="_Toc442431288"/>
      <w:bookmarkStart w:id="238" w:name="_Toc505346087"/>
      <w:bookmarkStart w:id="239" w:name="_Toc514251668"/>
      <w:bookmarkStart w:id="240" w:name="_Toc48817872"/>
      <w:r w:rsidRPr="004E7F7B">
        <w:rPr>
          <w:rFonts w:ascii="Times New Roman" w:hAnsi="Times New Roman" w:cs="Times New Roman"/>
          <w:sz w:val="22"/>
          <w:szCs w:val="22"/>
        </w:rPr>
        <w:t xml:space="preserve">4.4.1.License </w:t>
      </w:r>
      <w:bookmarkEnd w:id="237"/>
      <w:bookmarkEnd w:id="238"/>
      <w:bookmarkEnd w:id="239"/>
      <w:r w:rsidRPr="004E7F7B">
        <w:rPr>
          <w:rFonts w:ascii="Times New Roman" w:hAnsi="Times New Roman" w:cs="Times New Roman"/>
          <w:sz w:val="22"/>
          <w:szCs w:val="22"/>
        </w:rPr>
        <w:t>Fees</w:t>
      </w:r>
      <w:bookmarkEnd w:id="240"/>
    </w:p>
    <w:p w:rsidR="00FE7FEB" w:rsidRPr="004E7F7B" w:rsidRDefault="00FE7FEB" w:rsidP="002A3D78">
      <w:r w:rsidRPr="004E7F7B">
        <w:t xml:space="preserve">With the Board Decision dated </w:t>
      </w:r>
      <w:r w:rsidR="006D4A58" w:rsidRPr="004E7F7B">
        <w:t>26.12.</w:t>
      </w:r>
      <w:r w:rsidRPr="004E7F7B">
        <w:t>201</w:t>
      </w:r>
      <w:r w:rsidR="006D4A58" w:rsidRPr="004E7F7B">
        <w:t>9</w:t>
      </w:r>
      <w:r w:rsidRPr="004E7F7B">
        <w:t xml:space="preserve"> and numbered </w:t>
      </w:r>
      <w:r w:rsidR="001F7A0D" w:rsidRPr="004E7F7B">
        <w:t>904</w:t>
      </w:r>
      <w:r w:rsidRPr="004E7F7B">
        <w:t xml:space="preserve">9 published in the Official Gazette dated </w:t>
      </w:r>
      <w:r w:rsidR="006D4A58" w:rsidRPr="004E7F7B">
        <w:t>29.12.</w:t>
      </w:r>
      <w:r w:rsidRPr="004E7F7B">
        <w:t>201</w:t>
      </w:r>
      <w:r w:rsidR="006D4A58" w:rsidRPr="004E7F7B">
        <w:t>9</w:t>
      </w:r>
      <w:r w:rsidRPr="004E7F7B">
        <w:t xml:space="preserve"> and bis numbered 30</w:t>
      </w:r>
      <w:r w:rsidR="006D4A58" w:rsidRPr="004E7F7B">
        <w:t>993</w:t>
      </w:r>
      <w:r w:rsidRPr="004E7F7B">
        <w:t xml:space="preserve">, as per the Liquefied Petroleum Gases (LPG) Law No:5307 and the </w:t>
      </w:r>
      <w:r w:rsidRPr="004E7F7B">
        <w:rPr>
          <w:color w:val="000000"/>
        </w:rPr>
        <w:t xml:space="preserve">Liquefied Petroleum Gases (LPG) Market License </w:t>
      </w:r>
      <w:r w:rsidRPr="004E7F7B">
        <w:t xml:space="preserve">Regulation and Law Amending the Electricity Market Law and Liquefied Petroleum Gas (LPG) Market License Regulation,  fees for licence acquisition, license modification, extension and getting a coy of the license were determined.  </w:t>
      </w:r>
    </w:p>
    <w:p w:rsidR="00FE7FEB" w:rsidRPr="004E7F7B" w:rsidRDefault="00FE7FEB" w:rsidP="002A3D78">
      <w:r w:rsidRPr="004E7F7B">
        <w:t>With the Board Decision dated 2</w:t>
      </w:r>
      <w:r w:rsidR="001F7A0D" w:rsidRPr="004E7F7B">
        <w:t>6.12.</w:t>
      </w:r>
      <w:r w:rsidRPr="004E7F7B">
        <w:t>201</w:t>
      </w:r>
      <w:r w:rsidR="001F7A0D" w:rsidRPr="004E7F7B">
        <w:t>9</w:t>
      </w:r>
      <w:r w:rsidRPr="004E7F7B">
        <w:t xml:space="preserve"> and numbered </w:t>
      </w:r>
      <w:r w:rsidR="001F7A0D" w:rsidRPr="004E7F7B">
        <w:t>9050</w:t>
      </w:r>
      <w:r w:rsidRPr="004E7F7B">
        <w:t xml:space="preserve"> published in the Official Gazette dated 2</w:t>
      </w:r>
      <w:r w:rsidR="001F7A0D" w:rsidRPr="004E7F7B">
        <w:t>9.12.</w:t>
      </w:r>
      <w:r w:rsidRPr="004E7F7B">
        <w:t>201</w:t>
      </w:r>
      <w:r w:rsidR="001F7A0D" w:rsidRPr="004E7F7B">
        <w:t>9</w:t>
      </w:r>
      <w:r w:rsidRPr="004E7F7B">
        <w:t xml:space="preserve"> and bis numbered</w:t>
      </w:r>
      <w:r w:rsidR="001F7A0D" w:rsidRPr="004E7F7B">
        <w:t xml:space="preserve"> 30993</w:t>
      </w:r>
      <w:r w:rsidRPr="004E7F7B">
        <w:t xml:space="preserve">; the contribution fees to be </w:t>
      </w:r>
      <w:r w:rsidR="001F7A0D" w:rsidRPr="004E7F7B">
        <w:t>applied in the LPG Market in 2020</w:t>
      </w:r>
      <w:r w:rsidRPr="004E7F7B">
        <w:t xml:space="preserve"> were determined as per the related articles of the related legislation.</w:t>
      </w:r>
    </w:p>
    <w:p w:rsidR="00367CE6" w:rsidRPr="004E7F7B" w:rsidRDefault="00367CE6" w:rsidP="002A3D78">
      <w:pPr>
        <w:rPr>
          <w:b/>
        </w:rPr>
      </w:pPr>
      <w:r w:rsidRPr="004E7F7B">
        <w:t>Licensing fees that will apply to the Liquefied Petroleum Gas (LPG) Market in the year 2019 have been amended according to the Board Decision with the number 8433 and of the date 14.02.2019 (This Decision was published on the Official Gazette number 30691, and of the date 19.02.2019) and Board Decision number 8275 of the date 20.12.2018 (This Decision was published on the Official Gazette number 30634 and of the date 23.12.2018).</w:t>
      </w: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241" w:name="_Toc48817873"/>
      <w:r w:rsidRPr="004E7F7B">
        <w:rPr>
          <w:rFonts w:ascii="Times New Roman" w:hAnsi="Times New Roman" w:cs="Times New Roman"/>
          <w:sz w:val="22"/>
          <w:szCs w:val="22"/>
        </w:rPr>
        <w:t>5. INFORMATION SYSTEMS AND AUTOMATION ACTIVITIES</w:t>
      </w:r>
      <w:bookmarkEnd w:id="241"/>
    </w:p>
    <w:p w:rsidR="00FE7FEB" w:rsidRPr="004E7F7B" w:rsidRDefault="00FE7FEB" w:rsidP="002A3D78">
      <w:r w:rsidRPr="004E7F7B">
        <w:t>This section describes the activities carried out within the scope of the automation activities ca</w:t>
      </w:r>
      <w:r w:rsidR="001F7A0D" w:rsidRPr="004E7F7B">
        <w:t>rried out within the Authority in 2019.</w:t>
      </w:r>
    </w:p>
    <w:p w:rsidR="00FE7FEB" w:rsidRPr="004E7F7B" w:rsidRDefault="00FE7FEB" w:rsidP="002A3D78">
      <w:r w:rsidRPr="004E7F7B">
        <w:t>Within the scope of Information Systems, EPVYS, EBIS, EPARS, EBYS, ERP have been established within EMRA  and efforts are continuing to develop these systems. Significant progress has been made in the establishment, operation of ISMS and the National Cyber Security Strategy and Action Plan 2016-2019. The establishment of the IT infrastructure of the new service building of the Authority has started. Significant progress has been made in the establishment, operation of ISMS and the National Cyber Security Strategy and Action Plan 2016-2019. The establishment of the IT infrastructure of the new service building of the Authority has started.</w:t>
      </w:r>
    </w:p>
    <w:p w:rsidR="001F7A0D" w:rsidRPr="004E7F7B" w:rsidRDefault="001F7A0D" w:rsidP="004E7F7B">
      <w:pPr>
        <w:pStyle w:val="Balk2"/>
        <w:rPr>
          <w:rFonts w:ascii="Times New Roman" w:hAnsi="Times New Roman" w:cs="Times New Roman"/>
          <w:sz w:val="22"/>
          <w:szCs w:val="22"/>
        </w:rPr>
      </w:pPr>
      <w:bookmarkStart w:id="242" w:name="_Toc48817874"/>
      <w:bookmarkStart w:id="243" w:name="_Toc514251671"/>
      <w:r w:rsidRPr="004E7F7B">
        <w:rPr>
          <w:rFonts w:ascii="Times New Roman" w:hAnsi="Times New Roman" w:cs="Times New Roman"/>
          <w:sz w:val="22"/>
          <w:szCs w:val="22"/>
        </w:rPr>
        <w:t>5.1 Establishment of Information Technology Department</w:t>
      </w:r>
      <w:bookmarkEnd w:id="242"/>
    </w:p>
    <w:p w:rsidR="00367CE6" w:rsidRPr="004E7F7B" w:rsidRDefault="00367CE6" w:rsidP="002A3D78">
      <w:pPr>
        <w:rPr>
          <w:lang w:val="en-GB"/>
        </w:rPr>
      </w:pPr>
      <w:r w:rsidRPr="004E7F7B">
        <w:rPr>
          <w:lang w:val="en-GB"/>
        </w:rPr>
        <w:t>Data Processing Department was established according to the Law Amending the Mining Law, Other Laws and Decrees, which came into force after being published on the Official Gazette number 30700, and of the date 28.02.2019. IT services, which were previously provided by the IT Services Section under the Strategy Development Department, are now provided by;</w:t>
      </w:r>
    </w:p>
    <w:p w:rsidR="001B2DF6" w:rsidRPr="004E7F7B" w:rsidRDefault="001B2DF6" w:rsidP="002A3D78">
      <w:pPr>
        <w:rPr>
          <w:lang w:val="en-GB"/>
        </w:rPr>
      </w:pPr>
      <w:r w:rsidRPr="004E7F7B">
        <w:rPr>
          <w:lang w:val="en-GB"/>
        </w:rPr>
        <w:t>•</w:t>
      </w:r>
      <w:r w:rsidRPr="004E7F7B">
        <w:rPr>
          <w:color w:val="FF0000"/>
          <w:lang w:val="en-GB"/>
        </w:rPr>
        <w:t xml:space="preserve"> </w:t>
      </w:r>
      <w:r w:rsidRPr="004E7F7B">
        <w:rPr>
          <w:lang w:val="en-GB"/>
        </w:rPr>
        <w:t>Information Security Management Group,</w:t>
      </w:r>
    </w:p>
    <w:p w:rsidR="001B2DF6" w:rsidRPr="004E7F7B" w:rsidRDefault="001B2DF6" w:rsidP="002A3D78">
      <w:pPr>
        <w:rPr>
          <w:lang w:val="en-GB"/>
        </w:rPr>
      </w:pPr>
      <w:r w:rsidRPr="004E7F7B">
        <w:rPr>
          <w:lang w:val="en-GB"/>
        </w:rPr>
        <w:t>• Information Infrastructure Systems and Support Services Group,</w:t>
      </w:r>
    </w:p>
    <w:p w:rsidR="001B2DF6" w:rsidRPr="004E7F7B" w:rsidRDefault="001B2DF6" w:rsidP="002A3D78">
      <w:pPr>
        <w:rPr>
          <w:lang w:val="en-GB"/>
        </w:rPr>
      </w:pPr>
      <w:r w:rsidRPr="004E7F7B">
        <w:rPr>
          <w:lang w:val="en-GB"/>
        </w:rPr>
        <w:t>Internet Services and Information Systems Group,</w:t>
      </w:r>
    </w:p>
    <w:p w:rsidR="001B2DF6" w:rsidRPr="004E7F7B" w:rsidRDefault="001B2DF6" w:rsidP="002A3D78">
      <w:pPr>
        <w:rPr>
          <w:lang w:val="en-GB"/>
        </w:rPr>
      </w:pPr>
      <w:r w:rsidRPr="004E7F7B">
        <w:rPr>
          <w:lang w:val="en-GB"/>
        </w:rPr>
        <w:t>• Data Management and Business Intelligence Group,</w:t>
      </w:r>
    </w:p>
    <w:p w:rsidR="001B2DF6" w:rsidRPr="004E7F7B" w:rsidRDefault="001B2DF6" w:rsidP="002A3D78">
      <w:pPr>
        <w:rPr>
          <w:lang w:val="en-GB"/>
        </w:rPr>
      </w:pPr>
      <w:r w:rsidRPr="004E7F7B">
        <w:rPr>
          <w:lang w:val="en-GB"/>
        </w:rPr>
        <w:t>• Software Development Group,</w:t>
      </w:r>
    </w:p>
    <w:p w:rsidR="00FE7FEB" w:rsidRPr="004E7F7B" w:rsidRDefault="001F7A0D" w:rsidP="004E7F7B">
      <w:pPr>
        <w:pStyle w:val="Balk2"/>
        <w:rPr>
          <w:rFonts w:ascii="Times New Roman" w:hAnsi="Times New Roman" w:cs="Times New Roman"/>
          <w:sz w:val="22"/>
          <w:szCs w:val="22"/>
        </w:rPr>
      </w:pPr>
      <w:bookmarkStart w:id="244" w:name="_Toc48817875"/>
      <w:r w:rsidRPr="004E7F7B">
        <w:rPr>
          <w:rFonts w:ascii="Times New Roman" w:hAnsi="Times New Roman" w:cs="Times New Roman"/>
          <w:sz w:val="22"/>
          <w:szCs w:val="22"/>
        </w:rPr>
        <w:t>5.2</w:t>
      </w:r>
      <w:r w:rsidR="00FE7FEB" w:rsidRPr="004E7F7B">
        <w:rPr>
          <w:rFonts w:ascii="Times New Roman" w:hAnsi="Times New Roman" w:cs="Times New Roman"/>
          <w:sz w:val="22"/>
          <w:szCs w:val="22"/>
        </w:rPr>
        <w:t>.Information Security Management System (BGYS)</w:t>
      </w:r>
      <w:bookmarkEnd w:id="243"/>
      <w:bookmarkEnd w:id="244"/>
    </w:p>
    <w:p w:rsidR="001F7A0D" w:rsidRPr="004E7F7B" w:rsidRDefault="00FE7FEB" w:rsidP="002A3D78">
      <w:r w:rsidRPr="004E7F7B">
        <w:t xml:space="preserve">The interim audit has been successfully completed within the scope of the TS ISO / IEC 27001: 2013 certificate obtained with the ISMS studies carried out in the institution. </w:t>
      </w:r>
    </w:p>
    <w:p w:rsidR="00FE7FEB" w:rsidRPr="004E7F7B" w:rsidRDefault="00FE7FEB" w:rsidP="002A3D78">
      <w:r w:rsidRPr="004E7F7B">
        <w:t>Regulation on “Information Security in Industrial Control Systems Used in the Energy Sector "published in the Official Gazette dated July 13, 2011 and numbered 30123, as part of the legislative regulations required to ensure that sectoral SOMEs have the power to effectively control and enforce sanctions on corporate SOMEs "(Regulation)</w:t>
      </w:r>
      <w:r w:rsidR="001F7A0D" w:rsidRPr="004E7F7B">
        <w:t xml:space="preserve"> cyber security activities of 1</w:t>
      </w:r>
      <w:r w:rsidRPr="004E7F7B">
        <w:t xml:space="preserve"> l</w:t>
      </w:r>
      <w:r w:rsidR="001F7A0D" w:rsidRPr="004E7F7B">
        <w:t>icense</w:t>
      </w:r>
      <w:r w:rsidRPr="004E7F7B">
        <w:t xml:space="preserve"> operating in the electricity and natural gas markets were audited on site.</w:t>
      </w:r>
    </w:p>
    <w:p w:rsidR="00431959" w:rsidRPr="004E7F7B" w:rsidRDefault="00FE7FEB" w:rsidP="002A3D78">
      <w:pPr>
        <w:rPr>
          <w:bCs/>
        </w:rPr>
      </w:pPr>
      <w:r w:rsidRPr="004E7F7B">
        <w:t xml:space="preserve">The Draft Procedures and Principles of Security Analysis and Testing in Industrial Control Systems Used in the Energy Sector were </w:t>
      </w:r>
      <w:r w:rsidR="00431959" w:rsidRPr="004E7F7B">
        <w:rPr>
          <w:bCs/>
        </w:rPr>
        <w:t xml:space="preserve">published in the Official Gazette dated </w:t>
      </w:r>
      <w:r w:rsidR="00431959" w:rsidRPr="004E7F7B">
        <w:t xml:space="preserve">03.05.2019 </w:t>
      </w:r>
      <w:r w:rsidR="00431959" w:rsidRPr="004E7F7B">
        <w:rPr>
          <w:bCs/>
        </w:rPr>
        <w:t>and numbered 30763 and b</w:t>
      </w:r>
      <w:r w:rsidR="00E1629A" w:rsidRPr="004E7F7B">
        <w:rPr>
          <w:bCs/>
        </w:rPr>
        <w:t>ecame effective.</w:t>
      </w:r>
    </w:p>
    <w:p w:rsidR="00FE7FEB" w:rsidRPr="004E7F7B" w:rsidRDefault="001B2DF6" w:rsidP="002A3D78">
      <w:r w:rsidRPr="004E7F7B">
        <w:rPr>
          <w:lang w:val="en"/>
        </w:rPr>
        <w:t>In a joint meeting held with the Presidency of Defense Industry, critical infrastructure operators in the energy sector were able to meet with local companies that produce solutions in information security. In addition, domestic producers producing EKS components in the energy sector, which has a high dependence on foreign origin EKS products, were primarily informed about the services needed within the scope of the current legislation.</w:t>
      </w:r>
      <w:r w:rsidR="00367CE6" w:rsidRPr="004E7F7B">
        <w:t xml:space="preserve">Another project that is currently being developed is improving the capacities of the sectoral players against the cyber security threats, by developing the cyber security maturity model. In this regard, meetings with several pioneering firms of the information security sector have been organised and first steps have been taken for a draft project.   </w:t>
      </w:r>
    </w:p>
    <w:p w:rsidR="00FE7FEB" w:rsidRPr="002A3D78" w:rsidRDefault="001B63F8" w:rsidP="002A3D78">
      <w:pPr>
        <w:pStyle w:val="Balk2"/>
        <w:rPr>
          <w:rFonts w:ascii="Times New Roman" w:hAnsi="Times New Roman" w:cs="Times New Roman"/>
          <w:sz w:val="22"/>
          <w:szCs w:val="22"/>
        </w:rPr>
      </w:pPr>
      <w:bookmarkStart w:id="245" w:name="_Toc514251672"/>
      <w:bookmarkStart w:id="246" w:name="_Toc48817876"/>
      <w:bookmarkStart w:id="247" w:name="_Toc514251673"/>
      <w:r w:rsidRPr="004E7F7B">
        <w:rPr>
          <w:rFonts w:ascii="Times New Roman" w:hAnsi="Times New Roman" w:cs="Times New Roman"/>
          <w:sz w:val="22"/>
          <w:szCs w:val="22"/>
        </w:rPr>
        <w:t>5.3</w:t>
      </w:r>
      <w:r w:rsidR="00FE7FEB" w:rsidRPr="004E7F7B">
        <w:rPr>
          <w:rFonts w:ascii="Times New Roman" w:hAnsi="Times New Roman" w:cs="Times New Roman"/>
          <w:sz w:val="22"/>
          <w:szCs w:val="22"/>
        </w:rPr>
        <w:t>.</w:t>
      </w:r>
      <w:bookmarkEnd w:id="245"/>
      <w:r w:rsidR="00326E2E" w:rsidRPr="004E7F7B">
        <w:rPr>
          <w:rFonts w:ascii="Times New Roman" w:hAnsi="Times New Roman" w:cs="Times New Roman"/>
          <w:sz w:val="22"/>
          <w:szCs w:val="22"/>
        </w:rPr>
        <w:t xml:space="preserve"> Information Infrastructure Systems and Support Services</w:t>
      </w:r>
      <w:bookmarkEnd w:id="246"/>
    </w:p>
    <w:p w:rsidR="001B2DF6" w:rsidRPr="004E7F7B" w:rsidRDefault="001B2DF6" w:rsidP="002A3D78">
      <w:pPr>
        <w:rPr>
          <w:lang w:val="en"/>
        </w:rPr>
      </w:pPr>
      <w:r w:rsidRPr="004E7F7B">
        <w:rPr>
          <w:lang w:val="en"/>
        </w:rPr>
        <w:t>The tender processes have been completed in line with the specifications prepared for the establishment of a data center, the supply of active network devices, and the provision of server and virtualization systems within the scope of the establishment of the new service building information infrastructure of the institution.</w:t>
      </w:r>
    </w:p>
    <w:p w:rsidR="001B2DF6" w:rsidRPr="004E7F7B" w:rsidRDefault="001B2DF6" w:rsidP="002A3D78">
      <w:pPr>
        <w:rPr>
          <w:lang w:val="en"/>
        </w:rPr>
      </w:pPr>
      <w:r w:rsidRPr="004E7F7B">
        <w:rPr>
          <w:lang w:val="en"/>
        </w:rPr>
        <w:t>Within the scope of the tender for the establishment of a data center, the production of the cold air corridor consisting of 18 cabinets was completed. Suitable areas have been created for 2 UPS systems supplied within the scope of the same tender and the devices have been put into use. Environmental monitoring systems have been commissioned within the scope of the relevant tender.</w:t>
      </w:r>
    </w:p>
    <w:p w:rsidR="001B2DF6" w:rsidRPr="004E7F7B" w:rsidRDefault="001B2DF6" w:rsidP="002A3D78">
      <w:pPr>
        <w:rPr>
          <w:lang w:val="en"/>
        </w:rPr>
      </w:pPr>
      <w:r w:rsidRPr="004E7F7B">
        <w:rPr>
          <w:lang w:val="en"/>
        </w:rPr>
        <w:t>Network devices supplied within the scope of active network components tender were placed in their respective locations and a new service building network infrastructure was created. The network management system was set up and the necessary definitions were made.</w:t>
      </w:r>
    </w:p>
    <w:p w:rsidR="001B2DF6" w:rsidRPr="004E7F7B" w:rsidRDefault="001B2DF6" w:rsidP="002A3D78">
      <w:pPr>
        <w:rPr>
          <w:lang w:val="en"/>
        </w:rPr>
      </w:pPr>
      <w:r w:rsidRPr="004E7F7B">
        <w:rPr>
          <w:lang w:val="en"/>
        </w:rPr>
        <w:t>The purchased 2 firewall devices and 2 load balancing devices were positioned in line with the established network topology, appropriate rules were carried over the old systems and rules suitable for the new structure were defined and put into use. Instead of 2 SSL VPN devices that expired, new ones were procured and commissioned.</w:t>
      </w:r>
    </w:p>
    <w:p w:rsidR="001B2DF6" w:rsidRPr="004E7F7B" w:rsidRDefault="001B2DF6" w:rsidP="002A3D78">
      <w:pPr>
        <w:rPr>
          <w:lang w:val="en"/>
        </w:rPr>
      </w:pPr>
      <w:r w:rsidRPr="004E7F7B">
        <w:rPr>
          <w:lang w:val="en"/>
        </w:rPr>
        <w:t>20 servers were purchased within the scope of the virtualization system and server procurement tender. After the installation of the said servers was completed, the necessary installations and configurations were made and the virtualization infrastructure was commissioned.</w:t>
      </w:r>
    </w:p>
    <w:p w:rsidR="00E1629A" w:rsidRPr="004E7F7B" w:rsidRDefault="001B2DF6" w:rsidP="002A3D78">
      <w:pPr>
        <w:rPr>
          <w:color w:val="FF0000"/>
        </w:rPr>
      </w:pPr>
      <w:r w:rsidRPr="004E7F7B">
        <w:rPr>
          <w:lang w:val="en"/>
        </w:rPr>
        <w:t>Since the support of the operating systems used by the institution will end, all personnel computers operating systems have been upgraded to the latest version. Operating systems of all system servers have been upgraded to the latest version before migrating servers for migration.</w:t>
      </w:r>
      <w:r w:rsidR="00E1629A" w:rsidRPr="004E7F7B">
        <w:rPr>
          <w:color w:val="FF0000"/>
        </w:rPr>
        <w:t xml:space="preserve"> </w:t>
      </w:r>
    </w:p>
    <w:p w:rsidR="00E1629A" w:rsidRPr="004E7F7B" w:rsidRDefault="001B2DF6" w:rsidP="002A3D78">
      <w:pPr>
        <w:rPr>
          <w:color w:val="FF0000"/>
        </w:rPr>
      </w:pPr>
      <w:r w:rsidRPr="004E7F7B">
        <w:rPr>
          <w:lang w:val="en"/>
        </w:rPr>
        <w:t>Cyber ​​security incidents monitoring service was renewed and SIEM servers were replaced with more capable ones, and the necessary infrastructure was prepared in the new service building. In old systems, existing configurations were moved to the new system and their adaptations were provided.</w:t>
      </w:r>
    </w:p>
    <w:p w:rsidR="00FE7FEB" w:rsidRPr="004E7F7B" w:rsidRDefault="00326E2E" w:rsidP="004E7F7B">
      <w:pPr>
        <w:pStyle w:val="Balk2"/>
        <w:rPr>
          <w:rFonts w:ascii="Times New Roman" w:hAnsi="Times New Roman" w:cs="Times New Roman"/>
          <w:sz w:val="22"/>
          <w:szCs w:val="22"/>
        </w:rPr>
      </w:pPr>
      <w:bookmarkStart w:id="248" w:name="_Toc48817877"/>
      <w:r w:rsidRPr="004E7F7B">
        <w:rPr>
          <w:rFonts w:ascii="Times New Roman" w:hAnsi="Times New Roman" w:cs="Times New Roman"/>
          <w:sz w:val="22"/>
          <w:szCs w:val="22"/>
        </w:rPr>
        <w:t>5.4</w:t>
      </w:r>
      <w:r w:rsidR="00FE7FEB" w:rsidRPr="004E7F7B">
        <w:rPr>
          <w:rFonts w:ascii="Times New Roman" w:hAnsi="Times New Roman" w:cs="Times New Roman"/>
          <w:sz w:val="22"/>
          <w:szCs w:val="22"/>
        </w:rPr>
        <w:t>.Electronic Document Management System(EBYS)</w:t>
      </w:r>
      <w:bookmarkEnd w:id="247"/>
      <w:bookmarkEnd w:id="248"/>
    </w:p>
    <w:p w:rsidR="00FE7FEB" w:rsidRPr="004E7F7B" w:rsidRDefault="00FE7FEB" w:rsidP="002A3D78">
      <w:r w:rsidRPr="004E7F7B">
        <w:t>EMS has been aligned with Ministry of Development E-Correspondence Package (EYP), TS 13298 standard, Regulation on Principles and Procedures to be Applied in Prime Ministry Official Documents, Prime Ministry Circular No. 2005/7 on Standard File Plan, Electronic Signature Law No. 5070 and Registered Electronic Mail (PEP) . Since January 2016, e-correspondence has been made with Electricity and Natural Gas Distribution Companies and public institutions and organizations. In EBYS, correspondence between public institutions and organizations, especially ministries, is compulsorily e-mailed to those with a certain PEP address.</w:t>
      </w:r>
    </w:p>
    <w:p w:rsidR="00FE7FEB" w:rsidRPr="004E7F7B" w:rsidRDefault="00FE7FEB" w:rsidP="002A3D78">
      <w:r w:rsidRPr="004E7F7B">
        <w:t>EMS continues to be used up-to-date with the new versions being passed on to the required requirements.</w:t>
      </w:r>
    </w:p>
    <w:p w:rsidR="00326E2E" w:rsidRPr="004E7F7B" w:rsidRDefault="00326E2E" w:rsidP="004E7F7B">
      <w:pPr>
        <w:pStyle w:val="Balk2"/>
        <w:spacing w:before="0" w:after="160"/>
        <w:rPr>
          <w:rFonts w:ascii="Times New Roman" w:hAnsi="Times New Roman" w:cs="Times New Roman"/>
          <w:color w:val="FF0000"/>
          <w:sz w:val="22"/>
          <w:szCs w:val="22"/>
        </w:rPr>
      </w:pPr>
      <w:bookmarkStart w:id="249" w:name="_Toc36205079"/>
      <w:bookmarkStart w:id="250" w:name="_Toc39153477"/>
      <w:bookmarkStart w:id="251" w:name="_Toc48817878"/>
      <w:r w:rsidRPr="004E7F7B">
        <w:rPr>
          <w:rFonts w:ascii="Times New Roman" w:hAnsi="Times New Roman" w:cs="Times New Roman"/>
          <w:sz w:val="22"/>
          <w:szCs w:val="22"/>
        </w:rPr>
        <w:t xml:space="preserve">5.5. </w:t>
      </w:r>
      <w:bookmarkEnd w:id="249"/>
      <w:bookmarkEnd w:id="250"/>
      <w:r w:rsidR="001C24F7" w:rsidRPr="004E7F7B">
        <w:rPr>
          <w:rFonts w:ascii="Times New Roman" w:hAnsi="Times New Roman" w:cs="Times New Roman"/>
          <w:color w:val="222222"/>
          <w:sz w:val="22"/>
          <w:szCs w:val="22"/>
          <w:lang w:val="en"/>
        </w:rPr>
        <w:t>National Electronic Notification System (UETS) Integration Studies</w:t>
      </w:r>
      <w:bookmarkEnd w:id="251"/>
    </w:p>
    <w:p w:rsidR="001C24F7" w:rsidRPr="004E7F7B" w:rsidRDefault="001C24F7" w:rsidP="00793DA9">
      <w:pPr>
        <w:rPr>
          <w:lang w:val="en"/>
        </w:rPr>
      </w:pPr>
      <w:r w:rsidRPr="004E7F7B">
        <w:rPr>
          <w:lang w:val="en"/>
        </w:rPr>
        <w:t>With the Law No. 7101 published in the Official Gazette dated 15.03.2018 and numbered 30361, PTT A.Ş. has been given the task of establishing and operating the National Electronic Notification System (UETS), and the "Electronic Notification Regulation" and Within the scope of the aforementioned law, "Electronic Notification Regulation" was published by the Ministry of Justice on December 6, 2018. Accordingly, the notification sender and recipient addresses, which will be sent via the UETS system as of January 1, 2019, will also be given through the system.</w:t>
      </w:r>
    </w:p>
    <w:p w:rsidR="00326E2E" w:rsidRPr="004E7F7B" w:rsidRDefault="001C24F7" w:rsidP="00793DA9">
      <w:pPr>
        <w:rPr>
          <w:color w:val="000000" w:themeColor="text1"/>
        </w:rPr>
      </w:pPr>
      <w:r w:rsidRPr="004E7F7B">
        <w:rPr>
          <w:lang w:val="en"/>
        </w:rPr>
        <w:t>According to the integration guide given to our Institution by PTT, efforts to integrate the UETS system into our EDMS system started on December 19, 2018. As of January 1, 2019, until the integration studies were completed, the physical notification system used in the past continued to be used. Testing has been started on 24.12.2019 for sending e-Notification documents from EDMS.</w:t>
      </w:r>
    </w:p>
    <w:p w:rsidR="00FE7FEB" w:rsidRPr="004E7F7B" w:rsidRDefault="007B28DF" w:rsidP="004E7F7B">
      <w:pPr>
        <w:pStyle w:val="Balk2"/>
        <w:rPr>
          <w:rFonts w:ascii="Times New Roman" w:hAnsi="Times New Roman" w:cs="Times New Roman"/>
          <w:sz w:val="22"/>
          <w:szCs w:val="22"/>
        </w:rPr>
      </w:pPr>
      <w:bookmarkStart w:id="252" w:name="_Toc48817879"/>
      <w:r w:rsidRPr="004E7F7B">
        <w:rPr>
          <w:rFonts w:ascii="Times New Roman" w:hAnsi="Times New Roman" w:cs="Times New Roman"/>
          <w:sz w:val="22"/>
          <w:szCs w:val="22"/>
        </w:rPr>
        <w:t>5.6</w:t>
      </w:r>
      <w:r w:rsidR="00A270F4" w:rsidRPr="004E7F7B">
        <w:rPr>
          <w:rFonts w:ascii="Times New Roman" w:hAnsi="Times New Roman" w:cs="Times New Roman"/>
          <w:sz w:val="22"/>
          <w:szCs w:val="22"/>
        </w:rPr>
        <w:t>.Authority’s Web P</w:t>
      </w:r>
      <w:r w:rsidR="00FE7FEB" w:rsidRPr="004E7F7B">
        <w:rPr>
          <w:rFonts w:ascii="Times New Roman" w:hAnsi="Times New Roman" w:cs="Times New Roman"/>
          <w:sz w:val="22"/>
          <w:szCs w:val="22"/>
        </w:rPr>
        <w:t>age</w:t>
      </w:r>
      <w:bookmarkEnd w:id="252"/>
      <w:r w:rsidR="00FE7FEB" w:rsidRPr="004E7F7B">
        <w:rPr>
          <w:rFonts w:ascii="Times New Roman" w:hAnsi="Times New Roman" w:cs="Times New Roman"/>
          <w:sz w:val="22"/>
          <w:szCs w:val="22"/>
        </w:rPr>
        <w:t xml:space="preserve"> </w:t>
      </w:r>
    </w:p>
    <w:p w:rsidR="007B28DF" w:rsidRPr="004E7F7B" w:rsidRDefault="00FE7FEB" w:rsidP="00793DA9">
      <w:r w:rsidRPr="004E7F7B">
        <w:t>EMRA website was launched on 12.04.2018. Improvements continue according to the requests of the users.</w:t>
      </w:r>
    </w:p>
    <w:p w:rsidR="00FE7FEB" w:rsidRPr="004E7F7B" w:rsidRDefault="007B28DF" w:rsidP="00793DA9">
      <w:r w:rsidRPr="004E7F7B">
        <w:t>In addition, the EMRA website has been redesigned and started on 01.11.2019 and the works continue.</w:t>
      </w:r>
    </w:p>
    <w:p w:rsidR="00A270F4" w:rsidRPr="004E7F7B" w:rsidRDefault="00A270F4" w:rsidP="004E7F7B">
      <w:pPr>
        <w:pStyle w:val="Balk2"/>
        <w:rPr>
          <w:rFonts w:ascii="Times New Roman" w:hAnsi="Times New Roman" w:cs="Times New Roman"/>
          <w:sz w:val="22"/>
          <w:szCs w:val="22"/>
        </w:rPr>
      </w:pPr>
      <w:bookmarkStart w:id="253" w:name="_Toc48817880"/>
      <w:r w:rsidRPr="004E7F7B">
        <w:rPr>
          <w:rFonts w:ascii="Times New Roman" w:hAnsi="Times New Roman" w:cs="Times New Roman"/>
          <w:sz w:val="22"/>
          <w:szCs w:val="22"/>
        </w:rPr>
        <w:t>5.7.Institutional Resource Planning (KKP)</w:t>
      </w:r>
      <w:bookmarkEnd w:id="253"/>
      <w:r w:rsidRPr="004E7F7B">
        <w:rPr>
          <w:rFonts w:ascii="Times New Roman" w:hAnsi="Times New Roman" w:cs="Times New Roman"/>
          <w:sz w:val="22"/>
          <w:szCs w:val="22"/>
        </w:rPr>
        <w:t xml:space="preserve"> </w:t>
      </w:r>
    </w:p>
    <w:p w:rsidR="00A270F4" w:rsidRPr="004E7F7B" w:rsidRDefault="00A270F4" w:rsidP="00793DA9">
      <w:r w:rsidRPr="004E7F7B">
        <w:t>Within the scope of the project, it is ensured that all institutional resource operations and transactions (permit, salary, accrual, purchase, etc.) operate in electronic environment and integrated with each other. In this frame, the feedbacks coming from the module users in 2019 were evaluated as request, error, development, support-troubleshooting, development and maintenance studies continued in all modules of the project within the year.</w:t>
      </w:r>
    </w:p>
    <w:p w:rsidR="00A270F4" w:rsidRPr="004E7F7B" w:rsidRDefault="00A270F4" w:rsidP="004E7F7B">
      <w:pPr>
        <w:pStyle w:val="Balk2"/>
        <w:rPr>
          <w:rFonts w:ascii="Times New Roman" w:hAnsi="Times New Roman" w:cs="Times New Roman"/>
          <w:sz w:val="22"/>
          <w:szCs w:val="22"/>
        </w:rPr>
      </w:pPr>
      <w:bookmarkStart w:id="254" w:name="_Toc48817881"/>
      <w:r w:rsidRPr="004E7F7B">
        <w:rPr>
          <w:rFonts w:ascii="Times New Roman" w:hAnsi="Times New Roman" w:cs="Times New Roman"/>
          <w:sz w:val="22"/>
          <w:szCs w:val="22"/>
        </w:rPr>
        <w:t>5.8 Electronic Signature</w:t>
      </w:r>
      <w:bookmarkEnd w:id="254"/>
    </w:p>
    <w:p w:rsidR="00E1629A" w:rsidRPr="004E7F7B" w:rsidRDefault="001C24F7" w:rsidP="00793DA9">
      <w:pPr>
        <w:rPr>
          <w:color w:val="FF0000"/>
        </w:rPr>
      </w:pPr>
      <w:r w:rsidRPr="004E7F7B">
        <w:rPr>
          <w:lang w:val="en"/>
        </w:rPr>
        <w:t>The Prime Ministry issued a circular on the establishment of a Public Certification Center (KSM) on 03.09.2014, and in this circular, in order to ensure that all public institutions and organizations work in a harmonious, interoperable and reliable structure in their business and transactions in electronic environments, the electronic certificate needs of all public institutions and organizations It was decided to be provided from the center.</w:t>
      </w:r>
    </w:p>
    <w:p w:rsidR="001C24F7" w:rsidRPr="004E7F7B" w:rsidRDefault="001C24F7" w:rsidP="00793DA9">
      <w:pPr>
        <w:rPr>
          <w:lang w:val="en"/>
        </w:rPr>
      </w:pPr>
      <w:r w:rsidRPr="004E7F7B">
        <w:rPr>
          <w:lang w:val="en"/>
        </w:rPr>
        <w:t xml:space="preserve">It is among the duties of our unit to operate and coordinate the electronic signature procurement and procurement process. Providing e-signature to new employees and renewal of expired e-signatures in order to be used in the works and transactions to be carried out in electronic environments in our institution, in accordance with the 2004/21, 2006/13 circulars of TÜBİTAK Bilişim And Information Security Advanced Technologies Research Center Presidency is made from the Public Certificate Center (KSM) as Qualified Electronic Certificate, VPN / Logon and Mini Card Reader valid for three years. </w:t>
      </w:r>
    </w:p>
    <w:p w:rsidR="00E1629A" w:rsidRPr="004E7F7B" w:rsidRDefault="001C24F7" w:rsidP="00793DA9">
      <w:pPr>
        <w:rPr>
          <w:color w:val="FF0000"/>
        </w:rPr>
      </w:pPr>
      <w:r w:rsidRPr="004E7F7B">
        <w:rPr>
          <w:lang w:val="en"/>
        </w:rPr>
        <w:t>A total of 38 Qualified Electronic Certificate requests were made in our institution between 01.01.2019 and 31.12.2019 and were met by KSM.</w:t>
      </w:r>
    </w:p>
    <w:p w:rsidR="00A270F4" w:rsidRPr="004E7F7B" w:rsidRDefault="0076204D" w:rsidP="004E7F7B">
      <w:pPr>
        <w:pStyle w:val="Balk2"/>
        <w:rPr>
          <w:rFonts w:ascii="Times New Roman" w:hAnsi="Times New Roman" w:cs="Times New Roman"/>
          <w:sz w:val="22"/>
          <w:szCs w:val="22"/>
        </w:rPr>
      </w:pPr>
      <w:bookmarkStart w:id="255" w:name="_Toc48817882"/>
      <w:r w:rsidRPr="004E7F7B">
        <w:rPr>
          <w:rFonts w:ascii="Times New Roman" w:hAnsi="Times New Roman" w:cs="Times New Roman"/>
          <w:sz w:val="22"/>
          <w:szCs w:val="22"/>
        </w:rPr>
        <w:t>5.9 EPARS</w:t>
      </w:r>
      <w:bookmarkEnd w:id="255"/>
    </w:p>
    <w:p w:rsidR="00E1629A" w:rsidRPr="004E7F7B" w:rsidRDefault="0052361D" w:rsidP="00793DA9">
      <w:pPr>
        <w:rPr>
          <w:color w:val="FF0000"/>
        </w:rPr>
      </w:pPr>
      <w:r w:rsidRPr="004E7F7B">
        <w:rPr>
          <w:lang w:val="en"/>
        </w:rPr>
        <w:t>The Energy Market Analysis and Reporting System (EPARS), which serves the personnel of our institution, is a system established for the analysis and reporting of energy market information required by our Authority. Data that can be meaningful for analysis and reporting on all systems used in the institution have been transferred to EPARS data warehouses, and other meaningful data continue to be transferred to these data warehouses in line with the requests. With EPARS, data in these data warehouses can be queried and reports can be created by analyzing them.</w:t>
      </w:r>
      <w:r w:rsidR="00E1629A" w:rsidRPr="004E7F7B">
        <w:rPr>
          <w:color w:val="FF0000"/>
        </w:rPr>
        <w:t xml:space="preserve">  </w:t>
      </w:r>
    </w:p>
    <w:p w:rsidR="00367CE6" w:rsidRPr="004E7F7B" w:rsidRDefault="0052361D" w:rsidP="00793DA9">
      <w:pPr>
        <w:rPr>
          <w:color w:val="FF0000"/>
        </w:rPr>
      </w:pPr>
      <w:r w:rsidRPr="004E7F7B">
        <w:rPr>
          <w:lang w:val="en"/>
        </w:rPr>
        <w:t>Within the scope of EPARS, our authorized Authority personnel can dynamically generate their own reports, as well as use data that can be queried quickly depending on more than one parameter and fixed reports prepared with this data. In reports; The license data of the oil, LPG, electricity and natural gas markets and the data obtained from the notifications sent to our Authority by companies operating in the said sectors. The integrity checks of the data sent by the companies are also made with EPARS cross-check reports.</w:t>
      </w:r>
    </w:p>
    <w:p w:rsidR="00E1629A" w:rsidRPr="004E7F7B" w:rsidRDefault="00367CE6" w:rsidP="00793DA9">
      <w:pPr>
        <w:rPr>
          <w:color w:val="FF0000"/>
        </w:rPr>
      </w:pPr>
      <w:r w:rsidRPr="004E7F7B">
        <w:t>In 2019, 76 new reports were created in line with the report requests from the Departments, and 109 existing reports were updated and made available to the personnel of the authorized Institution. Necessary web service inquiries were prepared to meet data requests from other public institutions.</w:t>
      </w:r>
    </w:p>
    <w:p w:rsidR="00367CE6" w:rsidRPr="004E7F7B" w:rsidRDefault="00367CE6" w:rsidP="00793DA9">
      <w:pPr>
        <w:rPr>
          <w:noProof w:val="0"/>
          <w:lang w:val="en-CA"/>
        </w:rPr>
      </w:pPr>
      <w:r w:rsidRPr="004E7F7B">
        <w:t xml:space="preserve">During the year, maintenance, security, test and performance studies were routinely maintained in data management and business intelligence servers. </w:t>
      </w:r>
      <w:r w:rsidRPr="004E7F7B">
        <w:rPr>
          <w:noProof w:val="0"/>
          <w:lang w:val="en-CA"/>
        </w:rPr>
        <w:t xml:space="preserve">Following the relocation of the service building of the Authority in December 2019, operating system upgrades and capacity improvement activities have been concluded for data management and business intelligence servers.  </w:t>
      </w:r>
      <w:r w:rsidRPr="004E7F7B">
        <w:t>Some systems to increase service continuity have been put into operation.</w:t>
      </w:r>
    </w:p>
    <w:p w:rsidR="00FE7FEB" w:rsidRPr="004E7F7B" w:rsidRDefault="0076204D" w:rsidP="004E7F7B">
      <w:pPr>
        <w:pStyle w:val="Balk2"/>
        <w:rPr>
          <w:rFonts w:ascii="Times New Roman" w:hAnsi="Times New Roman" w:cs="Times New Roman"/>
          <w:sz w:val="22"/>
          <w:szCs w:val="22"/>
        </w:rPr>
      </w:pPr>
      <w:bookmarkStart w:id="256" w:name="_Toc514251675"/>
      <w:bookmarkStart w:id="257" w:name="_Toc48817883"/>
      <w:r w:rsidRPr="004E7F7B">
        <w:rPr>
          <w:rFonts w:ascii="Times New Roman" w:hAnsi="Times New Roman" w:cs="Times New Roman"/>
          <w:sz w:val="22"/>
          <w:szCs w:val="22"/>
        </w:rPr>
        <w:t>5.10</w:t>
      </w:r>
      <w:r w:rsidR="00FE7FEB" w:rsidRPr="004E7F7B">
        <w:rPr>
          <w:rFonts w:ascii="Times New Roman" w:hAnsi="Times New Roman" w:cs="Times New Roman"/>
          <w:sz w:val="22"/>
          <w:szCs w:val="22"/>
        </w:rPr>
        <w:t>.Energy Market Database Management System (EPVYS)</w:t>
      </w:r>
      <w:bookmarkEnd w:id="256"/>
      <w:bookmarkEnd w:id="257"/>
    </w:p>
    <w:p w:rsidR="00FE7FEB" w:rsidRPr="004E7F7B" w:rsidRDefault="00FE7FEB" w:rsidP="00793DA9">
      <w:r w:rsidRPr="004E7F7B">
        <w:t>To fulfill the duties assigned to the institution by legislation; a computerized system has been established and commissioned in order to realize productivity and performance increase in a fast and secure electronic environment and to work with other institutions and organizations. In this context, developments and updates are made in line with the requirements related to License, Contact, Tariff, Litigation, Audit and Administrative Penalties related to companies operating in Electricity, Natural Gas, Petroleum and LPG markets. In this context, the studies carried out in 201</w:t>
      </w:r>
      <w:r w:rsidR="00DA7295" w:rsidRPr="004E7F7B">
        <w:t>9</w:t>
      </w:r>
      <w:r w:rsidRPr="004E7F7B">
        <w:t xml:space="preserve"> are as follows;</w:t>
      </w:r>
    </w:p>
    <w:p w:rsidR="00FE7FEB" w:rsidRPr="004E7F7B" w:rsidRDefault="00FE7FEB" w:rsidP="007B4A7D">
      <w:pPr>
        <w:pStyle w:val="ListeParagraf"/>
        <w:numPr>
          <w:ilvl w:val="0"/>
          <w:numId w:val="7"/>
        </w:numPr>
        <w:spacing w:after="12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EPVYS software development was taken over from TUBITAK and software development procedures were done by the institution personnel.</w:t>
      </w:r>
    </w:p>
    <w:p w:rsidR="00DA7295" w:rsidRPr="004E7F7B" w:rsidRDefault="00FE7FEB" w:rsidP="007B4A7D">
      <w:pPr>
        <w:pStyle w:val="ListeParagraf"/>
        <w:numPr>
          <w:ilvl w:val="0"/>
          <w:numId w:val="7"/>
        </w:numPr>
        <w:spacing w:after="200" w:line="276" w:lineRule="auto"/>
        <w:rPr>
          <w:rFonts w:ascii="Times New Roman" w:hAnsi="Times New Roman" w:cs="Times New Roman"/>
        </w:rPr>
      </w:pPr>
      <w:r w:rsidRPr="004E7F7B">
        <w:rPr>
          <w:rFonts w:ascii="Times New Roman" w:hAnsi="Times New Roman" w:cs="Times New Roman"/>
        </w:rPr>
        <w:t>YEKDEM Ap</w:t>
      </w:r>
      <w:r w:rsidR="00DA7295" w:rsidRPr="004E7F7B">
        <w:rPr>
          <w:rFonts w:ascii="Times New Roman" w:hAnsi="Times New Roman" w:cs="Times New Roman"/>
        </w:rPr>
        <w:t>plications were received online.</w:t>
      </w:r>
    </w:p>
    <w:p w:rsidR="00E1629A" w:rsidRPr="004E7F7B" w:rsidRDefault="00FF7B9A"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Within the scope of r</w:t>
      </w:r>
      <w:r w:rsidR="00643FA9" w:rsidRPr="004E7F7B">
        <w:rPr>
          <w:rFonts w:ascii="Times New Roman" w:hAnsi="Times New Roman" w:cs="Times New Roman"/>
          <w:lang w:val="en"/>
        </w:rPr>
        <w:t xml:space="preserve">eduction of bureaucracy and Digital Turkey </w:t>
      </w:r>
      <w:r w:rsidRPr="004E7F7B">
        <w:rPr>
          <w:rFonts w:ascii="Times New Roman" w:hAnsi="Times New Roman" w:cs="Times New Roman"/>
          <w:lang w:val="en"/>
        </w:rPr>
        <w:t xml:space="preserve">studies, </w:t>
      </w:r>
      <w:r w:rsidR="00643FA9" w:rsidRPr="004E7F7B">
        <w:rPr>
          <w:rFonts w:ascii="Times New Roman" w:hAnsi="Times New Roman" w:cs="Times New Roman"/>
          <w:lang w:val="en"/>
        </w:rPr>
        <w:t xml:space="preserve">natural gas, petroleum and LPG markets </w:t>
      </w:r>
      <w:r w:rsidRPr="004E7F7B">
        <w:rPr>
          <w:rFonts w:ascii="Times New Roman" w:hAnsi="Times New Roman" w:cs="Times New Roman"/>
          <w:lang w:val="en"/>
        </w:rPr>
        <w:t xml:space="preserve">the procedures of all </w:t>
      </w:r>
      <w:r w:rsidR="00643FA9" w:rsidRPr="004E7F7B">
        <w:rPr>
          <w:rFonts w:ascii="Times New Roman" w:hAnsi="Times New Roman" w:cs="Times New Roman"/>
          <w:lang w:val="en"/>
        </w:rPr>
        <w:t>New License Application</w:t>
      </w:r>
      <w:r w:rsidRPr="004E7F7B">
        <w:rPr>
          <w:rFonts w:ascii="Times New Roman" w:hAnsi="Times New Roman" w:cs="Times New Roman"/>
          <w:lang w:val="en"/>
        </w:rPr>
        <w:t>s</w:t>
      </w:r>
      <w:r w:rsidR="00643FA9" w:rsidRPr="004E7F7B">
        <w:rPr>
          <w:rFonts w:ascii="Times New Roman" w:hAnsi="Times New Roman" w:cs="Times New Roman"/>
          <w:lang w:val="en"/>
        </w:rPr>
        <w:t>, Amendment, Duration extension, Termination a</w:t>
      </w:r>
      <w:r w:rsidRPr="004E7F7B">
        <w:rPr>
          <w:rFonts w:ascii="Times New Roman" w:hAnsi="Times New Roman" w:cs="Times New Roman"/>
          <w:lang w:val="en"/>
        </w:rPr>
        <w:t xml:space="preserve">nd Copying </w:t>
      </w:r>
      <w:r w:rsidR="00643FA9" w:rsidRPr="004E7F7B">
        <w:rPr>
          <w:rFonts w:ascii="Times New Roman" w:hAnsi="Times New Roman" w:cs="Times New Roman"/>
          <w:lang w:val="en"/>
        </w:rPr>
        <w:t xml:space="preserve"> have been taken </w:t>
      </w:r>
      <w:r w:rsidRPr="004E7F7B">
        <w:rPr>
          <w:rFonts w:ascii="Times New Roman" w:hAnsi="Times New Roman" w:cs="Times New Roman"/>
          <w:lang w:val="en"/>
        </w:rPr>
        <w:t xml:space="preserve">via </w:t>
      </w:r>
      <w:r w:rsidR="00643FA9" w:rsidRPr="004E7F7B">
        <w:rPr>
          <w:rFonts w:ascii="Times New Roman" w:hAnsi="Times New Roman" w:cs="Times New Roman"/>
          <w:lang w:val="en"/>
        </w:rPr>
        <w:t>EMRA Application System electronically.</w:t>
      </w:r>
      <w:r w:rsidR="00E1629A" w:rsidRPr="004E7F7B">
        <w:rPr>
          <w:rFonts w:ascii="Times New Roman" w:hAnsi="Times New Roman" w:cs="Times New Roman"/>
        </w:rPr>
        <w:t xml:space="preserve"> </w:t>
      </w:r>
    </w:p>
    <w:p w:rsidR="00E1629A" w:rsidRPr="004E7F7B" w:rsidRDefault="00FF7B9A"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Within the scope of reduction of bureaucracy and Digital Turkey studies Electricity and Gas subscriber</w:t>
      </w:r>
      <w:r w:rsidR="00436782" w:rsidRPr="004E7F7B">
        <w:rPr>
          <w:rFonts w:ascii="Times New Roman" w:hAnsi="Times New Roman" w:cs="Times New Roman"/>
          <w:lang w:val="en"/>
        </w:rPr>
        <w:t>s’</w:t>
      </w:r>
      <w:r w:rsidRPr="004E7F7B">
        <w:rPr>
          <w:rFonts w:ascii="Times New Roman" w:hAnsi="Times New Roman" w:cs="Times New Roman"/>
          <w:lang w:val="en"/>
        </w:rPr>
        <w:t xml:space="preserve"> subscription application</w:t>
      </w:r>
      <w:r w:rsidR="00436782" w:rsidRPr="004E7F7B">
        <w:rPr>
          <w:rFonts w:ascii="Times New Roman" w:hAnsi="Times New Roman" w:cs="Times New Roman"/>
          <w:lang w:val="en"/>
        </w:rPr>
        <w:t>s,</w:t>
      </w:r>
      <w:r w:rsidRPr="004E7F7B">
        <w:rPr>
          <w:rFonts w:ascii="Times New Roman" w:hAnsi="Times New Roman" w:cs="Times New Roman"/>
          <w:lang w:val="en"/>
        </w:rPr>
        <w:t xml:space="preserve"> </w:t>
      </w:r>
      <w:r w:rsidR="00436782" w:rsidRPr="004E7F7B">
        <w:rPr>
          <w:rFonts w:ascii="Times New Roman" w:hAnsi="Times New Roman" w:cs="Times New Roman"/>
          <w:lang w:val="en"/>
        </w:rPr>
        <w:t xml:space="preserve">Debt Termination and  the interrogation process are enabled </w:t>
      </w:r>
      <w:r w:rsidRPr="004E7F7B">
        <w:rPr>
          <w:rFonts w:ascii="Times New Roman" w:hAnsi="Times New Roman" w:cs="Times New Roman"/>
          <w:lang w:val="en"/>
        </w:rPr>
        <w:t xml:space="preserve"> to be made via e-government</w:t>
      </w:r>
      <w:r w:rsidR="00E1629A" w:rsidRPr="004E7F7B">
        <w:rPr>
          <w:rFonts w:ascii="Times New Roman" w:hAnsi="Times New Roman" w:cs="Times New Roman"/>
        </w:rPr>
        <w:t>.</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 xml:space="preserve">The audits made on behalf of the Authority started to be made online over the Field Audit System (SDS). The audit processes were updated within the scope of the new legislation and started to be managed electronically over SDS and Investigation Management System (SYS). </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 xml:space="preserve">Natural Gas Market Spot Pipeline Gas Capacity Demand Gathering and Competitions started to be held online via EMRA Application System. </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The necessary developments for receiving the expropriation applications electronically through EMRA Application System have been completed and the testing of the online expropriation applications has started.</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Petroleum Market National Marker purchasing process started to be managed end-to-end online via EMRA Application System.</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The analysis and design studies required for the creation of text templates used in Electricity Market License processes over EPVYS and process management through EPVYS have been completed, and software development processes have started.</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 xml:space="preserve">Software development studies have been initiated so that the LPG Market Warehouse Tracking System data can be entered through the EMRA Application System. </w:t>
      </w:r>
    </w:p>
    <w:p w:rsidR="00E1629A" w:rsidRPr="004E7F7B" w:rsidRDefault="0052361D" w:rsidP="007B4A7D">
      <w:pPr>
        <w:pStyle w:val="ListeParagraf"/>
        <w:numPr>
          <w:ilvl w:val="0"/>
          <w:numId w:val="7"/>
        </w:numPr>
        <w:spacing w:line="276" w:lineRule="auto"/>
        <w:rPr>
          <w:rFonts w:ascii="Times New Roman" w:hAnsi="Times New Roman" w:cs="Times New Roman"/>
        </w:rPr>
      </w:pPr>
      <w:r w:rsidRPr="004E7F7B">
        <w:rPr>
          <w:rFonts w:ascii="Times New Roman" w:hAnsi="Times New Roman" w:cs="Times New Roman"/>
          <w:lang w:val="en"/>
        </w:rPr>
        <w:t>Within the scope of the Presidential National Data Dictionary (UVS) project, studies on the National Data Dictionary were initiated.</w:t>
      </w:r>
    </w:p>
    <w:p w:rsidR="00DA7295" w:rsidRPr="004E7F7B" w:rsidRDefault="0052361D" w:rsidP="007B4A7D">
      <w:pPr>
        <w:pStyle w:val="ListeParagraf"/>
        <w:numPr>
          <w:ilvl w:val="0"/>
          <w:numId w:val="7"/>
        </w:numPr>
        <w:spacing w:line="276" w:lineRule="auto"/>
        <w:rPr>
          <w:rFonts w:ascii="Times New Roman" w:hAnsi="Times New Roman" w:cs="Times New Roman"/>
          <w:color w:val="FF0000"/>
        </w:rPr>
      </w:pPr>
      <w:r w:rsidRPr="004E7F7B">
        <w:rPr>
          <w:rFonts w:ascii="Times New Roman" w:hAnsi="Times New Roman" w:cs="Times New Roman"/>
          <w:lang w:val="en"/>
        </w:rPr>
        <w:t>Efforts are underway to speed up the transactions by taking license and license amendment applications, certificates, permits, YEKDEM and expropriation transactions electronically, simplifying / reducing the required documents and not physically obtaining documents that can be obtained electronically</w:t>
      </w:r>
      <w:r w:rsidRPr="004E7F7B">
        <w:rPr>
          <w:rFonts w:ascii="Times New Roman" w:hAnsi="Times New Roman" w:cs="Times New Roman"/>
          <w:color w:val="222222"/>
          <w:lang w:val="en"/>
        </w:rPr>
        <w:t>.</w:t>
      </w:r>
    </w:p>
    <w:p w:rsidR="00DA7295" w:rsidRPr="004E7F7B" w:rsidRDefault="00DA7295" w:rsidP="007B4A7D">
      <w:pPr>
        <w:pStyle w:val="ListeParagraf"/>
        <w:numPr>
          <w:ilvl w:val="0"/>
          <w:numId w:val="7"/>
        </w:numPr>
        <w:spacing w:after="200" w:line="276" w:lineRule="auto"/>
        <w:rPr>
          <w:rFonts w:ascii="Times New Roman" w:hAnsi="Times New Roman" w:cs="Times New Roman"/>
        </w:rPr>
      </w:pPr>
      <w:r w:rsidRPr="004E7F7B">
        <w:rPr>
          <w:rFonts w:ascii="Times New Roman" w:hAnsi="Times New Roman" w:cs="Times New Roman"/>
          <w:color w:val="000000" w:themeColor="text1"/>
        </w:rPr>
        <w:t>Work has been done for the receival of application for recruitment through internet.</w:t>
      </w:r>
      <w:r w:rsidRPr="004E7F7B">
        <w:rPr>
          <w:rFonts w:ascii="Times New Roman" w:hAnsi="Times New Roman" w:cs="Times New Roman"/>
        </w:rPr>
        <w:t xml:space="preserve"> In 2019, Engineer and management officer job application were received through the online job application module.</w:t>
      </w:r>
    </w:p>
    <w:p w:rsidR="00FE7FEB" w:rsidRPr="004E7F7B" w:rsidRDefault="0076204D" w:rsidP="004E7F7B">
      <w:pPr>
        <w:pStyle w:val="Balk2"/>
        <w:rPr>
          <w:rFonts w:ascii="Times New Roman" w:hAnsi="Times New Roman" w:cs="Times New Roman"/>
          <w:sz w:val="22"/>
          <w:szCs w:val="22"/>
        </w:rPr>
      </w:pPr>
      <w:bookmarkStart w:id="258" w:name="_Toc514251676"/>
      <w:bookmarkStart w:id="259" w:name="_Toc48817884"/>
      <w:r w:rsidRPr="004E7F7B">
        <w:rPr>
          <w:rFonts w:ascii="Times New Roman" w:hAnsi="Times New Roman" w:cs="Times New Roman"/>
          <w:sz w:val="22"/>
          <w:szCs w:val="22"/>
        </w:rPr>
        <w:t>5.11</w:t>
      </w:r>
      <w:r w:rsidR="00FE7FEB" w:rsidRPr="004E7F7B">
        <w:rPr>
          <w:rFonts w:ascii="Times New Roman" w:hAnsi="Times New Roman" w:cs="Times New Roman"/>
          <w:sz w:val="22"/>
          <w:szCs w:val="22"/>
        </w:rPr>
        <w:t>.Data Sharing with other Institutions and Organiazations (Data Access and Sharing System(VEPS))</w:t>
      </w:r>
      <w:bookmarkEnd w:id="258"/>
      <w:bookmarkEnd w:id="259"/>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Integration with the Presidential Performance Tracking System.</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Software development studies have been initiated in order to receive LPG Market Warehouse Tracking System data via web service.</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Electricity Market Wind and Solar new license applications were obtained online from the General Directorate of Meteorology (GDM) for station information and measurement results report.</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Electricity Market Wind and Solar new license applications and request information for amendment applications started to be shared with the General Directorate of Energy Affairs (EIGM) via web service.</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The results of the Natural Gas Market Spot Pipeline Gas Capacity Competition started to be published on the web service.</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In accordance with the update made in the Fuel Dealers Automation System forms, the data shared with the institutions where data is shared were updated with web services.</w:t>
      </w:r>
    </w:p>
    <w:p w:rsidR="00DF2D35" w:rsidRPr="004E7F7B" w:rsidRDefault="00DF2D35" w:rsidP="007B4A7D">
      <w:pPr>
        <w:pStyle w:val="ListeParagraf"/>
        <w:numPr>
          <w:ilvl w:val="0"/>
          <w:numId w:val="11"/>
        </w:numPr>
        <w:rPr>
          <w:rFonts w:ascii="Times New Roman" w:hAnsi="Times New Roman" w:cs="Times New Roman"/>
        </w:rPr>
      </w:pPr>
      <w:r w:rsidRPr="004E7F7B">
        <w:rPr>
          <w:rFonts w:ascii="Times New Roman" w:hAnsi="Times New Roman" w:cs="Times New Roman"/>
        </w:rPr>
        <w:t>TEİAŞ Load Dispatch Information has been started to be received via VEPS.</w:t>
      </w:r>
    </w:p>
    <w:p w:rsidR="00DA7295" w:rsidRPr="004E7F7B" w:rsidRDefault="00DA7295" w:rsidP="007B4A7D">
      <w:pPr>
        <w:pStyle w:val="ListeParagraf"/>
        <w:numPr>
          <w:ilvl w:val="0"/>
          <w:numId w:val="11"/>
        </w:numPr>
        <w:rPr>
          <w:rFonts w:ascii="Times New Roman" w:hAnsi="Times New Roman" w:cs="Times New Roman"/>
        </w:rPr>
      </w:pPr>
      <w:r w:rsidRPr="004E7F7B">
        <w:rPr>
          <w:rFonts w:ascii="Times New Roman" w:hAnsi="Times New Roman" w:cs="Times New Roman"/>
        </w:rPr>
        <w:t>Necessary updates have been made for the requests of data from the web service from other institutions and the communication of internal applications via web service.</w:t>
      </w:r>
    </w:p>
    <w:p w:rsidR="00DA7295" w:rsidRPr="004E7F7B" w:rsidRDefault="00DA7295" w:rsidP="004E7F7B">
      <w:pPr>
        <w:pStyle w:val="ListeParagraf"/>
        <w:rPr>
          <w:rFonts w:ascii="Times New Roman" w:hAnsi="Times New Roman" w:cs="Times New Roman"/>
        </w:rPr>
      </w:pPr>
    </w:p>
    <w:p w:rsidR="00FE7FEB" w:rsidRPr="004E7F7B" w:rsidRDefault="0076204D" w:rsidP="004E7F7B">
      <w:pPr>
        <w:pStyle w:val="Balk2"/>
        <w:rPr>
          <w:rFonts w:ascii="Times New Roman" w:hAnsi="Times New Roman" w:cs="Times New Roman"/>
          <w:sz w:val="22"/>
          <w:szCs w:val="22"/>
        </w:rPr>
      </w:pPr>
      <w:bookmarkStart w:id="260" w:name="_Toc514251677"/>
      <w:bookmarkStart w:id="261" w:name="_Toc48817885"/>
      <w:r w:rsidRPr="004E7F7B">
        <w:rPr>
          <w:rFonts w:ascii="Times New Roman" w:hAnsi="Times New Roman" w:cs="Times New Roman"/>
          <w:sz w:val="22"/>
          <w:szCs w:val="22"/>
        </w:rPr>
        <w:t>5.12</w:t>
      </w:r>
      <w:r w:rsidR="00FE7FEB" w:rsidRPr="004E7F7B">
        <w:rPr>
          <w:rFonts w:ascii="Times New Roman" w:hAnsi="Times New Roman" w:cs="Times New Roman"/>
          <w:sz w:val="22"/>
          <w:szCs w:val="22"/>
        </w:rPr>
        <w:t>.Electronic Notification System (EBİS)</w:t>
      </w:r>
      <w:bookmarkEnd w:id="260"/>
      <w:bookmarkEnd w:id="261"/>
    </w:p>
    <w:p w:rsidR="00FE7FEB" w:rsidRPr="004E7F7B" w:rsidRDefault="00212C9A" w:rsidP="00793DA9">
      <w:pPr>
        <w:rPr>
          <w:lang w:val="en-GB"/>
        </w:rPr>
      </w:pPr>
      <w:r w:rsidRPr="004E7F7B">
        <w:rPr>
          <w:lang w:val="en-GB"/>
        </w:rPr>
        <w:t xml:space="preserve">EBIS software development was made by the Authority staff in line with the requests from the units. </w:t>
      </w:r>
      <w:r w:rsidRPr="004E7F7B">
        <w:t>The data received via the notification system are used to prepare the annual and monthly sector reports published by the Authority and the said reports are published on the website of the Authority. The forms in the Fuel Dealers Automation System have been updated and the data has been started to taken in the current format.</w:t>
      </w:r>
    </w:p>
    <w:p w:rsidR="00FE7FEB" w:rsidRPr="004E7F7B" w:rsidRDefault="00FE7FEB" w:rsidP="004E7F7B">
      <w:pPr>
        <w:rPr>
          <w:rFonts w:ascii="Times New Roman" w:hAnsi="Times New Roman" w:cs="Times New Roman"/>
        </w:rPr>
      </w:pP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262" w:name="_Toc48817886"/>
      <w:r w:rsidRPr="004E7F7B">
        <w:rPr>
          <w:rFonts w:ascii="Times New Roman" w:hAnsi="Times New Roman" w:cs="Times New Roman"/>
          <w:sz w:val="22"/>
          <w:szCs w:val="22"/>
        </w:rPr>
        <w:t>6.     AUDIT</w:t>
      </w:r>
      <w:bookmarkEnd w:id="262"/>
      <w:r w:rsidRPr="004E7F7B">
        <w:rPr>
          <w:rFonts w:ascii="Times New Roman" w:hAnsi="Times New Roman" w:cs="Times New Roman"/>
          <w:sz w:val="22"/>
          <w:szCs w:val="22"/>
        </w:rPr>
        <w:tab/>
      </w:r>
    </w:p>
    <w:p w:rsidR="00FE7FEB" w:rsidRPr="004E7F7B" w:rsidRDefault="00FE7FEB" w:rsidP="00793DA9">
      <w:r w:rsidRPr="004E7F7B">
        <w:t>The Authority is authorized to audit energy markets under Laws 4628, 4646, 5015, 5307 and 6446. In this context, it has been determined how to conduct inspections and investigations by means of four separate regulations on Electricity, Natural Gas, Petroleum and LPG markets, and the procedures and principles to be followed in preliminary investigations and investigations.</w:t>
      </w:r>
    </w:p>
    <w:p w:rsidR="00FE7FEB" w:rsidRPr="004E7F7B" w:rsidRDefault="00FE7FEB" w:rsidP="00793DA9">
      <w:r w:rsidRPr="004E7F7B">
        <w:t>The Board may decide ex-officio or through the complaints or denunciations filed into the authority whether to directly conduct an investigation or a preliminary examination to search for the necessity of a direct investigation against the legal and real persons in breach of related legislation. In this respect, necessary amendments have been made after the Law on the Amendment of the Electricity Market Law and the Law on Electricity Market Law No: 6719 in the regulations regarding the execution of the inspection, preliminary examination and investigation activities to be carried out in Electricity, Natural Gas, Petroleum and LPG markets and the related regulations were published in Official Gazette dated 04/01/2017 and numbered 29938. With the amendments made, the Board has delegated the authority to open preliminary investigations and investigations to the Presidency or to the Department Head.</w:t>
      </w:r>
    </w:p>
    <w:p w:rsidR="00FE7FEB" w:rsidRPr="004E7F7B" w:rsidRDefault="00FE7FEB" w:rsidP="00793DA9">
      <w:r w:rsidRPr="004E7F7B">
        <w:t>The Authority audits the market activities through its own staff or by through service procurement from public institutions and organizations and private audit institutions.</w:t>
      </w:r>
    </w:p>
    <w:p w:rsidR="00FE7FEB" w:rsidRPr="004E7F7B" w:rsidRDefault="00FE7FEB" w:rsidP="00793DA9">
      <w:r w:rsidRPr="004E7F7B">
        <w:t>Audit work carried out by the relevant organizations on behalf of the Authority  under Petroleum Market and Liquefied Petroleum Gases (LPG) Market Cooperation Protocols on Inspections to be carried out continued intensely in 201</w:t>
      </w:r>
      <w:r w:rsidR="00212C9A" w:rsidRPr="004E7F7B">
        <w:t>9</w:t>
      </w:r>
      <w:r w:rsidRPr="004E7F7B">
        <w:t xml:space="preserve"> as well.</w:t>
      </w:r>
    </w:p>
    <w:p w:rsidR="00FE7FEB" w:rsidRPr="004E7F7B" w:rsidRDefault="00FE7FEB" w:rsidP="004E7F7B">
      <w:pPr>
        <w:pStyle w:val="Balk2"/>
        <w:rPr>
          <w:rFonts w:ascii="Times New Roman" w:hAnsi="Times New Roman" w:cs="Times New Roman"/>
          <w:sz w:val="22"/>
          <w:szCs w:val="22"/>
        </w:rPr>
      </w:pPr>
      <w:bookmarkStart w:id="263" w:name="_Toc442431302"/>
      <w:bookmarkStart w:id="264" w:name="_Toc505346108"/>
      <w:bookmarkStart w:id="265" w:name="_Toc514251686"/>
      <w:bookmarkStart w:id="266" w:name="_Toc48817887"/>
      <w:r w:rsidRPr="004E7F7B">
        <w:rPr>
          <w:rFonts w:ascii="Times New Roman" w:hAnsi="Times New Roman" w:cs="Times New Roman"/>
          <w:sz w:val="22"/>
          <w:szCs w:val="22"/>
        </w:rPr>
        <w:t>6.1.Electricity Market Audit Activities</w:t>
      </w:r>
      <w:bookmarkEnd w:id="263"/>
      <w:bookmarkEnd w:id="264"/>
      <w:bookmarkEnd w:id="265"/>
      <w:bookmarkEnd w:id="266"/>
    </w:p>
    <w:p w:rsidR="00FE7FEB" w:rsidRPr="004E7F7B" w:rsidRDefault="00FE7FEB" w:rsidP="00793DA9">
      <w:r w:rsidRPr="004E7F7B">
        <w:t>As a result of the inspections and investigations carried out in the Electricity Market, sanctions and penalties in accordance with Article 16 of the</w:t>
      </w:r>
      <w:r w:rsidR="00212C9A" w:rsidRPr="004E7F7B">
        <w:t xml:space="preserve"> Electricity Market</w:t>
      </w:r>
      <w:r w:rsidRPr="004E7F7B">
        <w:t xml:space="preserve"> Law No. 6446 are applied.</w:t>
      </w:r>
    </w:p>
    <w:p w:rsidR="00FE7FEB" w:rsidRPr="004E7F7B" w:rsidRDefault="00FE7FEB" w:rsidP="00793DA9">
      <w:r w:rsidRPr="004E7F7B">
        <w:t>In 201</w:t>
      </w:r>
      <w:r w:rsidR="00E27309" w:rsidRPr="004E7F7B">
        <w:t>9</w:t>
      </w:r>
      <w:r w:rsidRPr="004E7F7B">
        <w:t xml:space="preserve">, </w:t>
      </w:r>
      <w:r w:rsidR="00E27309" w:rsidRPr="004E7F7B">
        <w:t>80</w:t>
      </w:r>
      <w:r w:rsidRPr="004E7F7B">
        <w:t xml:space="preserve"> new inquiries have been initiated about the companies that have been registered in the Electricity Market in violation of the legislation. Within the scope of ongoing investigations, </w:t>
      </w:r>
      <w:r w:rsidR="00E27309" w:rsidRPr="004E7F7B">
        <w:t>311</w:t>
      </w:r>
      <w:r w:rsidRPr="004E7F7B">
        <w:t xml:space="preserve"> sanctions were imposed in 201</w:t>
      </w:r>
      <w:r w:rsidR="00E27309" w:rsidRPr="004E7F7B">
        <w:t>9</w:t>
      </w:r>
      <w:r w:rsidRPr="004E7F7B">
        <w:t xml:space="preserve">; About </w:t>
      </w:r>
      <w:r w:rsidR="00E27309" w:rsidRPr="004E7F7B">
        <w:t>45</w:t>
      </w:r>
      <w:r w:rsidRPr="004E7F7B">
        <w:t xml:space="preserve"> license holders Total of </w:t>
      </w:r>
      <w:r w:rsidR="00E27309" w:rsidRPr="004E7F7B">
        <w:t>26.067.134,TL</w:t>
      </w:r>
      <w:r w:rsidRPr="004E7F7B">
        <w:t xml:space="preserve">, </w:t>
      </w:r>
      <w:r w:rsidR="00E27309" w:rsidRPr="004E7F7B">
        <w:t>52</w:t>
      </w:r>
      <w:r w:rsidRPr="004E7F7B">
        <w:t xml:space="preserve"> administrative fine sanctions were imposed. During th</w:t>
      </w:r>
      <w:r w:rsidR="00E27309" w:rsidRPr="004E7F7B">
        <w:t>e year, licenses of 1</w:t>
      </w:r>
      <w:r w:rsidRPr="004E7F7B">
        <w:t xml:space="preserve"> license holders were revoked.</w:t>
      </w:r>
    </w:p>
    <w:p w:rsidR="00FE7FEB" w:rsidRPr="004E7F7B" w:rsidRDefault="00FE7FEB" w:rsidP="004E7F7B">
      <w:pPr>
        <w:pStyle w:val="Balk2"/>
        <w:rPr>
          <w:rFonts w:ascii="Times New Roman" w:hAnsi="Times New Roman" w:cs="Times New Roman"/>
          <w:sz w:val="22"/>
          <w:szCs w:val="22"/>
        </w:rPr>
      </w:pPr>
      <w:bookmarkStart w:id="267" w:name="_Toc442431303"/>
      <w:bookmarkStart w:id="268" w:name="_Toc505346109"/>
      <w:bookmarkStart w:id="269" w:name="_Toc514251687"/>
      <w:bookmarkStart w:id="270" w:name="_Toc48817888"/>
      <w:r w:rsidRPr="004E7F7B">
        <w:rPr>
          <w:rFonts w:ascii="Times New Roman" w:hAnsi="Times New Roman" w:cs="Times New Roman"/>
          <w:sz w:val="22"/>
          <w:szCs w:val="22"/>
        </w:rPr>
        <w:t>6.2.Natural Gas Market Investigation and Audit Activities</w:t>
      </w:r>
      <w:bookmarkEnd w:id="267"/>
      <w:bookmarkEnd w:id="268"/>
      <w:bookmarkEnd w:id="269"/>
      <w:bookmarkEnd w:id="270"/>
    </w:p>
    <w:p w:rsidR="00FE7FEB" w:rsidRPr="004E7F7B" w:rsidRDefault="00AF1093" w:rsidP="004E7F7B">
      <w:pPr>
        <w:pStyle w:val="Balk3"/>
        <w:rPr>
          <w:rFonts w:ascii="Times New Roman" w:hAnsi="Times New Roman" w:cs="Times New Roman"/>
          <w:sz w:val="22"/>
          <w:szCs w:val="22"/>
        </w:rPr>
      </w:pPr>
      <w:bookmarkStart w:id="271" w:name="_Toc48817889"/>
      <w:bookmarkStart w:id="272" w:name="_Toc442431304"/>
      <w:bookmarkStart w:id="273" w:name="_Toc505346110"/>
      <w:bookmarkStart w:id="274" w:name="_Toc514251688"/>
      <w:r w:rsidRPr="004E7F7B">
        <w:rPr>
          <w:rFonts w:ascii="Times New Roman" w:hAnsi="Times New Roman" w:cs="Times New Roman"/>
          <w:sz w:val="22"/>
          <w:szCs w:val="22"/>
        </w:rPr>
        <w:t>6.2.1.</w:t>
      </w:r>
      <w:r w:rsidR="00FE7FEB" w:rsidRPr="004E7F7B">
        <w:rPr>
          <w:rFonts w:ascii="Times New Roman" w:hAnsi="Times New Roman" w:cs="Times New Roman"/>
          <w:sz w:val="22"/>
          <w:szCs w:val="22"/>
        </w:rPr>
        <w:t>5 Year Investment Obligations of Natural Gas Distribution Companies</w:t>
      </w:r>
      <w:bookmarkEnd w:id="271"/>
      <w:r w:rsidR="00FE7FEB" w:rsidRPr="004E7F7B">
        <w:rPr>
          <w:rFonts w:ascii="Times New Roman" w:hAnsi="Times New Roman" w:cs="Times New Roman"/>
          <w:sz w:val="22"/>
          <w:szCs w:val="22"/>
        </w:rPr>
        <w:t xml:space="preserve"> </w:t>
      </w:r>
      <w:bookmarkEnd w:id="272"/>
      <w:bookmarkEnd w:id="273"/>
      <w:bookmarkEnd w:id="274"/>
    </w:p>
    <w:p w:rsidR="00FE7FEB" w:rsidRPr="004E7F7B" w:rsidRDefault="00FE7FEB" w:rsidP="00793DA9">
      <w:r w:rsidRPr="004E7F7B">
        <w:t>Under the "Natural Gas Distribution License Tender", which is made separately by the Authority for each Distribution Zone, all Distribution Companies that are entitled to receive the license have 5 (five) year investment obligations as per the Distribution License, TOR which is an insperatbale part of the license and the related legislation.</w:t>
      </w:r>
    </w:p>
    <w:p w:rsidR="00FE7FEB" w:rsidRPr="004E7F7B" w:rsidRDefault="00FE7FEB" w:rsidP="00793DA9">
      <w:r w:rsidRPr="004E7F7B">
        <w:t xml:space="preserve">Board decision dated 29/01/2009 and numbered 1955 was adopted to determine whether the obligations of 5 (five) years' investment were fulfilled as per the fifth paragraph of the fourth section of Article 4 of the Natural Gas Market Law No 4646, Article 30 of the Natural Gas Market Distribution and Customer Service Regulation, and the relevant section of the "General Provisions" of the licenses of the Distribution Companies. Within the framework of the relevant Board Decisions, for the monitoring and examination of Natural Gas Distribution Companies' 5 year investment obligations on behalf of the Authority, Istanbul Applied Gas and Energy Technologies Research and Engineering Industry Trade CO.INC., (UGETAM) and S &amp; Q Mart Quality Security Industry and Trade CO.INC. (S &amp; Q MART) were authorized. </w:t>
      </w:r>
    </w:p>
    <w:p w:rsidR="00FE7FEB" w:rsidRPr="004E7F7B" w:rsidRDefault="00FE7FEB" w:rsidP="00793DA9">
      <w:r w:rsidRPr="004E7F7B">
        <w:t xml:space="preserve">With the Board Decisions dated 05/07/2011 and numbered 3303-4 and dated 18/04/2012 and numbered 3783-2 within the scope of the Natural Gas Distribution Companies' 5-year investment obligations, the regulation on examining the investments which can not be done due to force majeure, besides within the scope of the Board Decision dated 08/01/2015 and numbered 5409-5 arrangement was made to determine the current status of investment deemed as force majeuré in the 5-year investment liability report. </w:t>
      </w:r>
    </w:p>
    <w:p w:rsidR="00FE7FEB" w:rsidRPr="004E7F7B" w:rsidRDefault="00FE7FEB" w:rsidP="00793DA9">
      <w:r w:rsidRPr="004E7F7B">
        <w:t>Within the framework of the authorization for the scope and reporting determined for the works; In 2018, S &amp; Q MART made on-site inspections in 2 Distribution Regions for 5 years investment liability and presented reports to the Authority. The reports are examined by the Commission established within the body of the Authority and the matters considered as non-compliant with the Commission are transferred to the Auditing Department as a result of the Commission's investigations.</w:t>
      </w:r>
    </w:p>
    <w:p w:rsidR="00E27309" w:rsidRPr="004E7F7B" w:rsidRDefault="00DF2D35" w:rsidP="00793DA9">
      <w:r w:rsidRPr="004E7F7B">
        <w:rPr>
          <w:lang w:val="en"/>
        </w:rPr>
        <w:t>On the other hand, within the scope of Article 70 of the Natural Gas Market Distribution and Customer Services Regulation, in order to examine the term liabilities of natural gas distribution companies included in the distribution region by expanding the distribution region, companies authorized / to be authorized by the Board Decision No. 1955-1 dated 29/01/2009 The Board Decision dated 24/10/2019 and numbered 8900 was taken regarding the examination of the issues within the scope of the Board Decision and the evaluation of the audit reports to be prepared by the Natural Gas Market Department.</w:t>
      </w:r>
    </w:p>
    <w:p w:rsidR="00E27309" w:rsidRPr="004E7F7B" w:rsidRDefault="00DF2D35" w:rsidP="00793DA9">
      <w:r w:rsidRPr="004E7F7B">
        <w:rPr>
          <w:lang w:val="en"/>
        </w:rPr>
        <w:t>In accordance with the aforementioned Board Decision, the inspections in the enlargement zones by the authorized companies UGETAM and S&amp;Q MART continue and the completed inspection reports are submitted to the Authority.</w:t>
      </w:r>
    </w:p>
    <w:p w:rsidR="00FE7FEB" w:rsidRPr="004E7F7B" w:rsidRDefault="00FE7FEB" w:rsidP="004E7F7B">
      <w:pPr>
        <w:pStyle w:val="Balk3"/>
        <w:rPr>
          <w:rFonts w:ascii="Times New Roman" w:hAnsi="Times New Roman" w:cs="Times New Roman"/>
          <w:sz w:val="22"/>
          <w:szCs w:val="22"/>
        </w:rPr>
      </w:pPr>
      <w:bookmarkStart w:id="275" w:name="_Toc442431305"/>
      <w:bookmarkStart w:id="276" w:name="_Toc505346111"/>
      <w:bookmarkStart w:id="277" w:name="_Toc514251689"/>
      <w:bookmarkStart w:id="278" w:name="_Toc48817890"/>
      <w:r w:rsidRPr="004E7F7B">
        <w:rPr>
          <w:rFonts w:ascii="Times New Roman" w:hAnsi="Times New Roman" w:cs="Times New Roman"/>
          <w:sz w:val="22"/>
          <w:szCs w:val="22"/>
        </w:rPr>
        <w:t>6.2.2. Natural Gas Market Audit Activities</w:t>
      </w:r>
      <w:bookmarkEnd w:id="275"/>
      <w:bookmarkEnd w:id="276"/>
      <w:bookmarkEnd w:id="277"/>
      <w:bookmarkEnd w:id="278"/>
    </w:p>
    <w:p w:rsidR="000F3DD6" w:rsidRDefault="000F3DD6" w:rsidP="000F3DD6">
      <w:pPr>
        <w:rPr>
          <w:b/>
        </w:rPr>
      </w:pPr>
      <w:bookmarkStart w:id="279" w:name="_Toc442431306"/>
      <w:bookmarkStart w:id="280" w:name="_Toc505346112"/>
      <w:bookmarkStart w:id="281" w:name="_Toc514251690"/>
      <w:r w:rsidRPr="000F3DD6">
        <w:t>In the natural gas market, a new investigation was initiated against 180 licensed and certified companies operating in violation of the legislation in 2019, 12 of the investigations completed this year were terminated without any administrative sanctions, 135 were terminated with a warning penalty, and 25 of the certificates owned by the company were canceled.</w:t>
      </w:r>
    </w:p>
    <w:p w:rsidR="00FE7FEB" w:rsidRPr="004E7F7B" w:rsidRDefault="00AF1093" w:rsidP="004E7F7B">
      <w:pPr>
        <w:pStyle w:val="Balk2"/>
        <w:rPr>
          <w:rFonts w:ascii="Times New Roman" w:hAnsi="Times New Roman" w:cs="Times New Roman"/>
          <w:sz w:val="22"/>
          <w:szCs w:val="22"/>
        </w:rPr>
      </w:pPr>
      <w:bookmarkStart w:id="282" w:name="_Toc48817891"/>
      <w:r w:rsidRPr="004E7F7B">
        <w:rPr>
          <w:rFonts w:ascii="Times New Roman" w:hAnsi="Times New Roman" w:cs="Times New Roman"/>
          <w:sz w:val="22"/>
          <w:szCs w:val="22"/>
        </w:rPr>
        <w:t>6.3.</w:t>
      </w:r>
      <w:r w:rsidR="00FE7FEB" w:rsidRPr="004E7F7B">
        <w:rPr>
          <w:rFonts w:ascii="Times New Roman" w:hAnsi="Times New Roman" w:cs="Times New Roman"/>
          <w:sz w:val="22"/>
          <w:szCs w:val="22"/>
        </w:rPr>
        <w:t>Petroleum Market Audit Activities</w:t>
      </w:r>
      <w:bookmarkEnd w:id="279"/>
      <w:bookmarkEnd w:id="280"/>
      <w:bookmarkEnd w:id="281"/>
      <w:bookmarkEnd w:id="282"/>
    </w:p>
    <w:p w:rsidR="00FE7FEB" w:rsidRPr="004E7F7B" w:rsidRDefault="00FE7FEB" w:rsidP="00793DA9">
      <w:r w:rsidRPr="004E7F7B">
        <w:t>Petroleum Market audits are the activities done by examining the legal compliance of the activities of real or legal persons operating in the market with the provisions of the relevant legislation and investigation of compliance with the technical regulations of petroleum and lube oil supplied to the market by such persons, in cases of violations, irregularities and abuses, imposing required sanctions. Administrative fines and administrative sanctions are applied as a result of the examination and inspection activities carried out for Petroleum Market activities.</w:t>
      </w:r>
    </w:p>
    <w:p w:rsidR="00FE7FEB" w:rsidRPr="004E7F7B" w:rsidRDefault="00FE7FEB" w:rsidP="00793DA9">
      <w:pPr>
        <w:rPr>
          <w:color w:val="000000" w:themeColor="text1"/>
        </w:rPr>
      </w:pPr>
      <w:r w:rsidRPr="004E7F7B">
        <w:rPr>
          <w:color w:val="000000" w:themeColor="text1"/>
        </w:rPr>
        <w:t>The inspections under the Cooperation Protocols on Inspection of Petroleum Market and Liquefied Petroleum Gases (LPG) Market are carried out under the coordination of the Agency. In this context, the market activities to be audited, the date of the audit and the regions where the audit will be carried out are determined by the Authority and planned by these institutions within the responsibility areas of the public institutions and organizations that are jointly planned or supervised with the relevant stakeholders within 1 (one) License holders are audited at least once a year, including the National Marker.</w:t>
      </w:r>
    </w:p>
    <w:p w:rsidR="00FE7FEB" w:rsidRPr="004E7F7B" w:rsidRDefault="00FE7FEB" w:rsidP="00793DA9">
      <w:r w:rsidRPr="004E7F7B">
        <w:t>Both as a result of the determinations and in line with the complaints and denunciations audits have been continued by the institutions and organizations that are authorized to carry out inspections on behalf of the Authority.  Inspections were carried out at the Provincial Gendarmerie Commands and Provincial Police Departments under the supervision of the Ministry of Customs and Trade and the Prosecutor's Office for facilities where illegal fuel sales were carried out with hidden tanks and facilities other than the settlement plan and determinations were made for illegal fuel sales.</w:t>
      </w:r>
    </w:p>
    <w:p w:rsidR="00FE7FEB" w:rsidRPr="004E7F7B" w:rsidRDefault="00FE7FEB" w:rsidP="00793DA9">
      <w:pPr>
        <w:rPr>
          <w:color w:val="000000" w:themeColor="text1"/>
        </w:rPr>
      </w:pPr>
      <w:r w:rsidRPr="004E7F7B">
        <w:rPr>
          <w:color w:val="000000" w:themeColor="text1"/>
        </w:rPr>
        <w:t>Transfers of funds made between the years 201</w:t>
      </w:r>
      <w:r w:rsidR="00E27309" w:rsidRPr="004E7F7B">
        <w:rPr>
          <w:color w:val="000000" w:themeColor="text1"/>
        </w:rPr>
        <w:t>8-</w:t>
      </w:r>
      <w:r w:rsidRPr="004E7F7B">
        <w:rPr>
          <w:color w:val="000000" w:themeColor="text1"/>
        </w:rPr>
        <w:t>201</w:t>
      </w:r>
      <w:r w:rsidR="00E27309" w:rsidRPr="004E7F7B">
        <w:rPr>
          <w:color w:val="000000" w:themeColor="text1"/>
        </w:rPr>
        <w:t>9</w:t>
      </w:r>
      <w:r w:rsidRPr="004E7F7B">
        <w:rPr>
          <w:color w:val="000000" w:themeColor="text1"/>
        </w:rPr>
        <w:t xml:space="preserve"> are shown in Table 6.1.</w:t>
      </w:r>
    </w:p>
    <w:p w:rsidR="00FE7FEB" w:rsidRPr="004E7F7B" w:rsidRDefault="00FE7FEB" w:rsidP="004E7F7B">
      <w:pPr>
        <w:pStyle w:val="Balk5"/>
        <w:jc w:val="both"/>
        <w:rPr>
          <w:rFonts w:ascii="Times New Roman" w:hAnsi="Times New Roman" w:cs="Times New Roman"/>
        </w:rPr>
      </w:pPr>
      <w:bookmarkStart w:id="283" w:name="_Toc48818051"/>
      <w:r w:rsidRPr="004E7F7B">
        <w:rPr>
          <w:rStyle w:val="Gl"/>
          <w:rFonts w:ascii="Times New Roman" w:hAnsi="Times New Roman" w:cs="Times New Roman"/>
          <w:b/>
          <w:bCs w:val="0"/>
        </w:rPr>
        <w:t>Table</w:t>
      </w:r>
      <w:r w:rsidR="00D86419" w:rsidRPr="004E7F7B">
        <w:rPr>
          <w:rStyle w:val="Gl"/>
          <w:rFonts w:ascii="Times New Roman" w:hAnsi="Times New Roman" w:cs="Times New Roman"/>
          <w:b/>
          <w:bCs w:val="0"/>
        </w:rPr>
        <w:t xml:space="preserve"> 6.1: Transfer of Funds to the Signatories of the Protocol for Audits B</w:t>
      </w:r>
      <w:r w:rsidRPr="004E7F7B">
        <w:rPr>
          <w:rStyle w:val="Gl"/>
          <w:rFonts w:ascii="Times New Roman" w:hAnsi="Times New Roman" w:cs="Times New Roman"/>
          <w:b/>
          <w:bCs w:val="0"/>
        </w:rPr>
        <w:t>etween 2016-2018</w:t>
      </w:r>
      <w:bookmarkEnd w:id="283"/>
    </w:p>
    <w:tbl>
      <w:tblPr>
        <w:tblW w:w="4788"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04"/>
        <w:gridCol w:w="2163"/>
        <w:gridCol w:w="1985"/>
        <w:gridCol w:w="2689"/>
      </w:tblGrid>
      <w:tr w:rsidR="00E27309" w:rsidRPr="004E7F7B" w:rsidTr="00E27309">
        <w:trPr>
          <w:trHeight w:val="750"/>
        </w:trPr>
        <w:tc>
          <w:tcPr>
            <w:tcW w:w="1260"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themeColor="background1"/>
                <w:lang w:eastAsia="tr-TR"/>
              </w:rPr>
              <w:t>Name of the institution</w:t>
            </w:r>
          </w:p>
        </w:tc>
        <w:tc>
          <w:tcPr>
            <w:tcW w:w="226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Amount of transferred funds (TL)</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Change(%)</w:t>
            </w:r>
          </w:p>
        </w:tc>
      </w:tr>
      <w:tr w:rsidR="00E27309" w:rsidRPr="004E7F7B" w:rsidTr="00E27309">
        <w:trPr>
          <w:trHeight w:val="33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rPr>
                <w:rFonts w:ascii="Times New Roman" w:eastAsia="Times New Roman" w:hAnsi="Times New Roman" w:cs="Times New Roman"/>
                <w:b/>
                <w:bCs/>
                <w:color w:val="FFFFFF"/>
                <w:lang w:eastAsia="tr-TR"/>
              </w:rPr>
            </w:pP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2018</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2019</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E27309" w:rsidRPr="004E7F7B" w:rsidRDefault="00E2730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2018→2019</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General Command of Gendarmarie</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1.500.000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1.500.000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Security General Directorate</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1.250.000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1.250.000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Coast Guard</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3.500.000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3.500.000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Ministry of Industry and Technology</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4.000.000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4.000.000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Ministry of Trade</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2.000.000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2.000.000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TÜBİTAK </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34.500.000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34.500.000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E27309" w:rsidRPr="004E7F7B" w:rsidTr="00E27309">
        <w:trPr>
          <w:trHeight w:val="330"/>
        </w:trPr>
        <w:tc>
          <w:tcPr>
            <w:tcW w:w="12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TOTAL</w:t>
            </w:r>
          </w:p>
        </w:tc>
        <w:tc>
          <w:tcPr>
            <w:tcW w:w="118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46.750.000</w:t>
            </w:r>
          </w:p>
        </w:tc>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46.750.000</w:t>
            </w:r>
          </w:p>
        </w:tc>
        <w:tc>
          <w:tcPr>
            <w:tcW w:w="14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7309" w:rsidRPr="004E7F7B" w:rsidRDefault="00E27309" w:rsidP="004E7F7B">
            <w:pPr>
              <w:spacing w:after="0" w:line="240" w:lineRule="auto"/>
              <w:rPr>
                <w:rFonts w:ascii="Times New Roman" w:eastAsia="Times New Roman" w:hAnsi="Times New Roman" w:cs="Times New Roman"/>
                <w:b/>
                <w:lang w:eastAsia="tr-TR"/>
              </w:rPr>
            </w:pPr>
            <w:r w:rsidRPr="004E7F7B">
              <w:rPr>
                <w:rFonts w:ascii="Times New Roman" w:eastAsia="Times New Roman" w:hAnsi="Times New Roman" w:cs="Times New Roman"/>
                <w:b/>
                <w:lang w:eastAsia="tr-TR"/>
              </w:rPr>
              <w:t>0,00</w:t>
            </w:r>
          </w:p>
        </w:tc>
      </w:tr>
    </w:tbl>
    <w:p w:rsidR="00FE7FEB" w:rsidRPr="004E7F7B" w:rsidRDefault="00FE7FEB" w:rsidP="004E7F7B">
      <w:pPr>
        <w:rPr>
          <w:rFonts w:ascii="Times New Roman" w:hAnsi="Times New Roman" w:cs="Times New Roman"/>
        </w:rPr>
      </w:pPr>
    </w:p>
    <w:p w:rsidR="00FE7FEB" w:rsidRPr="004E7F7B" w:rsidRDefault="00FE7FEB" w:rsidP="00793DA9">
      <w:r w:rsidRPr="004E7F7B">
        <w:t>Also, license holders have been examined whether they are operating in compliance with Law No. 5015 and related legislation.</w:t>
      </w:r>
    </w:p>
    <w:p w:rsidR="00FE7FEB" w:rsidRPr="004E7F7B" w:rsidRDefault="00FE7FEB" w:rsidP="00793DA9">
      <w:r w:rsidRPr="004E7F7B">
        <w:t xml:space="preserve">Within the scope of the petroleum market audits, for the purpose of determining whether the liquid fuel suplied to the amrket by licensees contain adequate amount of national marker, with the participation of the satff of Security General Directorate, Ministry for Science, Industry and Technology, Ministry of Customs and Trade, General Command of Gendarmarie and Coast Guard audits weremade and the invalidated samples were transferred to TÜBİTAK, EGE-PAL, METU PAM, İNÖNÜ-PAL and KTÜ-YUAM. As a result of such inspections, legal actions have been taken against facilities which are determined to have non-standard or illegal liquid fuel and which are found to be incompatible with the technical regulations and / or the National Marker measurement result was invalid. </w:t>
      </w:r>
    </w:p>
    <w:p w:rsidR="00FE7FEB" w:rsidRPr="004E7F7B" w:rsidRDefault="00FE7FEB" w:rsidP="004E7F7B">
      <w:pPr>
        <w:pStyle w:val="Balk5"/>
        <w:jc w:val="both"/>
        <w:rPr>
          <w:rFonts w:ascii="Times New Roman" w:hAnsi="Times New Roman" w:cs="Times New Roman"/>
        </w:rPr>
      </w:pPr>
      <w:bookmarkStart w:id="284" w:name="_Toc48818052"/>
      <w:r w:rsidRPr="004E7F7B">
        <w:rPr>
          <w:rStyle w:val="Gl"/>
          <w:rFonts w:ascii="Times New Roman" w:hAnsi="Times New Roman" w:cs="Times New Roman"/>
          <w:b/>
          <w:bCs w:val="0"/>
        </w:rPr>
        <w:t>Table 6.2: Benchmarking Resu</w:t>
      </w:r>
      <w:r w:rsidR="00DF2D35" w:rsidRPr="004E7F7B">
        <w:rPr>
          <w:rStyle w:val="Gl"/>
          <w:rFonts w:ascii="Times New Roman" w:hAnsi="Times New Roman" w:cs="Times New Roman"/>
          <w:b/>
          <w:bCs w:val="0"/>
        </w:rPr>
        <w:t>l</w:t>
      </w:r>
      <w:r w:rsidRPr="004E7F7B">
        <w:rPr>
          <w:rStyle w:val="Gl"/>
          <w:rFonts w:ascii="Times New Roman" w:hAnsi="Times New Roman" w:cs="Times New Roman"/>
          <w:b/>
          <w:bCs w:val="0"/>
        </w:rPr>
        <w:t xml:space="preserve">t Analysis </w:t>
      </w:r>
      <w:r w:rsidR="00D86419" w:rsidRPr="004E7F7B">
        <w:rPr>
          <w:rStyle w:val="Gl"/>
          <w:rFonts w:ascii="Times New Roman" w:hAnsi="Times New Roman" w:cs="Times New Roman"/>
          <w:b/>
          <w:bCs w:val="0"/>
        </w:rPr>
        <w:t>of N</w:t>
      </w:r>
      <w:r w:rsidRPr="004E7F7B">
        <w:rPr>
          <w:rStyle w:val="Gl"/>
          <w:rFonts w:ascii="Times New Roman" w:hAnsi="Times New Roman" w:cs="Times New Roman"/>
          <w:b/>
          <w:bCs w:val="0"/>
        </w:rPr>
        <w:t xml:space="preserve">ational </w:t>
      </w:r>
      <w:r w:rsidR="00D86419" w:rsidRPr="004E7F7B">
        <w:rPr>
          <w:rStyle w:val="Gl"/>
          <w:rFonts w:ascii="Times New Roman" w:hAnsi="Times New Roman" w:cs="Times New Roman"/>
          <w:b/>
          <w:bCs w:val="0"/>
        </w:rPr>
        <w:t>Marker Field Equipment (XP)for Y</w:t>
      </w:r>
      <w:r w:rsidRPr="004E7F7B">
        <w:rPr>
          <w:rStyle w:val="Gl"/>
          <w:rFonts w:ascii="Times New Roman" w:hAnsi="Times New Roman" w:cs="Times New Roman"/>
          <w:b/>
          <w:bCs w:val="0"/>
        </w:rPr>
        <w:t>ears 201</w:t>
      </w:r>
      <w:r w:rsidR="00F93A7F" w:rsidRPr="004E7F7B">
        <w:rPr>
          <w:rStyle w:val="Gl"/>
          <w:rFonts w:ascii="Times New Roman" w:hAnsi="Times New Roman" w:cs="Times New Roman"/>
          <w:b/>
          <w:bCs w:val="0"/>
        </w:rPr>
        <w:t>7</w:t>
      </w:r>
      <w:r w:rsidRPr="004E7F7B">
        <w:rPr>
          <w:rStyle w:val="Gl"/>
          <w:rFonts w:ascii="Times New Roman" w:hAnsi="Times New Roman" w:cs="Times New Roman"/>
          <w:b/>
          <w:bCs w:val="0"/>
        </w:rPr>
        <w:t>-201</w:t>
      </w:r>
      <w:r w:rsidR="00F93A7F" w:rsidRPr="004E7F7B">
        <w:rPr>
          <w:rStyle w:val="Gl"/>
          <w:rFonts w:ascii="Times New Roman" w:hAnsi="Times New Roman" w:cs="Times New Roman"/>
          <w:b/>
          <w:bCs w:val="0"/>
        </w:rPr>
        <w:t>9</w:t>
      </w:r>
      <w:bookmarkEnd w:id="284"/>
    </w:p>
    <w:tbl>
      <w:tblPr>
        <w:tblW w:w="4797"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497"/>
        <w:gridCol w:w="745"/>
        <w:gridCol w:w="1057"/>
        <w:gridCol w:w="855"/>
        <w:gridCol w:w="1057"/>
        <w:gridCol w:w="1240"/>
        <w:gridCol w:w="855"/>
        <w:gridCol w:w="745"/>
        <w:gridCol w:w="1240"/>
      </w:tblGrid>
      <w:tr w:rsidR="00FE7FEB" w:rsidRPr="004E7F7B" w:rsidTr="00793DA9">
        <w:trPr>
          <w:trHeight w:val="20"/>
          <w:jc w:val="center"/>
        </w:trPr>
        <w:tc>
          <w:tcPr>
            <w:tcW w:w="822" w:type="pct"/>
            <w:vMerge w:val="restar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Measurement no.</w:t>
            </w:r>
          </w:p>
        </w:tc>
        <w:tc>
          <w:tcPr>
            <w:tcW w:w="936" w:type="pct"/>
            <w:gridSpan w:val="2"/>
            <w:shd w:val="clear" w:color="auto" w:fill="6E9ECA"/>
            <w:noWrap/>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7</w:t>
            </w:r>
          </w:p>
        </w:tc>
        <w:tc>
          <w:tcPr>
            <w:tcW w:w="1062" w:type="pct"/>
            <w:gridSpan w:val="2"/>
            <w:shd w:val="clear" w:color="auto" w:fill="6E9ECA"/>
            <w:noWrap/>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8</w:t>
            </w:r>
          </w:p>
        </w:tc>
        <w:tc>
          <w:tcPr>
            <w:tcW w:w="67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Change (%)</w:t>
            </w:r>
          </w:p>
        </w:tc>
        <w:tc>
          <w:tcPr>
            <w:tcW w:w="834" w:type="pct"/>
            <w:gridSpan w:val="2"/>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9</w:t>
            </w:r>
          </w:p>
        </w:tc>
        <w:tc>
          <w:tcPr>
            <w:tcW w:w="67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Change (%)</w:t>
            </w:r>
          </w:p>
        </w:tc>
      </w:tr>
      <w:tr w:rsidR="00FE7FEB" w:rsidRPr="004E7F7B" w:rsidTr="00793DA9">
        <w:trPr>
          <w:trHeight w:val="20"/>
          <w:jc w:val="center"/>
        </w:trPr>
        <w:tc>
          <w:tcPr>
            <w:tcW w:w="822" w:type="pct"/>
            <w:vMerge/>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p>
        </w:tc>
        <w:tc>
          <w:tcPr>
            <w:tcW w:w="41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w:t>
            </w:r>
          </w:p>
        </w:tc>
        <w:tc>
          <w:tcPr>
            <w:tcW w:w="52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w:t>
            </w:r>
          </w:p>
        </w:tc>
        <w:tc>
          <w:tcPr>
            <w:tcW w:w="539"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w:t>
            </w:r>
          </w:p>
        </w:tc>
        <w:tc>
          <w:tcPr>
            <w:tcW w:w="52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w:t>
            </w:r>
          </w:p>
        </w:tc>
        <w:tc>
          <w:tcPr>
            <w:tcW w:w="67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7</w:t>
            </w: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8</w:t>
            </w:r>
          </w:p>
        </w:tc>
        <w:tc>
          <w:tcPr>
            <w:tcW w:w="474"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w:t>
            </w:r>
          </w:p>
        </w:tc>
        <w:tc>
          <w:tcPr>
            <w:tcW w:w="360"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c>
          <w:tcPr>
            <w:tcW w:w="673" w:type="pct"/>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8</w:t>
            </w:r>
            <w:r w:rsidRPr="004E7F7B">
              <w:rPr>
                <w:rFonts w:ascii="Times New Roman" w:eastAsia="Times New Roman" w:hAnsi="Times New Roman" w:cs="Times New Roman"/>
                <w:b/>
                <w:bCs/>
                <w:color w:val="FFFFFF" w:themeColor="background1"/>
                <w:lang w:eastAsia="tr-TR"/>
              </w:rPr>
              <w:t>→201</w:t>
            </w:r>
            <w:r w:rsidR="00F93A7F" w:rsidRPr="004E7F7B">
              <w:rPr>
                <w:rFonts w:ascii="Times New Roman" w:eastAsia="Times New Roman" w:hAnsi="Times New Roman" w:cs="Times New Roman"/>
                <w:b/>
                <w:bCs/>
                <w:color w:val="FFFFFF" w:themeColor="background1"/>
                <w:lang w:eastAsia="tr-TR"/>
              </w:rPr>
              <w:t>9</w:t>
            </w:r>
          </w:p>
        </w:tc>
      </w:tr>
      <w:tr w:rsidR="00F93A7F" w:rsidRPr="004E7F7B" w:rsidTr="00793DA9">
        <w:trPr>
          <w:trHeight w:val="20"/>
          <w:jc w:val="center"/>
        </w:trPr>
        <w:tc>
          <w:tcPr>
            <w:tcW w:w="822"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No of valid measurements</w:t>
            </w:r>
          </w:p>
        </w:tc>
        <w:tc>
          <w:tcPr>
            <w:tcW w:w="41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88.395</w:t>
            </w:r>
          </w:p>
        </w:tc>
        <w:tc>
          <w:tcPr>
            <w:tcW w:w="52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95,13</w:t>
            </w:r>
          </w:p>
        </w:tc>
        <w:tc>
          <w:tcPr>
            <w:tcW w:w="539"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99.315</w:t>
            </w:r>
          </w:p>
        </w:tc>
        <w:tc>
          <w:tcPr>
            <w:tcW w:w="52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98,05</w:t>
            </w:r>
          </w:p>
        </w:tc>
        <w:tc>
          <w:tcPr>
            <w:tcW w:w="67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12,35</w:t>
            </w:r>
          </w:p>
        </w:tc>
        <w:tc>
          <w:tcPr>
            <w:tcW w:w="474"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101.109</w:t>
            </w:r>
          </w:p>
        </w:tc>
        <w:tc>
          <w:tcPr>
            <w:tcW w:w="360"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98,81</w:t>
            </w:r>
          </w:p>
        </w:tc>
        <w:tc>
          <w:tcPr>
            <w:tcW w:w="67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1,81</w:t>
            </w:r>
          </w:p>
        </w:tc>
      </w:tr>
      <w:tr w:rsidR="00F93A7F" w:rsidRPr="004E7F7B" w:rsidTr="00793DA9">
        <w:trPr>
          <w:trHeight w:val="20"/>
          <w:jc w:val="center"/>
        </w:trPr>
        <w:tc>
          <w:tcPr>
            <w:tcW w:w="822"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No of invalid measurements</w:t>
            </w:r>
          </w:p>
        </w:tc>
        <w:tc>
          <w:tcPr>
            <w:tcW w:w="41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4.521</w:t>
            </w:r>
          </w:p>
        </w:tc>
        <w:tc>
          <w:tcPr>
            <w:tcW w:w="52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4,87</w:t>
            </w:r>
          </w:p>
        </w:tc>
        <w:tc>
          <w:tcPr>
            <w:tcW w:w="539"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1.975</w:t>
            </w:r>
          </w:p>
        </w:tc>
        <w:tc>
          <w:tcPr>
            <w:tcW w:w="52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1,95</w:t>
            </w:r>
          </w:p>
        </w:tc>
        <w:tc>
          <w:tcPr>
            <w:tcW w:w="67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-56,31</w:t>
            </w:r>
          </w:p>
        </w:tc>
        <w:tc>
          <w:tcPr>
            <w:tcW w:w="474"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1.218</w:t>
            </w:r>
          </w:p>
        </w:tc>
        <w:tc>
          <w:tcPr>
            <w:tcW w:w="360"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1,19</w:t>
            </w:r>
          </w:p>
        </w:tc>
        <w:tc>
          <w:tcPr>
            <w:tcW w:w="67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-38,33</w:t>
            </w:r>
          </w:p>
        </w:tc>
      </w:tr>
      <w:tr w:rsidR="00F93A7F" w:rsidRPr="004E7F7B" w:rsidTr="00793DA9">
        <w:trPr>
          <w:trHeight w:val="20"/>
          <w:jc w:val="center"/>
        </w:trPr>
        <w:tc>
          <w:tcPr>
            <w:tcW w:w="822"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 no of measurements</w:t>
            </w:r>
          </w:p>
        </w:tc>
        <w:tc>
          <w:tcPr>
            <w:tcW w:w="41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92.916</w:t>
            </w:r>
          </w:p>
        </w:tc>
        <w:tc>
          <w:tcPr>
            <w:tcW w:w="52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c>
          <w:tcPr>
            <w:tcW w:w="539"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101.290</w:t>
            </w:r>
          </w:p>
        </w:tc>
        <w:tc>
          <w:tcPr>
            <w:tcW w:w="52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c>
          <w:tcPr>
            <w:tcW w:w="673" w:type="pct"/>
            <w:shd w:val="clear" w:color="auto" w:fill="auto"/>
            <w:noWrap/>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9,01</w:t>
            </w:r>
          </w:p>
        </w:tc>
        <w:tc>
          <w:tcPr>
            <w:tcW w:w="474"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102.327</w:t>
            </w:r>
          </w:p>
        </w:tc>
        <w:tc>
          <w:tcPr>
            <w:tcW w:w="360"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c>
          <w:tcPr>
            <w:tcW w:w="673" w:type="pct"/>
            <w:shd w:val="clear" w:color="auto" w:fill="auto"/>
            <w:vAlign w:val="center"/>
            <w:hideMark/>
          </w:tcPr>
          <w:p w:rsidR="00F93A7F" w:rsidRPr="004E7F7B" w:rsidRDefault="00F93A7F"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1,02</w:t>
            </w:r>
          </w:p>
        </w:tc>
      </w:tr>
    </w:tbl>
    <w:p w:rsidR="00FE7FEB" w:rsidRPr="004E7F7B" w:rsidRDefault="00FE7FEB" w:rsidP="004E7F7B">
      <w:pPr>
        <w:spacing w:after="0"/>
        <w:rPr>
          <w:rFonts w:ascii="Times New Roman" w:hAnsi="Times New Roman" w:cs="Times New Roman"/>
        </w:rPr>
      </w:pPr>
    </w:p>
    <w:p w:rsidR="00216EDE" w:rsidRPr="004E7F7B" w:rsidRDefault="00FE7FEB" w:rsidP="00793DA9">
      <w:r w:rsidRPr="004E7F7B">
        <w:t>Administrative fines imposed as a result of the inspections and investigations carried out in Petroleum Market</w:t>
      </w:r>
      <w:r w:rsidR="00F93A7F" w:rsidRPr="004E7F7B">
        <w:t>; in the audits carried out within the scope of verbs with correction possibilities, 238 warning actions were established. In</w:t>
      </w:r>
      <w:r w:rsidRPr="004E7F7B">
        <w:t xml:space="preserve"> 201</w:t>
      </w:r>
      <w:r w:rsidR="00F93A7F" w:rsidRPr="004E7F7B">
        <w:t>9</w:t>
      </w:r>
      <w:r w:rsidRPr="004E7F7B">
        <w:t xml:space="preserve"> are shown in Table 6.3 and Table 6.4.</w:t>
      </w:r>
    </w:p>
    <w:p w:rsidR="00BF3DA9" w:rsidRPr="004E7F7B" w:rsidRDefault="00BF3DA9" w:rsidP="004E7F7B">
      <w:pPr>
        <w:pStyle w:val="Balk5"/>
        <w:jc w:val="both"/>
        <w:rPr>
          <w:rFonts w:ascii="Times New Roman" w:hAnsi="Times New Roman" w:cs="Times New Roman"/>
        </w:rPr>
      </w:pPr>
      <w:bookmarkStart w:id="285" w:name="_Toc48818053"/>
      <w:r w:rsidRPr="004E7F7B">
        <w:rPr>
          <w:rStyle w:val="Gl"/>
          <w:rFonts w:ascii="Times New Roman" w:hAnsi="Times New Roman" w:cs="Times New Roman"/>
          <w:b/>
          <w:bCs w:val="0"/>
        </w:rPr>
        <w:t>Table 6.3: Disp</w:t>
      </w:r>
      <w:r w:rsidR="00D86419" w:rsidRPr="004E7F7B">
        <w:rPr>
          <w:rStyle w:val="Gl"/>
          <w:rFonts w:ascii="Times New Roman" w:hAnsi="Times New Roman" w:cs="Times New Roman"/>
          <w:b/>
          <w:bCs w:val="0"/>
        </w:rPr>
        <w:t>ersion of Administrative Fines I</w:t>
      </w:r>
      <w:r w:rsidRPr="004E7F7B">
        <w:rPr>
          <w:rStyle w:val="Gl"/>
          <w:rFonts w:ascii="Times New Roman" w:hAnsi="Times New Roman" w:cs="Times New Roman"/>
          <w:b/>
          <w:bCs w:val="0"/>
        </w:rPr>
        <w:t>mposed in Petroleum Market in 2019</w:t>
      </w:r>
      <w:r w:rsidR="00D86419" w:rsidRPr="004E7F7B">
        <w:rPr>
          <w:rStyle w:val="Gl"/>
          <w:rFonts w:ascii="Times New Roman" w:hAnsi="Times New Roman" w:cs="Times New Roman"/>
          <w:b/>
          <w:bCs w:val="0"/>
        </w:rPr>
        <w:t xml:space="preserve"> by License T</w:t>
      </w:r>
      <w:r w:rsidRPr="004E7F7B">
        <w:rPr>
          <w:rStyle w:val="Gl"/>
          <w:rFonts w:ascii="Times New Roman" w:hAnsi="Times New Roman" w:cs="Times New Roman"/>
          <w:b/>
          <w:bCs w:val="0"/>
        </w:rPr>
        <w:t>ypes</w:t>
      </w:r>
      <w:bookmarkEnd w:id="285"/>
    </w:p>
    <w:tbl>
      <w:tblPr>
        <w:tblpPr w:leftFromText="141" w:rightFromText="141" w:vertAnchor="text" w:horzAnchor="margin" w:tblpY="366"/>
        <w:tblW w:w="5000" w:type="pct"/>
        <w:tblCellMar>
          <w:left w:w="70" w:type="dxa"/>
          <w:right w:w="70" w:type="dxa"/>
        </w:tblCellMar>
        <w:tblLook w:val="04A0" w:firstRow="1" w:lastRow="0" w:firstColumn="1" w:lastColumn="0" w:noHBand="0" w:noVBand="1"/>
      </w:tblPr>
      <w:tblGrid>
        <w:gridCol w:w="4934"/>
        <w:gridCol w:w="1616"/>
        <w:gridCol w:w="1057"/>
        <w:gridCol w:w="1249"/>
        <w:gridCol w:w="690"/>
      </w:tblGrid>
      <w:tr w:rsidR="00FE7FEB" w:rsidRPr="004E7F7B" w:rsidTr="00216EDE">
        <w:trPr>
          <w:trHeight w:val="20"/>
        </w:trPr>
        <w:tc>
          <w:tcPr>
            <w:tcW w:w="260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themeColor="background1"/>
                <w:lang w:eastAsia="tr-TR"/>
              </w:rPr>
              <w:t>License Type</w:t>
            </w:r>
          </w:p>
        </w:tc>
        <w:tc>
          <w:tcPr>
            <w:tcW w:w="864"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No of administrative fines imposed</w:t>
            </w:r>
          </w:p>
        </w:tc>
        <w:tc>
          <w:tcPr>
            <w:tcW w:w="510"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p>
        </w:tc>
        <w:tc>
          <w:tcPr>
            <w:tcW w:w="672"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it-IT" w:eastAsia="tr-TR"/>
              </w:rPr>
            </w:pPr>
            <w:r w:rsidRPr="004E7F7B">
              <w:rPr>
                <w:rFonts w:ascii="Times New Roman" w:eastAsia="Times New Roman" w:hAnsi="Times New Roman" w:cs="Times New Roman"/>
                <w:b/>
                <w:bCs/>
                <w:color w:val="FFFFFF"/>
                <w:lang w:val="it-IT" w:eastAsia="tr-TR"/>
              </w:rPr>
              <w:t>İdari Para Cezası Tutarı (TL)</w:t>
            </w:r>
          </w:p>
        </w:tc>
        <w:tc>
          <w:tcPr>
            <w:tcW w:w="352"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Distributor</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285</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34,84</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317.588.193</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76,84</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Vendorship</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497</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60,76</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77.101.826</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18,66</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Lube oil</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4,04</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17.784.463</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4,30</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Bunker</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0,24</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747.269</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0,18</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Storage</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0,12</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70.000</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0,02</w:t>
            </w:r>
          </w:p>
        </w:tc>
      </w:tr>
      <w:tr w:rsidR="00BF3DA9" w:rsidRPr="004E7F7B" w:rsidTr="00216EDE">
        <w:trPr>
          <w:trHeight w:val="20"/>
        </w:trPr>
        <w:tc>
          <w:tcPr>
            <w:tcW w:w="2602" w:type="pct"/>
            <w:tcBorders>
              <w:top w:val="nil"/>
              <w:left w:val="single" w:sz="8" w:space="0" w:color="BFBFBF"/>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864"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818</w:t>
            </w:r>
          </w:p>
        </w:tc>
        <w:tc>
          <w:tcPr>
            <w:tcW w:w="510"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100</w:t>
            </w:r>
          </w:p>
        </w:tc>
        <w:tc>
          <w:tcPr>
            <w:tcW w:w="67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413.291.751</w:t>
            </w:r>
          </w:p>
        </w:tc>
        <w:tc>
          <w:tcPr>
            <w:tcW w:w="352" w:type="pct"/>
            <w:tcBorders>
              <w:top w:val="nil"/>
              <w:left w:val="nil"/>
              <w:bottom w:val="single" w:sz="8" w:space="0" w:color="BFBFBF"/>
              <w:right w:val="single" w:sz="8" w:space="0" w:color="BFBF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r>
    </w:tbl>
    <w:p w:rsidR="00FE7FEB" w:rsidRPr="004E7F7B" w:rsidRDefault="00FE7FEB" w:rsidP="004E7F7B">
      <w:pPr>
        <w:pStyle w:val="Balk5"/>
        <w:jc w:val="both"/>
        <w:rPr>
          <w:rFonts w:ascii="Times New Roman" w:hAnsi="Times New Roman" w:cs="Times New Roman"/>
        </w:rPr>
      </w:pPr>
      <w:bookmarkStart w:id="286" w:name="_Toc48818054"/>
      <w:r w:rsidRPr="004E7F7B">
        <w:rPr>
          <w:rStyle w:val="Gl"/>
          <w:rFonts w:ascii="Times New Roman" w:hAnsi="Times New Roman" w:cs="Times New Roman"/>
          <w:b/>
          <w:bCs w:val="0"/>
        </w:rPr>
        <w:t>Table 6.4: Disp</w:t>
      </w:r>
      <w:r w:rsidR="00D86419" w:rsidRPr="004E7F7B">
        <w:rPr>
          <w:rStyle w:val="Gl"/>
          <w:rFonts w:ascii="Times New Roman" w:hAnsi="Times New Roman" w:cs="Times New Roman"/>
          <w:b/>
          <w:bCs w:val="0"/>
        </w:rPr>
        <w:t>ersion of Administrative Fines I</w:t>
      </w:r>
      <w:r w:rsidRPr="004E7F7B">
        <w:rPr>
          <w:rStyle w:val="Gl"/>
          <w:rFonts w:ascii="Times New Roman" w:hAnsi="Times New Roman" w:cs="Times New Roman"/>
          <w:b/>
          <w:bCs w:val="0"/>
        </w:rPr>
        <w:t>mp</w:t>
      </w:r>
      <w:r w:rsidR="00BF3DA9" w:rsidRPr="004E7F7B">
        <w:rPr>
          <w:rStyle w:val="Gl"/>
          <w:rFonts w:ascii="Times New Roman" w:hAnsi="Times New Roman" w:cs="Times New Roman"/>
          <w:b/>
          <w:bCs w:val="0"/>
        </w:rPr>
        <w:t>osed in Petroleum Market in 2018-2019</w:t>
      </w:r>
      <w:r w:rsidR="00D86419" w:rsidRPr="004E7F7B">
        <w:rPr>
          <w:rStyle w:val="Gl"/>
          <w:rFonts w:ascii="Times New Roman" w:hAnsi="Times New Roman" w:cs="Times New Roman"/>
          <w:b/>
          <w:bCs w:val="0"/>
        </w:rPr>
        <w:t xml:space="preserve"> by License T</w:t>
      </w:r>
      <w:r w:rsidRPr="004E7F7B">
        <w:rPr>
          <w:rStyle w:val="Gl"/>
          <w:rFonts w:ascii="Times New Roman" w:hAnsi="Times New Roman" w:cs="Times New Roman"/>
          <w:b/>
          <w:bCs w:val="0"/>
        </w:rPr>
        <w:t>ypes</w:t>
      </w:r>
      <w:bookmarkEnd w:id="286"/>
      <w:r w:rsidRPr="004E7F7B">
        <w:rPr>
          <w:rStyle w:val="Gl"/>
          <w:rFonts w:ascii="Times New Roman" w:hAnsi="Times New Roman" w:cs="Times New Roman"/>
          <w:b/>
          <w:bCs w:val="0"/>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888"/>
        <w:gridCol w:w="1610"/>
        <w:gridCol w:w="745"/>
        <w:gridCol w:w="1558"/>
        <w:gridCol w:w="745"/>
      </w:tblGrid>
      <w:tr w:rsidR="00FE7FEB" w:rsidRPr="004E7F7B" w:rsidTr="00BF3DA9">
        <w:trPr>
          <w:trHeight w:val="20"/>
        </w:trPr>
        <w:tc>
          <w:tcPr>
            <w:tcW w:w="255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 </w:t>
            </w:r>
            <w:r w:rsidRPr="004E7F7B">
              <w:rPr>
                <w:rFonts w:ascii="Times New Roman" w:eastAsia="Times New Roman" w:hAnsi="Times New Roman" w:cs="Times New Roman"/>
                <w:b/>
                <w:bCs/>
                <w:color w:val="FFFFFF" w:themeColor="background1"/>
                <w:lang w:eastAsia="tr-TR"/>
              </w:rPr>
              <w:t>License Type</w:t>
            </w:r>
          </w:p>
        </w:tc>
        <w:tc>
          <w:tcPr>
            <w:tcW w:w="132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BF3DA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2018</w:t>
            </w:r>
          </w:p>
        </w:tc>
        <w:tc>
          <w:tcPr>
            <w:tcW w:w="1115"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BF3DA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2019</w:t>
            </w:r>
          </w:p>
        </w:tc>
      </w:tr>
      <w:tr w:rsidR="00FE7FEB" w:rsidRPr="004E7F7B" w:rsidTr="00BF3DA9">
        <w:trPr>
          <w:trHeight w:val="2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D8641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Amount of Administrative F</w:t>
            </w:r>
            <w:r w:rsidR="00FE7FEB" w:rsidRPr="004E7F7B">
              <w:rPr>
                <w:rFonts w:ascii="Times New Roman" w:eastAsia="Times New Roman" w:hAnsi="Times New Roman" w:cs="Times New Roman"/>
                <w:b/>
                <w:bCs/>
                <w:color w:val="FFFFFF" w:themeColor="background1"/>
                <w:lang w:eastAsia="tr-TR"/>
              </w:rPr>
              <w:t>ine (TL)</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D8641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Amount of Administrative F</w:t>
            </w:r>
            <w:r w:rsidR="00FE7FEB" w:rsidRPr="004E7F7B">
              <w:rPr>
                <w:rFonts w:ascii="Times New Roman" w:eastAsia="Times New Roman" w:hAnsi="Times New Roman" w:cs="Times New Roman"/>
                <w:b/>
                <w:bCs/>
                <w:color w:val="FFFFFF" w:themeColor="background1"/>
                <w:lang w:eastAsia="tr-TR"/>
              </w:rPr>
              <w:t>ine (TL)</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Distributor</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449.302.361</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74,68</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317.588.193</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76,84</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Vendorship</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132.239.613</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21,98</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77.101.826</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18,66</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Lube oil</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14.644.181</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2,43</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17.784.463</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4,30</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Storage</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3.948.243</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0,66</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70.000</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0,02</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Bunker</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363.755</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0,06</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747.269</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0,18</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Free user</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422.879</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0,07</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Surveillance Companies Authorized by the Institution</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695.789</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0,12</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r>
      <w:tr w:rsidR="00BF3DA9" w:rsidRPr="004E7F7B" w:rsidTr="00BF3DA9">
        <w:trPr>
          <w:trHeight w:val="20"/>
        </w:trPr>
        <w:tc>
          <w:tcPr>
            <w:tcW w:w="255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601.616.821</w:t>
            </w:r>
          </w:p>
        </w:tc>
        <w:tc>
          <w:tcPr>
            <w:tcW w:w="3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c>
          <w:tcPr>
            <w:tcW w:w="7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413.291.751</w:t>
            </w:r>
          </w:p>
        </w:tc>
        <w:tc>
          <w:tcPr>
            <w:tcW w:w="3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BF3DA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r>
    </w:tbl>
    <w:p w:rsidR="00BF3DA9" w:rsidRPr="004E7F7B" w:rsidRDefault="00FE7FEB" w:rsidP="00793DA9">
      <w:r w:rsidRPr="004E7F7B">
        <w:t>The distribution of the administrative penalties imposed by Petroleum Market in 201</w:t>
      </w:r>
      <w:r w:rsidR="00BF3DA9" w:rsidRPr="004E7F7B">
        <w:t>9</w:t>
      </w:r>
      <w:r w:rsidRPr="004E7F7B">
        <w:t xml:space="preserve"> is shown in Table </w:t>
      </w:r>
      <w:r w:rsidR="00BF3DA9" w:rsidRPr="004E7F7B">
        <w:t>6.5</w:t>
      </w:r>
    </w:p>
    <w:p w:rsidR="00FE7FEB" w:rsidRPr="004E7F7B" w:rsidRDefault="00FE7FEB" w:rsidP="004E7F7B">
      <w:pPr>
        <w:pStyle w:val="Balk5"/>
        <w:jc w:val="both"/>
        <w:rPr>
          <w:rFonts w:ascii="Times New Roman" w:hAnsi="Times New Roman" w:cs="Times New Roman"/>
          <w:bCs/>
        </w:rPr>
      </w:pPr>
      <w:bookmarkStart w:id="287" w:name="_Toc48818055"/>
      <w:bookmarkStart w:id="288" w:name="_Toc514251691"/>
      <w:r w:rsidRPr="004E7F7B">
        <w:rPr>
          <w:rStyle w:val="Gl"/>
          <w:rFonts w:ascii="Times New Roman" w:hAnsi="Times New Roman" w:cs="Times New Roman"/>
          <w:b/>
          <w:bCs w:val="0"/>
          <w:color w:val="000000" w:themeColor="text1"/>
        </w:rPr>
        <w:t>Table 6.5: Dispersion of Administrative Fines Imposed in Petroleum Market in 2017 by subject matters</w:t>
      </w:r>
      <w:bookmarkEnd w:id="28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522"/>
        <w:gridCol w:w="2012"/>
        <w:gridCol w:w="1581"/>
        <w:gridCol w:w="2211"/>
        <w:gridCol w:w="1220"/>
      </w:tblGrid>
      <w:tr w:rsidR="00FE7FEB" w:rsidRPr="004E7F7B" w:rsidTr="00793DA9">
        <w:trPr>
          <w:trHeight w:val="20"/>
          <w:tblHeader/>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793DA9" w:rsidRDefault="00FE7FEB" w:rsidP="004E7F7B">
            <w:pPr>
              <w:rPr>
                <w:rFonts w:ascii="Times New Roman" w:hAnsi="Times New Roman" w:cs="Times New Roman"/>
                <w:b/>
                <w:color w:val="FFFFFF" w:themeColor="background1"/>
                <w:lang w:val="tr-TR" w:eastAsia="tr-TR"/>
              </w:rPr>
            </w:pPr>
            <w:r w:rsidRPr="00793DA9">
              <w:rPr>
                <w:rFonts w:ascii="Times New Roman" w:hAnsi="Times New Roman" w:cs="Times New Roman"/>
                <w:b/>
                <w:color w:val="FFFFFF" w:themeColor="background1"/>
                <w:lang w:eastAsia="tr-TR"/>
              </w:rPr>
              <w:t>Subject matter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793DA9" w:rsidRDefault="00FE7FEB" w:rsidP="004E7F7B">
            <w:pPr>
              <w:rPr>
                <w:rFonts w:ascii="Times New Roman" w:hAnsi="Times New Roman" w:cs="Times New Roman"/>
                <w:b/>
                <w:color w:val="FFFFFF" w:themeColor="background1"/>
                <w:lang w:eastAsia="tr-TR"/>
              </w:rPr>
            </w:pPr>
            <w:r w:rsidRPr="00793DA9">
              <w:rPr>
                <w:rFonts w:ascii="Times New Roman" w:hAnsi="Times New Roman" w:cs="Times New Roman"/>
                <w:b/>
                <w:color w:val="FFFFFF" w:themeColor="background1"/>
                <w:lang w:eastAsia="tr-TR"/>
              </w:rPr>
              <w:t>No of administrative fines imposed</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793DA9" w:rsidRDefault="00FE7FEB" w:rsidP="004E7F7B">
            <w:pPr>
              <w:rPr>
                <w:rFonts w:ascii="Times New Roman" w:hAnsi="Times New Roman" w:cs="Times New Roman"/>
                <w:b/>
                <w:color w:val="FFFFFF" w:themeColor="background1"/>
                <w:lang w:eastAsia="tr-TR"/>
              </w:rPr>
            </w:pPr>
            <w:r w:rsidRPr="00793DA9">
              <w:rPr>
                <w:rFonts w:ascii="Times New Roman" w:hAnsi="Times New Roman" w:cs="Times New Roman"/>
                <w:b/>
                <w:color w:val="FFFFFF" w:themeColor="background1"/>
                <w:lang w:eastAsia="tr-TR"/>
              </w:rPr>
              <w:t>Share (%)</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793DA9" w:rsidRDefault="00FE7FEB" w:rsidP="004E7F7B">
            <w:pPr>
              <w:rPr>
                <w:rFonts w:ascii="Times New Roman" w:hAnsi="Times New Roman" w:cs="Times New Roman"/>
                <w:b/>
                <w:color w:val="FFFFFF" w:themeColor="background1"/>
                <w:lang w:eastAsia="tr-TR"/>
              </w:rPr>
            </w:pPr>
            <w:r w:rsidRPr="00793DA9">
              <w:rPr>
                <w:rFonts w:ascii="Times New Roman" w:hAnsi="Times New Roman" w:cs="Times New Roman"/>
                <w:b/>
                <w:color w:val="FFFFFF" w:themeColor="background1"/>
                <w:lang w:eastAsia="tr-TR"/>
              </w:rPr>
              <w:t>Amount of administrative fines (TL)</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793DA9" w:rsidRDefault="00FE7FEB" w:rsidP="004E7F7B">
            <w:pPr>
              <w:rPr>
                <w:rFonts w:ascii="Times New Roman" w:hAnsi="Times New Roman" w:cs="Times New Roman"/>
                <w:b/>
                <w:color w:val="FFFFFF" w:themeColor="background1"/>
                <w:lang w:eastAsia="tr-TR"/>
              </w:rPr>
            </w:pPr>
            <w:r w:rsidRPr="00793DA9">
              <w:rPr>
                <w:rFonts w:ascii="Times New Roman" w:hAnsi="Times New Roman" w:cs="Times New Roman"/>
                <w:b/>
                <w:color w:val="FFFFFF" w:themeColor="background1"/>
                <w:lang w:eastAsia="tr-TR"/>
              </w:rPr>
              <w:t>Share (%)</w:t>
            </w:r>
          </w:p>
        </w:tc>
      </w:tr>
      <w:tr w:rsidR="00BF3DA9"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F3DA9" w:rsidRPr="004E7F7B" w:rsidRDefault="00D86419" w:rsidP="004E7F7B">
            <w:pPr>
              <w:rPr>
                <w:rFonts w:ascii="Times New Roman" w:hAnsi="Times New Roman" w:cs="Times New Roman"/>
                <w:lang w:eastAsia="tr-TR"/>
              </w:rPr>
            </w:pPr>
            <w:r w:rsidRPr="004E7F7B">
              <w:rPr>
                <w:rFonts w:ascii="Times New Roman" w:hAnsi="Times New Roman" w:cs="Times New Roman"/>
                <w:color w:val="000000"/>
                <w:lang w:eastAsia="tr-TR"/>
              </w:rPr>
              <w:t>Authomation L</w:t>
            </w:r>
            <w:r w:rsidR="00BF3DA9" w:rsidRPr="004E7F7B">
              <w:rPr>
                <w:rFonts w:ascii="Times New Roman" w:hAnsi="Times New Roman" w:cs="Times New Roman"/>
                <w:color w:val="000000"/>
                <w:lang w:eastAsia="tr-TR"/>
              </w:rPr>
              <w:t xml:space="preserve">iability and </w:t>
            </w:r>
            <w:r w:rsidRPr="004E7F7B">
              <w:rPr>
                <w:rFonts w:ascii="Times New Roman" w:hAnsi="Times New Roman" w:cs="Times New Roman"/>
                <w:color w:val="000000"/>
                <w:lang w:eastAsia="tr-TR"/>
              </w:rPr>
              <w:t>out of License A</w:t>
            </w:r>
            <w:r w:rsidR="00BF3DA9" w:rsidRPr="004E7F7B">
              <w:rPr>
                <w:rFonts w:ascii="Times New Roman" w:hAnsi="Times New Roman" w:cs="Times New Roman"/>
                <w:color w:val="000000"/>
                <w:lang w:eastAsia="tr-TR"/>
              </w:rPr>
              <w:t>ctivity</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539</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65,89</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277.711.150</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BF3DA9" w:rsidRPr="004E7F7B" w:rsidRDefault="00BF3DA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67,19</w:t>
            </w:r>
          </w:p>
        </w:tc>
      </w:tr>
      <w:tr w:rsidR="00E1629A"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1629A" w:rsidRPr="004E7F7B" w:rsidRDefault="00DF2D35" w:rsidP="004E7F7B">
            <w:pPr>
              <w:spacing w:after="0" w:line="240" w:lineRule="auto"/>
              <w:rPr>
                <w:rFonts w:ascii="Times New Roman" w:eastAsia="Times New Roman" w:hAnsi="Times New Roman" w:cs="Times New Roman"/>
                <w:color w:val="FF0000"/>
                <w:lang w:eastAsia="tr-TR"/>
              </w:rPr>
            </w:pPr>
            <w:r w:rsidRPr="00793DA9">
              <w:rPr>
                <w:rFonts w:ascii="Times New Roman" w:hAnsi="Times New Roman" w:cs="Times New Roman"/>
                <w:color w:val="000000"/>
                <w:lang w:eastAsia="tr-TR"/>
              </w:rPr>
              <w:t>Violation of National Oil Stock Liability</w:t>
            </w:r>
            <w:r w:rsidRPr="004E7F7B">
              <w:rPr>
                <w:rFonts w:ascii="Times New Roman" w:eastAsia="Times New Roman" w:hAnsi="Times New Roman" w:cs="Times New Roman"/>
                <w:color w:val="FF0000"/>
                <w:lang w:eastAsia="tr-TR"/>
              </w:rPr>
              <w:t xml:space="preserve"> </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48</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5,87</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68.297.250</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16,53</w:t>
            </w:r>
          </w:p>
        </w:tc>
      </w:tr>
      <w:tr w:rsidR="00E1629A"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1629A" w:rsidRPr="004E7F7B" w:rsidRDefault="00DF2D35" w:rsidP="004E7F7B">
            <w:pPr>
              <w:spacing w:after="0" w:line="240" w:lineRule="auto"/>
              <w:rPr>
                <w:rFonts w:ascii="Times New Roman" w:eastAsia="Times New Roman" w:hAnsi="Times New Roman" w:cs="Times New Roman"/>
                <w:color w:val="FF0000"/>
                <w:lang w:eastAsia="tr-TR"/>
              </w:rPr>
            </w:pPr>
            <w:r w:rsidRPr="00793DA9">
              <w:rPr>
                <w:rFonts w:ascii="Times New Roman" w:hAnsi="Times New Roman" w:cs="Times New Roman"/>
                <w:color w:val="000000"/>
                <w:lang w:eastAsia="tr-TR"/>
              </w:rPr>
              <w:t>Violation of the Procedures and Principles Governing License</w:t>
            </w:r>
            <w:r w:rsidRPr="004E7F7B">
              <w:rPr>
                <w:rFonts w:ascii="Times New Roman" w:eastAsia="Times New Roman" w:hAnsi="Times New Roman" w:cs="Times New Roman"/>
                <w:color w:val="FF0000"/>
                <w:lang w:eastAsia="tr-TR"/>
              </w:rPr>
              <w:t xml:space="preserve"> </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9,05</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17.897.299</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4,33</w:t>
            </w:r>
          </w:p>
        </w:tc>
      </w:tr>
      <w:tr w:rsidR="00E1629A"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1629A" w:rsidRPr="004E7F7B" w:rsidRDefault="00D86419" w:rsidP="004E7F7B">
            <w:pPr>
              <w:rPr>
                <w:rFonts w:ascii="Times New Roman" w:hAnsi="Times New Roman" w:cs="Times New Roman"/>
                <w:lang w:eastAsia="tr-TR"/>
              </w:rPr>
            </w:pPr>
            <w:r w:rsidRPr="004E7F7B">
              <w:rPr>
                <w:rFonts w:ascii="Times New Roman" w:hAnsi="Times New Roman" w:cs="Times New Roman"/>
                <w:color w:val="000000"/>
                <w:lang w:eastAsia="tr-TR"/>
              </w:rPr>
              <w:t>National Marker not Being in Adequte A</w:t>
            </w:r>
            <w:r w:rsidR="00E1629A" w:rsidRPr="004E7F7B">
              <w:rPr>
                <w:rFonts w:ascii="Times New Roman" w:hAnsi="Times New Roman" w:cs="Times New Roman"/>
                <w:color w:val="000000"/>
                <w:lang w:eastAsia="tr-TR"/>
              </w:rPr>
              <w:t>mount</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0,37</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2.120.000</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0,51</w:t>
            </w:r>
          </w:p>
        </w:tc>
      </w:tr>
      <w:tr w:rsidR="00E1629A"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1629A" w:rsidRPr="004E7F7B" w:rsidRDefault="00D86419" w:rsidP="004E7F7B">
            <w:pPr>
              <w:rPr>
                <w:rFonts w:ascii="Times New Roman" w:hAnsi="Times New Roman" w:cs="Times New Roman"/>
                <w:lang w:eastAsia="tr-TR"/>
              </w:rPr>
            </w:pPr>
            <w:r w:rsidRPr="004E7F7B">
              <w:rPr>
                <w:rFonts w:ascii="Times New Roman" w:hAnsi="Times New Roman" w:cs="Times New Roman"/>
                <w:color w:val="000000"/>
                <w:lang w:eastAsia="tr-TR"/>
              </w:rPr>
              <w:t>Liquid Fuel Delivery whose Origin is not C</w:t>
            </w:r>
            <w:r w:rsidR="00E1629A" w:rsidRPr="004E7F7B">
              <w:rPr>
                <w:rFonts w:ascii="Times New Roman" w:hAnsi="Times New Roman" w:cs="Times New Roman"/>
                <w:color w:val="000000"/>
                <w:lang w:eastAsia="tr-TR"/>
              </w:rPr>
              <w:t>lear</w:t>
            </w:r>
            <w:r w:rsidRPr="004E7F7B">
              <w:rPr>
                <w:rFonts w:ascii="Times New Roman" w:hAnsi="Times New Roman" w:cs="Times New Roman"/>
                <w:color w:val="000000"/>
                <w:lang w:eastAsia="tr-TR"/>
              </w:rPr>
              <w:t xml:space="preserve"> or From Different D</w:t>
            </w:r>
            <w:r w:rsidR="00E1629A" w:rsidRPr="004E7F7B">
              <w:rPr>
                <w:rFonts w:ascii="Times New Roman" w:hAnsi="Times New Roman" w:cs="Times New Roman"/>
                <w:color w:val="000000"/>
                <w:lang w:eastAsia="tr-TR"/>
              </w:rPr>
              <w:t>istributor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0,61</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681.521</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0,16</w:t>
            </w:r>
          </w:p>
        </w:tc>
      </w:tr>
      <w:tr w:rsidR="00E1629A" w:rsidRPr="004E7F7B" w:rsidTr="00793DA9">
        <w:trPr>
          <w:trHeight w:val="378"/>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1629A" w:rsidRPr="004E7F7B" w:rsidRDefault="00E1629A" w:rsidP="004E7F7B">
            <w:pPr>
              <w:rPr>
                <w:rFonts w:ascii="Times New Roman" w:hAnsi="Times New Roman" w:cs="Times New Roman"/>
                <w:lang w:eastAsia="tr-TR"/>
              </w:rPr>
            </w:pPr>
            <w:r w:rsidRPr="004E7F7B">
              <w:rPr>
                <w:rFonts w:ascii="Times New Roman" w:hAnsi="Times New Roman" w:cs="Times New Roman"/>
                <w:color w:val="000000"/>
                <w:lang w:eastAsia="tr-TR"/>
              </w:rPr>
              <w:t>Other*</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149</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18,22</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46.584.531</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11,27</w:t>
            </w:r>
          </w:p>
        </w:tc>
      </w:tr>
      <w:tr w:rsidR="00E1629A" w:rsidRPr="004E7F7B" w:rsidTr="00793DA9">
        <w:trPr>
          <w:trHeight w:val="20"/>
        </w:trPr>
        <w:tc>
          <w:tcPr>
            <w:tcW w:w="13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1629A" w:rsidRPr="004E7F7B" w:rsidRDefault="00E1629A" w:rsidP="004E7F7B">
            <w:pPr>
              <w:rPr>
                <w:rFonts w:ascii="Times New Roman" w:hAnsi="Times New Roman" w:cs="Times New Roman"/>
                <w:lang w:eastAsia="tr-TR"/>
              </w:rPr>
            </w:pPr>
            <w:r w:rsidRPr="004E7F7B">
              <w:rPr>
                <w:rFonts w:ascii="Times New Roman" w:hAnsi="Times New Roman" w:cs="Times New Roman"/>
                <w:lang w:eastAsia="tr-TR"/>
              </w:rPr>
              <w:t>Total</w:t>
            </w:r>
          </w:p>
        </w:tc>
        <w:tc>
          <w:tcPr>
            <w:tcW w:w="10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
                <w:bCs/>
                <w:color w:val="000000"/>
                <w:lang w:eastAsia="tr-TR"/>
              </w:rPr>
              <w:t>818</w:t>
            </w:r>
          </w:p>
        </w:tc>
        <w:tc>
          <w:tcPr>
            <w:tcW w:w="8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
                <w:bCs/>
                <w:color w:val="000000"/>
                <w:lang w:eastAsia="tr-TR"/>
              </w:rPr>
              <w:t>100,00</w:t>
            </w:r>
          </w:p>
        </w:tc>
        <w:tc>
          <w:tcPr>
            <w:tcW w:w="11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
                <w:bCs/>
                <w:color w:val="000000"/>
                <w:lang w:eastAsia="tr-TR"/>
              </w:rPr>
              <w:t>413.291.751</w:t>
            </w:r>
          </w:p>
        </w:tc>
        <w:tc>
          <w:tcPr>
            <w:tcW w:w="6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E1629A" w:rsidRPr="004E7F7B" w:rsidRDefault="00E1629A"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
                <w:bCs/>
                <w:color w:val="000000"/>
                <w:lang w:eastAsia="tr-TR"/>
              </w:rPr>
              <w:t>100,00</w:t>
            </w:r>
          </w:p>
        </w:tc>
      </w:tr>
    </w:tbl>
    <w:p w:rsidR="00FE7FEB" w:rsidRPr="004E7F7B" w:rsidRDefault="00FE7FEB" w:rsidP="00793DA9">
      <w:pPr>
        <w:rPr>
          <w:lang w:val="en-GB"/>
        </w:rPr>
      </w:pPr>
      <w:r w:rsidRPr="004E7F7B">
        <w:rPr>
          <w:lang w:val="en-GB"/>
        </w:rPr>
        <w:t>*Covers the violations of the Petroleum Market legislation's obligation to avoid carefully the malicious acts and the consequences of dangerous actions, and the irregularities involved in the National Marker addition process.</w:t>
      </w:r>
    </w:p>
    <w:p w:rsidR="00FE7FEB" w:rsidRPr="004E7F7B" w:rsidRDefault="00FE7FEB" w:rsidP="004E7F7B">
      <w:pPr>
        <w:pStyle w:val="Balk2"/>
        <w:rPr>
          <w:rFonts w:ascii="Times New Roman" w:hAnsi="Times New Roman" w:cs="Times New Roman"/>
          <w:sz w:val="22"/>
          <w:szCs w:val="22"/>
        </w:rPr>
      </w:pPr>
      <w:bookmarkStart w:id="289" w:name="_Toc48817892"/>
      <w:r w:rsidRPr="004E7F7B">
        <w:rPr>
          <w:rFonts w:ascii="Times New Roman" w:hAnsi="Times New Roman" w:cs="Times New Roman"/>
          <w:sz w:val="22"/>
          <w:szCs w:val="22"/>
        </w:rPr>
        <w:t xml:space="preserve">6.4 Liquefied Petroleum Gases </w:t>
      </w:r>
      <w:bookmarkEnd w:id="288"/>
      <w:r w:rsidRPr="004E7F7B">
        <w:rPr>
          <w:rFonts w:ascii="Times New Roman" w:hAnsi="Times New Roman" w:cs="Times New Roman"/>
          <w:sz w:val="22"/>
          <w:szCs w:val="22"/>
        </w:rPr>
        <w:t>Auditing Activities</w:t>
      </w:r>
      <w:bookmarkEnd w:id="289"/>
    </w:p>
    <w:p w:rsidR="00FE7FEB" w:rsidRPr="004E7F7B" w:rsidRDefault="00FE7FEB" w:rsidP="00793DA9">
      <w:r w:rsidRPr="004E7F7B">
        <w:t>Liquefied Petroleum Gases market inspections are carried out by examining and evaluating the relevant legislative compliance of the activities and accounts of the real or legal persons engaged in the market in the market. Inspections and penalties to be applied for inspection activities and consequences for activities carried out on the Liquefied Petroleum Gases market are implemented within the framework of Article 16 of Law No. 5307. Transactions are also carried out under the secondary legislation issued based on the provisions of this Law. Petroleum Market and Liquefied Petroleum Gases (LPG) Market under the Cooperation Protocols on Supervision of the Market, the entire market was audited and the activities of natural or legal persons operating without license were stopped by sealing.</w:t>
      </w:r>
    </w:p>
    <w:p w:rsidR="00FE7FEB" w:rsidRPr="004E7F7B" w:rsidRDefault="00DF2D35" w:rsidP="00793DA9">
      <w:pPr>
        <w:rPr>
          <w:color w:val="FF0000"/>
        </w:rPr>
      </w:pPr>
      <w:r w:rsidRPr="004E7F7B">
        <w:rPr>
          <w:lang w:val="en"/>
        </w:rPr>
        <w:t>The Liquefied Petroleum Gases (LPG) Market Law No. 5307 and the Law on the Amendment of the Electricity Market Law, the Regulation on the Audits to be Made in the Liquefied Petroleum Gases (LPG) Market and the Procedures and Principles to be Followed in Preliminary Investigations and Investigations, Cooperation on Petroleum Market and Audits in the LPG Market Inspections have been made within the scope of its protocols; The qualification determined by the Board in accordance with Article 36 of the Law on Mining Law No. 7164, dated 14/02/2019, amending Article 17 of the Liquefied Petroleum Gas (LPG) Market Law No. 5307 (Law) Warning transactions were issued to 169 autogas stations during the audits carried out within the scope of acts that are subject to correction.</w:t>
      </w:r>
    </w:p>
    <w:p w:rsidR="00FE7FEB" w:rsidRPr="004E7F7B" w:rsidRDefault="00FE0469" w:rsidP="004E7F7B">
      <w:pPr>
        <w:pStyle w:val="Balk5"/>
        <w:jc w:val="both"/>
        <w:rPr>
          <w:rFonts w:ascii="Times New Roman" w:hAnsi="Times New Roman" w:cs="Times New Roman"/>
        </w:rPr>
      </w:pPr>
      <w:bookmarkStart w:id="290" w:name="_Toc48818056"/>
      <w:r w:rsidRPr="004E7F7B">
        <w:rPr>
          <w:rStyle w:val="Gl"/>
          <w:rFonts w:ascii="Times New Roman" w:hAnsi="Times New Roman" w:cs="Times New Roman"/>
          <w:b/>
          <w:bCs w:val="0"/>
        </w:rPr>
        <w:t>Table 6.6: Dispersion of the Administrative Fines I</w:t>
      </w:r>
      <w:r w:rsidR="00FE7FEB" w:rsidRPr="004E7F7B">
        <w:rPr>
          <w:rStyle w:val="Gl"/>
          <w:rFonts w:ascii="Times New Roman" w:hAnsi="Times New Roman" w:cs="Times New Roman"/>
          <w:b/>
          <w:bCs w:val="0"/>
        </w:rPr>
        <w:t>mposed in 201</w:t>
      </w:r>
      <w:r w:rsidR="00FF201D" w:rsidRPr="004E7F7B">
        <w:rPr>
          <w:rStyle w:val="Gl"/>
          <w:rFonts w:ascii="Times New Roman" w:hAnsi="Times New Roman" w:cs="Times New Roman"/>
          <w:b/>
          <w:bCs w:val="0"/>
        </w:rPr>
        <w:t>9</w:t>
      </w:r>
      <w:r w:rsidRPr="004E7F7B">
        <w:rPr>
          <w:rStyle w:val="Gl"/>
          <w:rFonts w:ascii="Times New Roman" w:hAnsi="Times New Roman" w:cs="Times New Roman"/>
          <w:b/>
          <w:bCs w:val="0"/>
        </w:rPr>
        <w:t xml:space="preserve"> in LPG Market by the License T</w:t>
      </w:r>
      <w:r w:rsidR="00FE7FEB" w:rsidRPr="004E7F7B">
        <w:rPr>
          <w:rStyle w:val="Gl"/>
          <w:rFonts w:ascii="Times New Roman" w:hAnsi="Times New Roman" w:cs="Times New Roman"/>
          <w:b/>
          <w:bCs w:val="0"/>
        </w:rPr>
        <w:t>ypes</w:t>
      </w:r>
      <w:bookmarkEnd w:id="29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48"/>
        <w:gridCol w:w="2209"/>
        <w:gridCol w:w="1268"/>
        <w:gridCol w:w="3353"/>
        <w:gridCol w:w="1268"/>
      </w:tblGrid>
      <w:tr w:rsidR="00FE7FEB" w:rsidRPr="004E7F7B" w:rsidTr="00793DA9">
        <w:trPr>
          <w:trHeight w:val="20"/>
          <w:jc w:val="center"/>
        </w:trPr>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val="tr-TR" w:eastAsia="tr-TR"/>
              </w:rPr>
            </w:pPr>
            <w:r w:rsidRPr="004E7F7B">
              <w:rPr>
                <w:rFonts w:ascii="Times New Roman" w:eastAsia="Times New Roman" w:hAnsi="Times New Roman" w:cs="Times New Roman"/>
                <w:b/>
                <w:bCs/>
                <w:color w:val="FFFFFF" w:themeColor="background1"/>
                <w:lang w:eastAsia="tr-TR"/>
              </w:rPr>
              <w:t>License Type</w:t>
            </w:r>
          </w:p>
        </w:tc>
        <w:tc>
          <w:tcPr>
            <w:tcW w:w="11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0469"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 of Imposed Administrative S</w:t>
            </w:r>
            <w:r w:rsidR="00FE7FEB" w:rsidRPr="004E7F7B">
              <w:rPr>
                <w:rFonts w:ascii="Times New Roman" w:eastAsia="Times New Roman" w:hAnsi="Times New Roman" w:cs="Times New Roman"/>
                <w:b/>
                <w:bCs/>
                <w:color w:val="FFFFFF" w:themeColor="background1"/>
                <w:lang w:eastAsia="tr-TR"/>
              </w:rPr>
              <w:t>anctions</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c>
          <w:tcPr>
            <w:tcW w:w="17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 xml:space="preserve">Amount of </w:t>
            </w:r>
            <w:r w:rsidR="00FE0469" w:rsidRPr="004E7F7B">
              <w:rPr>
                <w:rFonts w:ascii="Times New Roman" w:eastAsia="Times New Roman" w:hAnsi="Times New Roman" w:cs="Times New Roman"/>
                <w:b/>
                <w:bCs/>
                <w:color w:val="FFFFFF" w:themeColor="background1"/>
                <w:lang w:eastAsia="tr-TR"/>
              </w:rPr>
              <w:t>Administrative F</w:t>
            </w:r>
            <w:r w:rsidRPr="004E7F7B">
              <w:rPr>
                <w:rFonts w:ascii="Times New Roman" w:eastAsia="Times New Roman" w:hAnsi="Times New Roman" w:cs="Times New Roman"/>
                <w:b/>
                <w:bCs/>
                <w:color w:val="FFFFFF" w:themeColor="background1"/>
                <w:lang w:eastAsia="tr-TR"/>
              </w:rPr>
              <w:t>ines (TL)</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r>
      <w:tr w:rsidR="00FF201D" w:rsidRPr="004E7F7B" w:rsidTr="00793DA9">
        <w:trPr>
          <w:trHeight w:val="20"/>
          <w:jc w:val="center"/>
        </w:trPr>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Vendorship</w:t>
            </w:r>
          </w:p>
        </w:tc>
        <w:tc>
          <w:tcPr>
            <w:tcW w:w="11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252</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96,92</w:t>
            </w:r>
          </w:p>
        </w:tc>
        <w:tc>
          <w:tcPr>
            <w:tcW w:w="17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34.451.977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92,18</w:t>
            </w:r>
          </w:p>
        </w:tc>
      </w:tr>
      <w:tr w:rsidR="00FF201D" w:rsidRPr="004E7F7B" w:rsidTr="00793DA9">
        <w:trPr>
          <w:trHeight w:val="20"/>
          <w:jc w:val="center"/>
        </w:trPr>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Distributor</w:t>
            </w:r>
          </w:p>
        </w:tc>
        <w:tc>
          <w:tcPr>
            <w:tcW w:w="11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8</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3,08</w:t>
            </w:r>
          </w:p>
        </w:tc>
        <w:tc>
          <w:tcPr>
            <w:tcW w:w="17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2.922.033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7,82</w:t>
            </w:r>
          </w:p>
        </w:tc>
      </w:tr>
      <w:tr w:rsidR="00FF201D" w:rsidRPr="004E7F7B" w:rsidTr="00793DA9">
        <w:trPr>
          <w:trHeight w:val="20"/>
          <w:jc w:val="center"/>
        </w:trPr>
        <w:tc>
          <w:tcPr>
            <w:tcW w:w="75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11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260</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100,00</w:t>
            </w:r>
          </w:p>
        </w:tc>
        <w:tc>
          <w:tcPr>
            <w:tcW w:w="17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 xml:space="preserve">37.374.010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rsidR="00FF201D" w:rsidRPr="004E7F7B" w:rsidRDefault="00FF201D" w:rsidP="004E7F7B">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100,00</w:t>
            </w:r>
          </w:p>
        </w:tc>
      </w:tr>
    </w:tbl>
    <w:p w:rsidR="00FE7FEB" w:rsidRPr="004E7F7B" w:rsidRDefault="00FE7FEB" w:rsidP="004E7F7B">
      <w:pPr>
        <w:rPr>
          <w:rFonts w:ascii="Times New Roman" w:hAnsi="Times New Roman" w:cs="Times New Roman"/>
        </w:rPr>
      </w:pPr>
    </w:p>
    <w:p w:rsidR="00216EDE" w:rsidRPr="004E7F7B" w:rsidRDefault="00FF201D" w:rsidP="004E7F7B">
      <w:pPr>
        <w:pStyle w:val="Balk5"/>
        <w:jc w:val="both"/>
        <w:rPr>
          <w:rFonts w:ascii="Times New Roman" w:hAnsi="Times New Roman" w:cs="Times New Roman"/>
        </w:rPr>
      </w:pPr>
      <w:bookmarkStart w:id="291" w:name="_Toc48818057"/>
      <w:r w:rsidRPr="004E7F7B">
        <w:rPr>
          <w:rStyle w:val="Gl"/>
          <w:rFonts w:ascii="Times New Roman" w:hAnsi="Times New Roman" w:cs="Times New Roman"/>
          <w:b/>
          <w:bCs w:val="0"/>
        </w:rPr>
        <w:t xml:space="preserve">Table 6.7: </w:t>
      </w:r>
      <w:bookmarkStart w:id="292" w:name="_Hlk12436121"/>
      <w:r w:rsidR="00FE0469" w:rsidRPr="004E7F7B">
        <w:rPr>
          <w:rStyle w:val="Gl"/>
          <w:rFonts w:ascii="Times New Roman" w:hAnsi="Times New Roman" w:cs="Times New Roman"/>
          <w:b/>
          <w:bCs w:val="0"/>
        </w:rPr>
        <w:t>Dispersion of the A</w:t>
      </w:r>
      <w:r w:rsidRPr="004E7F7B">
        <w:rPr>
          <w:rStyle w:val="Gl"/>
          <w:rFonts w:ascii="Times New Roman" w:hAnsi="Times New Roman" w:cs="Times New Roman"/>
          <w:b/>
          <w:bCs w:val="0"/>
        </w:rPr>
        <w:t>dmin</w:t>
      </w:r>
      <w:r w:rsidR="00FE0469" w:rsidRPr="004E7F7B">
        <w:rPr>
          <w:rStyle w:val="Gl"/>
          <w:rFonts w:ascii="Times New Roman" w:hAnsi="Times New Roman" w:cs="Times New Roman"/>
          <w:b/>
          <w:bCs w:val="0"/>
        </w:rPr>
        <w:t>istartive Fines I</w:t>
      </w:r>
      <w:r w:rsidRPr="004E7F7B">
        <w:rPr>
          <w:rStyle w:val="Gl"/>
          <w:rFonts w:ascii="Times New Roman" w:hAnsi="Times New Roman" w:cs="Times New Roman"/>
          <w:b/>
          <w:bCs w:val="0"/>
        </w:rPr>
        <w:t>mposed in  2018-2019</w:t>
      </w:r>
      <w:r w:rsidR="00FE0469" w:rsidRPr="004E7F7B">
        <w:rPr>
          <w:rStyle w:val="Gl"/>
          <w:rFonts w:ascii="Times New Roman" w:hAnsi="Times New Roman" w:cs="Times New Roman"/>
          <w:b/>
          <w:bCs w:val="0"/>
        </w:rPr>
        <w:t xml:space="preserve"> in LPG Market by License T</w:t>
      </w:r>
      <w:r w:rsidRPr="004E7F7B">
        <w:rPr>
          <w:rStyle w:val="Gl"/>
          <w:rFonts w:ascii="Times New Roman" w:hAnsi="Times New Roman" w:cs="Times New Roman"/>
          <w:b/>
          <w:bCs w:val="0"/>
        </w:rPr>
        <w:t>ype</w:t>
      </w:r>
      <w:bookmarkEnd w:id="291"/>
      <w:bookmarkEnd w:id="292"/>
    </w:p>
    <w:tbl>
      <w:tblPr>
        <w:tblpPr w:leftFromText="141" w:rightFromText="141" w:vertAnchor="text" w:horzAnchor="margin" w:tblpY="324"/>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580"/>
        <w:gridCol w:w="2845"/>
        <w:gridCol w:w="1138"/>
        <w:gridCol w:w="2845"/>
        <w:gridCol w:w="1138"/>
      </w:tblGrid>
      <w:tr w:rsidR="00216EDE" w:rsidRPr="004E7F7B" w:rsidTr="00793DA9">
        <w:trPr>
          <w:trHeight w:val="20"/>
        </w:trPr>
        <w:tc>
          <w:tcPr>
            <w:tcW w:w="828"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216EDE" w:rsidP="00793DA9">
            <w:pPr>
              <w:spacing w:after="0" w:line="240" w:lineRule="auto"/>
              <w:rPr>
                <w:rFonts w:ascii="Times New Roman" w:eastAsia="Times New Roman" w:hAnsi="Times New Roman" w:cs="Times New Roman"/>
                <w:b/>
                <w:bCs/>
                <w:color w:val="FFFFFF" w:themeColor="background1"/>
                <w:lang w:val="tr-TR" w:eastAsia="tr-TR"/>
              </w:rPr>
            </w:pPr>
            <w:r w:rsidRPr="004E7F7B">
              <w:rPr>
                <w:rFonts w:ascii="Times New Roman" w:eastAsia="Times New Roman" w:hAnsi="Times New Roman" w:cs="Times New Roman"/>
                <w:b/>
                <w:bCs/>
                <w:color w:val="FFFFFF" w:themeColor="background1"/>
                <w:lang w:eastAsia="tr-TR"/>
              </w:rPr>
              <w:t>License Type</w:t>
            </w:r>
          </w:p>
        </w:tc>
        <w:tc>
          <w:tcPr>
            <w:tcW w:w="2086"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FF201D"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2018</w:t>
            </w:r>
          </w:p>
        </w:tc>
        <w:tc>
          <w:tcPr>
            <w:tcW w:w="2086"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hideMark/>
          </w:tcPr>
          <w:p w:rsidR="00216EDE" w:rsidRPr="004E7F7B" w:rsidRDefault="00FF201D"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2019</w:t>
            </w:r>
          </w:p>
        </w:tc>
      </w:tr>
      <w:tr w:rsidR="00216EDE" w:rsidRPr="004E7F7B" w:rsidTr="00793DA9">
        <w:trPr>
          <w:trHeight w:val="20"/>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216EDE" w:rsidRPr="004E7F7B" w:rsidRDefault="00216EDE" w:rsidP="00793DA9">
            <w:pPr>
              <w:spacing w:after="0"/>
              <w:rPr>
                <w:rFonts w:ascii="Times New Roman" w:eastAsia="Times New Roman" w:hAnsi="Times New Roman" w:cs="Times New Roman"/>
                <w:b/>
                <w:bCs/>
                <w:color w:val="FFFFFF" w:themeColor="background1"/>
                <w:lang w:eastAsia="tr-TR"/>
              </w:rPr>
            </w:pP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FE0469"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Amount of Administrative F</w:t>
            </w:r>
            <w:r w:rsidR="00216EDE" w:rsidRPr="004E7F7B">
              <w:rPr>
                <w:rFonts w:ascii="Times New Roman" w:eastAsia="Times New Roman" w:hAnsi="Times New Roman" w:cs="Times New Roman"/>
                <w:b/>
                <w:bCs/>
                <w:color w:val="FFFFFF" w:themeColor="background1"/>
                <w:lang w:eastAsia="tr-TR"/>
              </w:rPr>
              <w:t>ines (TL)</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216EDE"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FE0469"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Amount of Administrative F</w:t>
            </w:r>
            <w:r w:rsidR="00216EDE" w:rsidRPr="004E7F7B">
              <w:rPr>
                <w:rFonts w:ascii="Times New Roman" w:eastAsia="Times New Roman" w:hAnsi="Times New Roman" w:cs="Times New Roman"/>
                <w:b/>
                <w:bCs/>
                <w:color w:val="FFFFFF" w:themeColor="background1"/>
                <w:lang w:eastAsia="tr-TR"/>
              </w:rPr>
              <w:t>ines (TL)</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16EDE" w:rsidRPr="004E7F7B" w:rsidRDefault="00216EDE" w:rsidP="00793DA9">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r>
      <w:tr w:rsidR="00FF201D" w:rsidRPr="004E7F7B" w:rsidTr="00793DA9">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F201D" w:rsidRPr="004E7F7B" w:rsidRDefault="00FF201D" w:rsidP="00793DA9">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Vendorship</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106.625.778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96,85</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34.451.977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92,18</w:t>
            </w:r>
          </w:p>
        </w:tc>
      </w:tr>
      <w:tr w:rsidR="00FF201D" w:rsidRPr="004E7F7B" w:rsidTr="00793DA9">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F201D" w:rsidRPr="004E7F7B" w:rsidRDefault="00FF201D" w:rsidP="00793DA9">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Distributor</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3.026.683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2,75</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2.922.033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7,82</w:t>
            </w:r>
          </w:p>
        </w:tc>
      </w:tr>
      <w:tr w:rsidR="00FF201D" w:rsidRPr="004E7F7B" w:rsidTr="00793DA9">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F201D" w:rsidRPr="004E7F7B" w:rsidRDefault="00FF201D" w:rsidP="00793DA9">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Storage</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442.592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0,40</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 xml:space="preserve">0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color w:val="000000"/>
              </w:rPr>
              <w:t>0,00</w:t>
            </w:r>
          </w:p>
        </w:tc>
      </w:tr>
      <w:tr w:rsidR="00FF201D" w:rsidRPr="004E7F7B" w:rsidTr="00793DA9">
        <w:trPr>
          <w:trHeight w:val="20"/>
        </w:trPr>
        <w:tc>
          <w:tcPr>
            <w:tcW w:w="8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FF201D" w:rsidRPr="004E7F7B" w:rsidRDefault="00FF201D" w:rsidP="00793DA9">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 xml:space="preserve">110.095.053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FF201D" w:rsidRPr="004E7F7B" w:rsidRDefault="00FF201D" w:rsidP="00793DA9">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100,00</w:t>
            </w:r>
          </w:p>
        </w:tc>
        <w:tc>
          <w:tcPr>
            <w:tcW w:w="14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 xml:space="preserve">37.374.010    </w:t>
            </w:r>
          </w:p>
        </w:tc>
        <w:tc>
          <w:tcPr>
            <w:tcW w:w="59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F201D" w:rsidRPr="004E7F7B" w:rsidRDefault="00FF201D" w:rsidP="00793DA9">
            <w:pPr>
              <w:spacing w:after="0" w:line="240" w:lineRule="auto"/>
              <w:rPr>
                <w:rFonts w:ascii="Times New Roman" w:eastAsia="Times New Roman" w:hAnsi="Times New Roman" w:cs="Times New Roman"/>
                <w:b/>
                <w:color w:val="000000"/>
                <w:lang w:eastAsia="tr-TR"/>
              </w:rPr>
            </w:pPr>
            <w:r w:rsidRPr="004E7F7B">
              <w:rPr>
                <w:rFonts w:ascii="Times New Roman" w:hAnsi="Times New Roman" w:cs="Times New Roman"/>
                <w:b/>
                <w:bCs/>
                <w:color w:val="000000"/>
              </w:rPr>
              <w:t>100,00</w:t>
            </w:r>
          </w:p>
        </w:tc>
      </w:tr>
    </w:tbl>
    <w:p w:rsidR="00216EDE" w:rsidRPr="004E7F7B" w:rsidRDefault="00216EDE" w:rsidP="004E7F7B">
      <w:pPr>
        <w:spacing w:after="120" w:line="240" w:lineRule="auto"/>
        <w:rPr>
          <w:rFonts w:ascii="Times New Roman" w:hAnsi="Times New Roman" w:cs="Times New Roman"/>
        </w:rPr>
      </w:pPr>
    </w:p>
    <w:p w:rsidR="00793DA9" w:rsidRDefault="00793DA9" w:rsidP="00793DA9"/>
    <w:p w:rsidR="000E2CC4" w:rsidRPr="004E7F7B" w:rsidRDefault="00FE7FEB" w:rsidP="00793DA9">
      <w:r w:rsidRPr="004E7F7B">
        <w:t>Administrative sanctions and administrative fines in the LPG market are applied for actions of operating without a license, supplying products contrary to technical regulations,</w:t>
      </w:r>
      <w:r w:rsidR="00FF201D" w:rsidRPr="004E7F7B">
        <w:t xml:space="preserve"> violating the rights and obligations given by the license,</w:t>
      </w:r>
      <w:r w:rsidRPr="004E7F7B">
        <w:t xml:space="preserve"> not employing a responsible manager and authorized personnel, keeping other distributor’s cylinders, </w:t>
      </w:r>
      <w:r w:rsidR="00FF201D" w:rsidRPr="004E7F7B">
        <w:t>LPG complete to the station that does not have a distributor</w:t>
      </w:r>
      <w:r w:rsidRPr="004E7F7B">
        <w:t>, having an apparatus for filling cylinders at the gas sta</w:t>
      </w:r>
      <w:r w:rsidR="00FE0469" w:rsidRPr="004E7F7B">
        <w:t xml:space="preserve">tion and/or filling cylinders. </w:t>
      </w:r>
    </w:p>
    <w:p w:rsidR="00FE7FEB" w:rsidRPr="004E7F7B" w:rsidRDefault="00FE7FEB" w:rsidP="004E7F7B">
      <w:pPr>
        <w:pStyle w:val="Balk5"/>
        <w:jc w:val="both"/>
        <w:rPr>
          <w:rFonts w:ascii="Times New Roman" w:hAnsi="Times New Roman" w:cs="Times New Roman"/>
        </w:rPr>
      </w:pPr>
      <w:bookmarkStart w:id="293" w:name="_Toc48818058"/>
      <w:r w:rsidRPr="004E7F7B">
        <w:rPr>
          <w:rFonts w:ascii="Times New Roman" w:hAnsi="Times New Roman" w:cs="Times New Roman"/>
        </w:rPr>
        <w:t xml:space="preserve">Table 6.8: </w:t>
      </w:r>
      <w:r w:rsidRPr="004E7F7B">
        <w:rPr>
          <w:rStyle w:val="Gl"/>
          <w:rFonts w:ascii="Times New Roman" w:hAnsi="Times New Roman" w:cs="Times New Roman"/>
          <w:b/>
          <w:bCs w:val="0"/>
        </w:rPr>
        <w:t xml:space="preserve">Dispersion of </w:t>
      </w:r>
      <w:r w:rsidR="00FE0469" w:rsidRPr="004E7F7B">
        <w:rPr>
          <w:rStyle w:val="Gl"/>
          <w:rFonts w:ascii="Times New Roman" w:hAnsi="Times New Roman" w:cs="Times New Roman"/>
          <w:b/>
          <w:bCs w:val="0"/>
        </w:rPr>
        <w:t>A</w:t>
      </w:r>
      <w:r w:rsidRPr="004E7F7B">
        <w:rPr>
          <w:rStyle w:val="Gl"/>
          <w:rFonts w:ascii="Times New Roman" w:hAnsi="Times New Roman" w:cs="Times New Roman"/>
          <w:b/>
          <w:bCs w:val="0"/>
        </w:rPr>
        <w:t>dministra</w:t>
      </w:r>
      <w:r w:rsidR="00FE0469" w:rsidRPr="004E7F7B">
        <w:rPr>
          <w:rStyle w:val="Gl"/>
          <w:rFonts w:ascii="Times New Roman" w:hAnsi="Times New Roman" w:cs="Times New Roman"/>
          <w:b/>
          <w:bCs w:val="0"/>
        </w:rPr>
        <w:t>tive F</w:t>
      </w:r>
      <w:r w:rsidR="000E2CC4" w:rsidRPr="004E7F7B">
        <w:rPr>
          <w:rStyle w:val="Gl"/>
          <w:rFonts w:ascii="Times New Roman" w:hAnsi="Times New Roman" w:cs="Times New Roman"/>
          <w:b/>
          <w:bCs w:val="0"/>
        </w:rPr>
        <w:t>ines in LPG Market in 2019</w:t>
      </w:r>
      <w:r w:rsidR="00FE0469" w:rsidRPr="004E7F7B">
        <w:rPr>
          <w:rStyle w:val="Gl"/>
          <w:rFonts w:ascii="Times New Roman" w:hAnsi="Times New Roman" w:cs="Times New Roman"/>
          <w:b/>
          <w:bCs w:val="0"/>
        </w:rPr>
        <w:t xml:space="preserve"> by the Subject M</w:t>
      </w:r>
      <w:r w:rsidRPr="004E7F7B">
        <w:rPr>
          <w:rStyle w:val="Gl"/>
          <w:rFonts w:ascii="Times New Roman" w:hAnsi="Times New Roman" w:cs="Times New Roman"/>
          <w:b/>
          <w:bCs w:val="0"/>
        </w:rPr>
        <w:t>atter</w:t>
      </w:r>
      <w:bookmarkEnd w:id="293"/>
    </w:p>
    <w:tbl>
      <w:tblPr>
        <w:tblW w:w="10120" w:type="dxa"/>
        <w:tblInd w:w="-7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00"/>
        <w:gridCol w:w="2080"/>
        <w:gridCol w:w="1960"/>
        <w:gridCol w:w="2120"/>
        <w:gridCol w:w="1660"/>
      </w:tblGrid>
      <w:tr w:rsidR="00FE7FEB"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val="tr-TR" w:eastAsia="tr-TR"/>
              </w:rPr>
              <w:t>Subject matter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046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No of Imposed Administartive F</w:t>
            </w:r>
            <w:r w:rsidR="00FE7FEB" w:rsidRPr="004E7F7B">
              <w:rPr>
                <w:rFonts w:ascii="Times New Roman" w:eastAsia="Times New Roman" w:hAnsi="Times New Roman" w:cs="Times New Roman"/>
                <w:b/>
                <w:bCs/>
                <w:color w:val="FFFFFF" w:themeColor="background1"/>
                <w:lang w:eastAsia="tr-TR"/>
              </w:rPr>
              <w:t>ines</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0469"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themeColor="background1"/>
                <w:lang w:eastAsia="tr-TR"/>
              </w:rPr>
              <w:t>Amaount of Administartive F</w:t>
            </w:r>
            <w:r w:rsidR="00FE7FEB" w:rsidRPr="004E7F7B">
              <w:rPr>
                <w:rFonts w:ascii="Times New Roman" w:eastAsia="Times New Roman" w:hAnsi="Times New Roman" w:cs="Times New Roman"/>
                <w:b/>
                <w:bCs/>
                <w:color w:val="FFFFFF" w:themeColor="background1"/>
                <w:lang w:eastAsia="tr-TR"/>
              </w:rPr>
              <w:t>ine (TL)</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Filling and selling LPG cylinders at autogas stations</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56</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21.5</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16.778.256</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44.9</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Violation of Holder License's rights and obligations</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7.0</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5.446.984</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14.5</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Not having a responsible manager in the station</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63</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24.2</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4.551090</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12.2</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lang w:eastAsia="tr-TR"/>
              </w:rPr>
              <w:t>Employing non-certificated staff</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104</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40.0</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7.317.165</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19.6</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Providing LPG that does not comply with technical regulations in market activities</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0,8</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679.628</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1.8</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hAnsi="Times New Roman" w:cs="Times New Roman"/>
              </w:rPr>
              <w:t>LPG complete to the station that does not have a distributor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1.152.143</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Other</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5.3</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1.448.744</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w:t>
            </w:r>
          </w:p>
        </w:tc>
      </w:tr>
      <w:tr w:rsidR="000E2CC4" w:rsidRPr="004E7F7B" w:rsidTr="00216EDE">
        <w:trPr>
          <w:trHeight w:val="20"/>
        </w:trPr>
        <w:tc>
          <w:tcPr>
            <w:tcW w:w="2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2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260</w:t>
            </w:r>
          </w:p>
        </w:tc>
        <w:tc>
          <w:tcPr>
            <w:tcW w:w="19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c>
          <w:tcPr>
            <w:tcW w:w="21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37.374.010</w:t>
            </w:r>
          </w:p>
        </w:tc>
        <w:tc>
          <w:tcPr>
            <w:tcW w:w="16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0E2CC4" w:rsidRPr="004E7F7B" w:rsidRDefault="000E2CC4"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100,00</w:t>
            </w:r>
          </w:p>
        </w:tc>
      </w:tr>
    </w:tbl>
    <w:p w:rsidR="00FE7FEB" w:rsidRPr="004E7F7B" w:rsidRDefault="00FE7FEB" w:rsidP="004E7F7B">
      <w:pPr>
        <w:rPr>
          <w:rFonts w:ascii="Times New Roman" w:hAnsi="Times New Roman" w:cs="Times New Roman"/>
          <w:b/>
          <w:bCs/>
        </w:rPr>
      </w:pP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294" w:name="_Toc48817893"/>
      <w:r w:rsidRPr="004E7F7B">
        <w:rPr>
          <w:rFonts w:ascii="Times New Roman" w:hAnsi="Times New Roman" w:cs="Times New Roman"/>
          <w:sz w:val="22"/>
          <w:szCs w:val="22"/>
        </w:rPr>
        <w:t>7.   EXPROPRIATION, LEASING and ESTABLSIHMENT OF EASEMENT RIGHT</w:t>
      </w:r>
      <w:bookmarkEnd w:id="294"/>
    </w:p>
    <w:p w:rsidR="00FE7FEB" w:rsidRPr="004E7F7B" w:rsidRDefault="00FE7FEB" w:rsidP="00793DA9">
      <w:r w:rsidRPr="004E7F7B">
        <w:t>The procedures for procurement of immovables required for the establishment of generation and distribution facilities in the electricity market, transmission, distribution and storage facilities in the Natural Gas Market, refining undertakings, licensed storage facilities, transmission lines and processing facilities in the Petroleum Market are carried out by the Authority as per the Art.19 of Electricity Market Law, Art. 12 of the Natural Gas Market Law and Art. 11 of the Petroleum Market Law.  In addition, the Authority carries on works and procedures pursuant to Provisional Article 16 of the Electricity Market Law No. 6446.</w:t>
      </w:r>
    </w:p>
    <w:p w:rsidR="00FE7FEB" w:rsidRPr="004E7F7B" w:rsidRDefault="00FE7FEB" w:rsidP="00793DA9">
      <w:r w:rsidRPr="004E7F7B">
        <w:t>In this context, th</w:t>
      </w:r>
      <w:r w:rsidR="000E2CC4" w:rsidRPr="004E7F7B">
        <w:t>e activities carried out in 2019</w:t>
      </w:r>
      <w:r w:rsidRPr="004E7F7B">
        <w:t xml:space="preserve"> regarding the transfer procedures by applying the 30th article of Expropriation Act 2942, Expropriation for privately owned immovables, establishment or leasing of the easement for immovables under the property of the Treasury Treasury or the State, and the immovable property of other public institutions and organizations are as follows:</w:t>
      </w:r>
    </w:p>
    <w:p w:rsidR="00FE7FEB" w:rsidRPr="004E7F7B" w:rsidRDefault="00FE7FEB" w:rsidP="00793DA9">
      <w:r w:rsidRPr="004E7F7B">
        <w:t>In 201</w:t>
      </w:r>
      <w:r w:rsidR="000E2CC4" w:rsidRPr="004E7F7B">
        <w:t>9</w:t>
      </w:r>
      <w:r w:rsidRPr="004E7F7B">
        <w:t xml:space="preserve">, a total of </w:t>
      </w:r>
      <w:r w:rsidR="000E2CC4" w:rsidRPr="004E7F7B">
        <w:t>3.99</w:t>
      </w:r>
      <w:r w:rsidRPr="004E7F7B">
        <w:t>6 Board Decisions were ta</w:t>
      </w:r>
      <w:r w:rsidR="000E2CC4" w:rsidRPr="004E7F7B">
        <w:t xml:space="preserve">ken regarding the provision of 23.260 </w:t>
      </w:r>
      <w:r w:rsidR="00965C6E" w:rsidRPr="00793DA9">
        <w:t>(Except for privately owned immovables within the energy transmission line route)</w:t>
      </w:r>
      <w:r w:rsidR="00965C6E" w:rsidRPr="004E7F7B">
        <w:t xml:space="preserve"> </w:t>
      </w:r>
      <w:r w:rsidRPr="004E7F7B">
        <w:t>immovables required for the establishment of power plants:</w:t>
      </w:r>
    </w:p>
    <w:p w:rsidR="00FE7FEB" w:rsidRPr="00793DA9" w:rsidRDefault="000E2CC4"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1.226</w:t>
      </w:r>
      <w:r w:rsidR="00FE7FEB" w:rsidRPr="00793DA9">
        <w:rPr>
          <w:rFonts w:ascii="Times New Roman" w:hAnsi="Times New Roman" w:cs="Times New Roman"/>
        </w:rPr>
        <w:t xml:space="preserve"> Board decisions were taken regarding the establishment of easement rights in the p</w:t>
      </w:r>
      <w:r w:rsidR="00DA1800" w:rsidRPr="00793DA9">
        <w:rPr>
          <w:rFonts w:ascii="Times New Roman" w:hAnsi="Times New Roman" w:cs="Times New Roman"/>
        </w:rPr>
        <w:t>roperty of the Treasury</w:t>
      </w:r>
      <w:r w:rsidR="00D44505" w:rsidRPr="00793DA9">
        <w:rPr>
          <w:rFonts w:ascii="Times New Roman" w:hAnsi="Times New Roman" w:cs="Times New Roman"/>
        </w:rPr>
        <w:t xml:space="preserve"> Treasury</w:t>
      </w:r>
      <w:r w:rsidR="00FE7FEB" w:rsidRPr="00793DA9">
        <w:rPr>
          <w:rFonts w:ascii="Times New Roman" w:hAnsi="Times New Roman" w:cs="Times New Roman"/>
        </w:rPr>
        <w:t xml:space="preserve"> or in </w:t>
      </w:r>
      <w:r w:rsidRPr="00793DA9">
        <w:rPr>
          <w:rFonts w:ascii="Times New Roman" w:hAnsi="Times New Roman" w:cs="Times New Roman"/>
        </w:rPr>
        <w:t>5.759</w:t>
      </w:r>
      <w:r w:rsidR="00FE7FEB" w:rsidRPr="00793DA9">
        <w:rPr>
          <w:rFonts w:ascii="Times New Roman" w:hAnsi="Times New Roman" w:cs="Times New Roman"/>
        </w:rPr>
        <w:t xml:space="preserve"> of immovable properties under the jurisdiction and discretion of the State.</w:t>
      </w:r>
    </w:p>
    <w:p w:rsidR="00FE7FEB" w:rsidRPr="00793DA9" w:rsidRDefault="000E2CC4"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42</w:t>
      </w:r>
      <w:r w:rsidR="00FE7FEB" w:rsidRPr="00793DA9">
        <w:rPr>
          <w:rFonts w:ascii="Times New Roman" w:hAnsi="Times New Roman" w:cs="Times New Roman"/>
        </w:rPr>
        <w:t xml:space="preserve"> Board decisions were taken regarding the establishment of lease transactions in </w:t>
      </w:r>
      <w:r w:rsidRPr="00793DA9">
        <w:rPr>
          <w:rFonts w:ascii="Times New Roman" w:hAnsi="Times New Roman" w:cs="Times New Roman"/>
        </w:rPr>
        <w:t>298</w:t>
      </w:r>
      <w:r w:rsidR="00FE7FEB" w:rsidRPr="00793DA9">
        <w:rPr>
          <w:rFonts w:ascii="Times New Roman" w:hAnsi="Times New Roman" w:cs="Times New Roman"/>
        </w:rPr>
        <w:t xml:space="preserve"> immovable properties owned by the Treasury Treasury or under the jurisdiction and discretion of the State.</w:t>
      </w:r>
    </w:p>
    <w:p w:rsidR="00FE7FEB" w:rsidRPr="00793DA9" w:rsidRDefault="000E2CC4"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1.153</w:t>
      </w:r>
      <w:r w:rsidR="00FE7FEB" w:rsidRPr="00793DA9">
        <w:rPr>
          <w:rFonts w:ascii="Times New Roman" w:hAnsi="Times New Roman" w:cs="Times New Roman"/>
        </w:rPr>
        <w:t xml:space="preserve"> Board decisions were taken regarding the implementation of the 30th article of Expropriation La</w:t>
      </w:r>
      <w:r w:rsidRPr="00793DA9">
        <w:rPr>
          <w:rFonts w:ascii="Times New Roman" w:hAnsi="Times New Roman" w:cs="Times New Roman"/>
        </w:rPr>
        <w:t>w numbered 2942 in 9.514</w:t>
      </w:r>
      <w:r w:rsidR="00FE7FEB" w:rsidRPr="00793DA9">
        <w:rPr>
          <w:rFonts w:ascii="Times New Roman" w:hAnsi="Times New Roman" w:cs="Times New Roman"/>
        </w:rPr>
        <w:t xml:space="preserve"> immovable properties owned by other public institutions and organizations.</w:t>
      </w:r>
    </w:p>
    <w:p w:rsidR="00FE7FEB" w:rsidRPr="00793DA9" w:rsidRDefault="00FE7FEB"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 xml:space="preserve">In accordance with the first paragraph of the 19th article of the Electricity Market Law No. 6446, a </w:t>
      </w:r>
      <w:r w:rsidR="000E2CC4" w:rsidRPr="00793DA9">
        <w:rPr>
          <w:rFonts w:ascii="Times New Roman" w:hAnsi="Times New Roman" w:cs="Times New Roman"/>
        </w:rPr>
        <w:t>total of 1.411</w:t>
      </w:r>
      <w:r w:rsidRPr="00793DA9">
        <w:rPr>
          <w:rFonts w:ascii="Times New Roman" w:hAnsi="Times New Roman" w:cs="Times New Roman"/>
        </w:rPr>
        <w:t xml:space="preserve"> Public </w:t>
      </w:r>
      <w:r w:rsidR="000E2CC4" w:rsidRPr="00793DA9">
        <w:rPr>
          <w:rFonts w:ascii="Times New Roman" w:hAnsi="Times New Roman" w:cs="Times New Roman"/>
        </w:rPr>
        <w:t>Interest Decisions were made, 98</w:t>
      </w:r>
      <w:r w:rsidRPr="00793DA9">
        <w:rPr>
          <w:rFonts w:ascii="Times New Roman" w:hAnsi="Times New Roman" w:cs="Times New Roman"/>
        </w:rPr>
        <w:t xml:space="preserve"> of which were for urgent expropriation.</w:t>
      </w:r>
    </w:p>
    <w:p w:rsidR="00B4265F" w:rsidRPr="00793DA9" w:rsidRDefault="00203993" w:rsidP="007B4A7D">
      <w:pPr>
        <w:pStyle w:val="ListeParagraf"/>
        <w:numPr>
          <w:ilvl w:val="0"/>
          <w:numId w:val="6"/>
        </w:numPr>
      </w:pPr>
      <w:r w:rsidRPr="00793DA9">
        <w:rPr>
          <w:lang w:val="en"/>
        </w:rPr>
        <w:t xml:space="preserve">In accordance with Article 12 of the Natural Gas Market Law No. 4646, 7 Requirement Decisions and 17 Expropriation Decisions were taken regarding natural gas distribution facilities. </w:t>
      </w:r>
    </w:p>
    <w:p w:rsidR="00FE7FEB" w:rsidRPr="00793DA9" w:rsidRDefault="00B4265F"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In the scope of the Law No. 5403</w:t>
      </w:r>
      <w:r w:rsidR="00FE7FEB" w:rsidRPr="00793DA9">
        <w:rPr>
          <w:rFonts w:ascii="Times New Roman" w:hAnsi="Times New Roman" w:cs="Times New Roman"/>
        </w:rPr>
        <w:t xml:space="preserve"> on the Utilization of Renewable Energy Resources for the Purpose of</w:t>
      </w:r>
      <w:r w:rsidRPr="00793DA9">
        <w:rPr>
          <w:rFonts w:ascii="Times New Roman" w:hAnsi="Times New Roman" w:cs="Times New Roman"/>
        </w:rPr>
        <w:t xml:space="preserve"> Generating Electrical Energy, 21</w:t>
      </w:r>
      <w:r w:rsidR="00FE7FEB" w:rsidRPr="00793DA9">
        <w:rPr>
          <w:rFonts w:ascii="Times New Roman" w:hAnsi="Times New Roman" w:cs="Times New Roman"/>
        </w:rPr>
        <w:t xml:space="preserve"> Board Decisions have been taken wi</w:t>
      </w:r>
      <w:r w:rsidRPr="00793DA9">
        <w:rPr>
          <w:rFonts w:ascii="Times New Roman" w:hAnsi="Times New Roman" w:cs="Times New Roman"/>
        </w:rPr>
        <w:t>th regard to the free use of 809</w:t>
      </w:r>
      <w:r w:rsidR="00FE7FEB" w:rsidRPr="00793DA9">
        <w:rPr>
          <w:rFonts w:ascii="Times New Roman" w:hAnsi="Times New Roman" w:cs="Times New Roman"/>
        </w:rPr>
        <w:t xml:space="preserve"> immovable properties in the private ownership of the Treasury in the reservoir area of the Treasury and / or under the provisions and savings of the State.</w:t>
      </w:r>
    </w:p>
    <w:p w:rsidR="00B4265F" w:rsidRPr="00793DA9" w:rsidRDefault="00203993" w:rsidP="007B4A7D">
      <w:pPr>
        <w:pStyle w:val="ListeParagraf"/>
        <w:numPr>
          <w:ilvl w:val="0"/>
          <w:numId w:val="6"/>
        </w:numPr>
        <w:spacing w:line="276" w:lineRule="auto"/>
        <w:rPr>
          <w:rFonts w:ascii="Times New Roman" w:hAnsi="Times New Roman" w:cs="Times New Roman"/>
        </w:rPr>
      </w:pPr>
      <w:r w:rsidRPr="00793DA9">
        <w:rPr>
          <w:rFonts w:ascii="Times New Roman" w:hAnsi="Times New Roman" w:cs="Times New Roman"/>
          <w:lang w:val="en"/>
        </w:rPr>
        <w:t>A total of 53 Board Decisions were taken within the scope of the practice of making decisions for the use of agricultural lands and agricultural lands in large plains outside of their intended purpose within the scope of Articles 13 and 14 of the Law on Soil Conservation and Land Use No.5403.</w:t>
      </w:r>
      <w:r w:rsidR="00B4265F" w:rsidRPr="00793DA9">
        <w:rPr>
          <w:rFonts w:ascii="Times New Roman" w:hAnsi="Times New Roman" w:cs="Times New Roman"/>
        </w:rPr>
        <w:t xml:space="preserve"> </w:t>
      </w:r>
    </w:p>
    <w:p w:rsidR="00CC2609" w:rsidRPr="00793DA9" w:rsidRDefault="00CC2609" w:rsidP="007B4A7D">
      <w:pPr>
        <w:pStyle w:val="ListeParagraf"/>
        <w:numPr>
          <w:ilvl w:val="0"/>
          <w:numId w:val="6"/>
        </w:numPr>
        <w:autoSpaceDE w:val="0"/>
        <w:autoSpaceDN w:val="0"/>
        <w:adjustRightInd w:val="0"/>
        <w:spacing w:after="120" w:line="276" w:lineRule="auto"/>
        <w:rPr>
          <w:rFonts w:ascii="Times New Roman" w:hAnsi="Times New Roman" w:cs="Times New Roman"/>
        </w:rPr>
      </w:pPr>
      <w:r w:rsidRPr="00793DA9">
        <w:rPr>
          <w:rFonts w:ascii="Times New Roman" w:hAnsi="Times New Roman" w:cs="Times New Roman"/>
        </w:rPr>
        <w:t>Moreover; a total of 40 Board decisions have been taken implementation of the court decision, abandonment, cancellation or amendment decisions etc.</w:t>
      </w:r>
    </w:p>
    <w:p w:rsidR="00CC2609" w:rsidRPr="00793DA9" w:rsidRDefault="00203993" w:rsidP="00793DA9">
      <w:pPr>
        <w:pStyle w:val="Balk5"/>
        <w:jc w:val="left"/>
        <w:rPr>
          <w:rFonts w:ascii="Times New Roman" w:hAnsi="Times New Roman" w:cs="Times New Roman"/>
          <w:b w:val="0"/>
        </w:rPr>
      </w:pPr>
      <w:bookmarkStart w:id="295" w:name="_Toc39153575"/>
      <w:bookmarkStart w:id="296" w:name="_Toc48818059"/>
      <w:r w:rsidRPr="00793DA9">
        <w:rPr>
          <w:rStyle w:val="Gl"/>
          <w:rFonts w:ascii="Times New Roman" w:hAnsi="Times New Roman" w:cs="Times New Roman"/>
          <w:b/>
          <w:bCs w:val="0"/>
        </w:rPr>
        <w:t>Table</w:t>
      </w:r>
      <w:r w:rsidR="00CC2609" w:rsidRPr="00793DA9">
        <w:rPr>
          <w:rStyle w:val="Gl"/>
          <w:rFonts w:ascii="Times New Roman" w:hAnsi="Times New Roman" w:cs="Times New Roman"/>
          <w:b/>
          <w:bCs w:val="0"/>
        </w:rPr>
        <w:t xml:space="preserve"> 7.1:</w:t>
      </w:r>
      <w:r w:rsidR="00CC2609" w:rsidRPr="00793DA9">
        <w:rPr>
          <w:rStyle w:val="Gl"/>
          <w:rFonts w:ascii="Times New Roman" w:hAnsi="Times New Roman" w:cs="Times New Roman"/>
          <w:bCs w:val="0"/>
        </w:rPr>
        <w:t xml:space="preserve"> </w:t>
      </w:r>
      <w:r w:rsidRPr="00793DA9">
        <w:rPr>
          <w:rFonts w:ascii="Times New Roman" w:hAnsi="Times New Roman" w:cs="Times New Roman"/>
          <w:lang w:val="en"/>
        </w:rPr>
        <w:t>Distribution of Board Decisions Regarding Real Estate Procurement in 2019</w:t>
      </w:r>
      <w:bookmarkEnd w:id="295"/>
      <w:bookmarkEnd w:id="296"/>
    </w:p>
    <w:p w:rsidR="00CC2609" w:rsidRPr="004E7F7B" w:rsidRDefault="000E6BBA" w:rsidP="004E7F7B">
      <w:pPr>
        <w:pStyle w:val="ListeParagraf"/>
        <w:autoSpaceDE w:val="0"/>
        <w:autoSpaceDN w:val="0"/>
        <w:adjustRightInd w:val="0"/>
        <w:spacing w:after="0" w:line="240" w:lineRule="auto"/>
        <w:ind w:left="567"/>
        <w:rPr>
          <w:rFonts w:ascii="Times New Roman" w:hAnsi="Times New Roman" w:cs="Times New Roman"/>
          <w:color w:val="FF0000"/>
        </w:rPr>
      </w:pPr>
      <w:r w:rsidRPr="004E7F7B">
        <w:rPr>
          <w:rFonts w:ascii="Times New Roman" w:hAnsi="Times New Roman" w:cs="Times New Roman"/>
          <w:lang w:val="tr-TR" w:eastAsia="tr-TR"/>
        </w:rPr>
        <w:drawing>
          <wp:inline distT="0" distB="0" distL="0" distR="0" wp14:anchorId="734B4A76" wp14:editId="2A7488D4">
            <wp:extent cx="5467350" cy="2933700"/>
            <wp:effectExtent l="0" t="0" r="19050" b="19050"/>
            <wp:docPr id="112" name="Grafik 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2726B" w:rsidRPr="004E7F7B" w:rsidRDefault="00B2726B" w:rsidP="004E7F7B">
      <w:pPr>
        <w:autoSpaceDE w:val="0"/>
        <w:autoSpaceDN w:val="0"/>
        <w:adjustRightInd w:val="0"/>
        <w:spacing w:after="0" w:line="240" w:lineRule="auto"/>
        <w:rPr>
          <w:rFonts w:ascii="Times New Roman" w:hAnsi="Times New Roman" w:cs="Times New Roman"/>
          <w:color w:val="FF0000"/>
        </w:rPr>
      </w:pPr>
    </w:p>
    <w:p w:rsidR="00B2726B" w:rsidRPr="004E7F7B" w:rsidRDefault="00B2726B" w:rsidP="004E7F7B">
      <w:pPr>
        <w:pStyle w:val="ListeParagraf"/>
        <w:autoSpaceDE w:val="0"/>
        <w:autoSpaceDN w:val="0"/>
        <w:adjustRightInd w:val="0"/>
        <w:spacing w:after="0" w:line="240" w:lineRule="auto"/>
        <w:ind w:left="567"/>
        <w:rPr>
          <w:rFonts w:ascii="Times New Roman" w:hAnsi="Times New Roman" w:cs="Times New Roman"/>
          <w:color w:val="FF0000"/>
        </w:rPr>
      </w:pPr>
    </w:p>
    <w:p w:rsidR="00B2726B" w:rsidRPr="004E7F7B" w:rsidRDefault="00B2726B" w:rsidP="004E7F7B">
      <w:pPr>
        <w:pStyle w:val="ListeParagraf"/>
        <w:autoSpaceDE w:val="0"/>
        <w:autoSpaceDN w:val="0"/>
        <w:adjustRightInd w:val="0"/>
        <w:spacing w:after="0" w:line="240" w:lineRule="auto"/>
        <w:ind w:left="567"/>
        <w:rPr>
          <w:rFonts w:ascii="Times New Roman" w:hAnsi="Times New Roman" w:cs="Times New Roman"/>
          <w:color w:val="FF0000"/>
        </w:rPr>
      </w:pPr>
    </w:p>
    <w:p w:rsidR="00B2726B" w:rsidRPr="004E7F7B" w:rsidRDefault="00B2726B" w:rsidP="004E7F7B">
      <w:pPr>
        <w:pStyle w:val="ListeParagraf"/>
        <w:autoSpaceDE w:val="0"/>
        <w:autoSpaceDN w:val="0"/>
        <w:adjustRightInd w:val="0"/>
        <w:spacing w:after="0" w:line="240" w:lineRule="auto"/>
        <w:ind w:left="567"/>
        <w:rPr>
          <w:rFonts w:ascii="Times New Roman" w:hAnsi="Times New Roman" w:cs="Times New Roman"/>
          <w:color w:val="FF0000"/>
        </w:rPr>
      </w:pPr>
    </w:p>
    <w:p w:rsidR="00CC2609" w:rsidRPr="00793DA9" w:rsidRDefault="00203993" w:rsidP="00793DA9">
      <w:pPr>
        <w:pStyle w:val="Balk5"/>
        <w:jc w:val="left"/>
        <w:rPr>
          <w:bCs/>
          <w:lang w:val="en"/>
        </w:rPr>
      </w:pPr>
      <w:bookmarkStart w:id="297" w:name="_Toc39153576"/>
      <w:bookmarkStart w:id="298" w:name="_Toc48818060"/>
      <w:r w:rsidRPr="00793DA9">
        <w:rPr>
          <w:bCs/>
          <w:lang w:val="en"/>
        </w:rPr>
        <w:t>Table</w:t>
      </w:r>
      <w:r w:rsidR="00CC2609" w:rsidRPr="00793DA9">
        <w:rPr>
          <w:bCs/>
          <w:lang w:val="en"/>
        </w:rPr>
        <w:t xml:space="preserve"> 7.2: </w:t>
      </w:r>
      <w:bookmarkEnd w:id="297"/>
      <w:r w:rsidRPr="00793DA9">
        <w:rPr>
          <w:rFonts w:ascii="Times New Roman" w:hAnsi="Times New Roman" w:cs="Times New Roman"/>
          <w:lang w:val="en"/>
        </w:rPr>
        <w:t>Distribution of the Board Decisions Regarding the Procurement of Immovable Properties by Type of Facilities in 2019</w:t>
      </w:r>
      <w:bookmarkEnd w:id="298"/>
    </w:p>
    <w:p w:rsidR="00CC2609" w:rsidRPr="004E7F7B" w:rsidRDefault="00CC2609" w:rsidP="004E7F7B">
      <w:pPr>
        <w:autoSpaceDE w:val="0"/>
        <w:autoSpaceDN w:val="0"/>
        <w:adjustRightInd w:val="0"/>
        <w:spacing w:after="0" w:line="240" w:lineRule="auto"/>
        <w:rPr>
          <w:rFonts w:ascii="Times New Roman" w:hAnsi="Times New Roman" w:cs="Times New Roman"/>
          <w:color w:val="FF0000"/>
        </w:rPr>
      </w:pPr>
      <w:r w:rsidRPr="004E7F7B">
        <w:rPr>
          <w:rFonts w:ascii="Times New Roman" w:hAnsi="Times New Roman" w:cs="Times New Roman"/>
          <w:color w:val="FF0000"/>
        </w:rPr>
        <w:tab/>
      </w:r>
    </w:p>
    <w:p w:rsidR="00CC2609" w:rsidRPr="004E7F7B" w:rsidRDefault="004D2332" w:rsidP="004E7F7B">
      <w:pPr>
        <w:pStyle w:val="ListeParagraf"/>
        <w:autoSpaceDE w:val="0"/>
        <w:autoSpaceDN w:val="0"/>
        <w:adjustRightInd w:val="0"/>
        <w:spacing w:after="0" w:line="240" w:lineRule="auto"/>
        <w:ind w:left="567"/>
        <w:rPr>
          <w:rFonts w:ascii="Times New Roman" w:hAnsi="Times New Roman" w:cs="Times New Roman"/>
          <w:color w:val="FF0000"/>
        </w:rPr>
      </w:pPr>
      <w:r w:rsidRPr="004E7F7B">
        <w:rPr>
          <w:rFonts w:ascii="Times New Roman" w:hAnsi="Times New Roman" w:cs="Times New Roman"/>
          <w:lang w:val="tr-TR" w:eastAsia="tr-TR"/>
        </w:rPr>
        <w:drawing>
          <wp:inline distT="0" distB="0" distL="0" distR="0" wp14:anchorId="18ADF6DE" wp14:editId="28022D34">
            <wp:extent cx="5362575" cy="3642995"/>
            <wp:effectExtent l="0" t="0" r="9525" b="14605"/>
            <wp:docPr id="107" name="Grafik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D2332" w:rsidRPr="004E7F7B" w:rsidRDefault="004D2332" w:rsidP="004E7F7B">
      <w:pPr>
        <w:pStyle w:val="ListeParagraf"/>
        <w:autoSpaceDE w:val="0"/>
        <w:autoSpaceDN w:val="0"/>
        <w:adjustRightInd w:val="0"/>
        <w:spacing w:after="0" w:line="240" w:lineRule="auto"/>
        <w:ind w:left="567"/>
        <w:rPr>
          <w:rFonts w:ascii="Times New Roman" w:hAnsi="Times New Roman" w:cs="Times New Roman"/>
          <w:color w:val="FF0000"/>
        </w:rPr>
      </w:pPr>
    </w:p>
    <w:p w:rsidR="00203993" w:rsidRPr="004E7F7B" w:rsidRDefault="00203993" w:rsidP="00793DA9">
      <w:pPr>
        <w:rPr>
          <w:lang w:val="en"/>
        </w:rPr>
      </w:pPr>
      <w:r w:rsidRPr="004E7F7B">
        <w:rPr>
          <w:lang w:val="en"/>
        </w:rPr>
        <w:t>Studies have continued at the General Directorate of Mapping regarding the demands for obtaining maps and taking aerial photographs to be used in the project works of the licensed legal entities.</w:t>
      </w:r>
    </w:p>
    <w:p w:rsidR="00CC2609" w:rsidRPr="004E7F7B" w:rsidRDefault="00203993" w:rsidP="00793DA9">
      <w:pPr>
        <w:rPr>
          <w:color w:val="FF0000"/>
        </w:rPr>
      </w:pPr>
      <w:r w:rsidRPr="004E7F7B">
        <w:rPr>
          <w:lang w:val="en"/>
        </w:rPr>
        <w:t>Efforts have been initiated to receive applications for real estate procurement electronically. For this purpose, under the coordination of the Expropriation Department and the Information Technology Department, the details of the e-application application for real estate procurement have been determined and the test phase has started.</w:t>
      </w:r>
    </w:p>
    <w:p w:rsidR="00FE7FEB" w:rsidRPr="004E7F7B" w:rsidRDefault="00FE7FEB" w:rsidP="004E7F7B">
      <w:pPr>
        <w:spacing w:after="120" w:line="240" w:lineRule="auto"/>
        <w:rPr>
          <w:rFonts w:ascii="Times New Roman" w:hAnsi="Times New Roman" w:cs="Times New Roman"/>
        </w:rPr>
      </w:pP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299" w:name="_Toc48817894"/>
      <w:r w:rsidRPr="004E7F7B">
        <w:rPr>
          <w:rFonts w:ascii="Times New Roman" w:hAnsi="Times New Roman" w:cs="Times New Roman"/>
          <w:sz w:val="22"/>
          <w:szCs w:val="22"/>
        </w:rPr>
        <w:t>8.</w:t>
      </w:r>
      <w:r w:rsidRPr="004E7F7B">
        <w:rPr>
          <w:rFonts w:ascii="Times New Roman" w:hAnsi="Times New Roman" w:cs="Times New Roman"/>
          <w:sz w:val="22"/>
          <w:szCs w:val="22"/>
        </w:rPr>
        <w:tab/>
        <w:t>LEGAL WORKS</w:t>
      </w:r>
      <w:bookmarkEnd w:id="299"/>
    </w:p>
    <w:p w:rsidR="00FE7FEB" w:rsidRPr="004E7F7B" w:rsidRDefault="00FE7FEB" w:rsidP="004E7F7B">
      <w:pPr>
        <w:pStyle w:val="Balk2"/>
        <w:rPr>
          <w:rFonts w:ascii="Times New Roman" w:hAnsi="Times New Roman" w:cs="Times New Roman"/>
          <w:sz w:val="22"/>
          <w:szCs w:val="22"/>
        </w:rPr>
      </w:pPr>
      <w:bookmarkStart w:id="300" w:name="_Toc48817895"/>
      <w:r w:rsidRPr="004E7F7B">
        <w:rPr>
          <w:rFonts w:ascii="Times New Roman" w:hAnsi="Times New Roman" w:cs="Times New Roman"/>
          <w:sz w:val="22"/>
          <w:szCs w:val="22"/>
        </w:rPr>
        <w:t>8.1.Litigation Procedures</w:t>
      </w:r>
      <w:bookmarkEnd w:id="300"/>
    </w:p>
    <w:p w:rsidR="00FE7FEB" w:rsidRPr="004E7F7B" w:rsidRDefault="00FE7FEB" w:rsidP="00793DA9">
      <w:r w:rsidRPr="004E7F7B">
        <w:t>The procedures of litigation to which the Authority is a party, are executed as per the “Regulation on Principles and Procedures on Litigations to which the Energy Market Regulatory Authority is a Party” adopted by the Board Decision dated 11.9.2003 and numbered 207/51.</w:t>
      </w:r>
    </w:p>
    <w:p w:rsidR="00FE7FEB" w:rsidRPr="004E7F7B" w:rsidRDefault="00FE0469" w:rsidP="004E7F7B">
      <w:pPr>
        <w:pStyle w:val="Balk5"/>
        <w:jc w:val="both"/>
        <w:rPr>
          <w:rFonts w:ascii="Times New Roman" w:hAnsi="Times New Roman" w:cs="Times New Roman"/>
        </w:rPr>
      </w:pPr>
      <w:bookmarkStart w:id="301" w:name="_Hlk12362930"/>
      <w:bookmarkStart w:id="302" w:name="_Toc48818061"/>
      <w:r w:rsidRPr="004E7F7B">
        <w:rPr>
          <w:rStyle w:val="Gl"/>
          <w:rFonts w:ascii="Times New Roman" w:hAnsi="Times New Roman" w:cs="Times New Roman"/>
          <w:b/>
          <w:bCs w:val="0"/>
        </w:rPr>
        <w:t>Table 8.1: Total Number of Cases of which EMRA is a Party as of the e</w:t>
      </w:r>
      <w:r w:rsidR="00FE7FEB" w:rsidRPr="004E7F7B">
        <w:rPr>
          <w:rStyle w:val="Gl"/>
          <w:rFonts w:ascii="Times New Roman" w:hAnsi="Times New Roman" w:cs="Times New Roman"/>
          <w:b/>
          <w:bCs w:val="0"/>
        </w:rPr>
        <w:t>nd of 201</w:t>
      </w:r>
      <w:r w:rsidR="00CC2609" w:rsidRPr="004E7F7B">
        <w:rPr>
          <w:rStyle w:val="Gl"/>
          <w:rFonts w:ascii="Times New Roman" w:hAnsi="Times New Roman" w:cs="Times New Roman"/>
          <w:b/>
          <w:bCs w:val="0"/>
        </w:rPr>
        <w:t>9</w:t>
      </w:r>
      <w:r w:rsidRPr="004E7F7B">
        <w:rPr>
          <w:rStyle w:val="Gl"/>
          <w:rFonts w:ascii="Times New Roman" w:hAnsi="Times New Roman" w:cs="Times New Roman"/>
          <w:b/>
          <w:bCs w:val="0"/>
        </w:rPr>
        <w:t xml:space="preserve"> by S</w:t>
      </w:r>
      <w:r w:rsidR="00FE7FEB" w:rsidRPr="004E7F7B">
        <w:rPr>
          <w:rStyle w:val="Gl"/>
          <w:rFonts w:ascii="Times New Roman" w:hAnsi="Times New Roman" w:cs="Times New Roman"/>
          <w:b/>
          <w:bCs w:val="0"/>
        </w:rPr>
        <w:t>ectors</w:t>
      </w:r>
      <w:bookmarkEnd w:id="301"/>
      <w:bookmarkEnd w:id="302"/>
    </w:p>
    <w:tbl>
      <w:tblPr>
        <w:tblW w:w="3663" w:type="pct"/>
        <w:tblInd w:w="1360" w:type="dxa"/>
        <w:tblCellMar>
          <w:left w:w="70" w:type="dxa"/>
          <w:right w:w="70" w:type="dxa"/>
        </w:tblCellMar>
        <w:tblLook w:val="04A0" w:firstRow="1" w:lastRow="0" w:firstColumn="1" w:lastColumn="0" w:noHBand="0" w:noVBand="1"/>
      </w:tblPr>
      <w:tblGrid>
        <w:gridCol w:w="2152"/>
        <w:gridCol w:w="2151"/>
        <w:gridCol w:w="2690"/>
      </w:tblGrid>
      <w:tr w:rsidR="00FE7FEB" w:rsidRPr="004E7F7B" w:rsidTr="00216EDE">
        <w:trPr>
          <w:trHeight w:hRule="exact" w:val="315"/>
        </w:trPr>
        <w:tc>
          <w:tcPr>
            <w:tcW w:w="1539"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val="tr-TR" w:eastAsia="tr-TR"/>
              </w:rPr>
            </w:pPr>
            <w:r w:rsidRPr="004E7F7B">
              <w:rPr>
                <w:rFonts w:ascii="Times New Roman" w:eastAsia="Times New Roman" w:hAnsi="Times New Roman" w:cs="Times New Roman"/>
                <w:b/>
                <w:bCs/>
                <w:color w:val="FFFFFF" w:themeColor="background1"/>
                <w:lang w:eastAsia="tr-TR"/>
              </w:rPr>
              <w:t>C</w:t>
            </w:r>
            <w:r w:rsidRPr="004E7F7B">
              <w:rPr>
                <w:rFonts w:ascii="Times New Roman" w:eastAsia="Times New Roman" w:hAnsi="Times New Roman" w:cs="Times New Roman"/>
                <w:color w:val="FFFFFF" w:themeColor="background1"/>
                <w:lang w:eastAsia="tr-TR"/>
              </w:rPr>
              <w:t>ase Type</w:t>
            </w:r>
          </w:p>
        </w:tc>
        <w:tc>
          <w:tcPr>
            <w:tcW w:w="1538"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 of Case</w:t>
            </w:r>
          </w:p>
        </w:tc>
        <w:tc>
          <w:tcPr>
            <w:tcW w:w="1923"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w:t>
            </w:r>
          </w:p>
        </w:tc>
      </w:tr>
      <w:tr w:rsidR="00CC2609" w:rsidRPr="004E7F7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Criminal Cases</w:t>
            </w:r>
          </w:p>
        </w:tc>
        <w:tc>
          <w:tcPr>
            <w:tcW w:w="1538"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31.309</w:t>
            </w:r>
          </w:p>
        </w:tc>
        <w:tc>
          <w:tcPr>
            <w:tcW w:w="192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55,19</w:t>
            </w:r>
          </w:p>
        </w:tc>
      </w:tr>
      <w:tr w:rsidR="00CC2609" w:rsidRPr="004E7F7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Administrative Cases</w:t>
            </w:r>
          </w:p>
        </w:tc>
        <w:tc>
          <w:tcPr>
            <w:tcW w:w="1538"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19.597</w:t>
            </w:r>
          </w:p>
        </w:tc>
        <w:tc>
          <w:tcPr>
            <w:tcW w:w="192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34,54</w:t>
            </w:r>
          </w:p>
        </w:tc>
      </w:tr>
      <w:tr w:rsidR="00CC2609" w:rsidRPr="004E7F7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Legal Cases</w:t>
            </w:r>
          </w:p>
        </w:tc>
        <w:tc>
          <w:tcPr>
            <w:tcW w:w="1538"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5.824</w:t>
            </w:r>
          </w:p>
        </w:tc>
        <w:tc>
          <w:tcPr>
            <w:tcW w:w="192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10,27</w:t>
            </w:r>
          </w:p>
        </w:tc>
      </w:tr>
      <w:tr w:rsidR="00CC2609" w:rsidRPr="004E7F7B" w:rsidTr="00216EDE">
        <w:trPr>
          <w:trHeight w:hRule="exact" w:val="315"/>
        </w:trPr>
        <w:tc>
          <w:tcPr>
            <w:tcW w:w="1539"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TOTAL</w:t>
            </w:r>
          </w:p>
        </w:tc>
        <w:tc>
          <w:tcPr>
            <w:tcW w:w="1538"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 xml:space="preserve"> 56.730</w:t>
            </w:r>
          </w:p>
        </w:tc>
        <w:tc>
          <w:tcPr>
            <w:tcW w:w="1923" w:type="pct"/>
            <w:tcBorders>
              <w:top w:val="nil"/>
              <w:left w:val="nil"/>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100</w:t>
            </w:r>
          </w:p>
        </w:tc>
      </w:tr>
    </w:tbl>
    <w:p w:rsidR="00FE7FEB" w:rsidRPr="004E7F7B" w:rsidRDefault="00FE7FEB" w:rsidP="004E7F7B">
      <w:pPr>
        <w:pStyle w:val="Balk5"/>
        <w:jc w:val="both"/>
        <w:rPr>
          <w:rFonts w:ascii="Times New Roman" w:hAnsi="Times New Roman" w:cs="Times New Roman"/>
        </w:rPr>
      </w:pPr>
      <w:bookmarkStart w:id="303" w:name="_Toc48818062"/>
      <w:r w:rsidRPr="004E7F7B">
        <w:rPr>
          <w:rFonts w:ascii="Times New Roman" w:hAnsi="Times New Roman" w:cs="Times New Roman"/>
        </w:rPr>
        <w:t xml:space="preserve">Table 8.2: </w:t>
      </w:r>
      <w:r w:rsidR="00FE0469" w:rsidRPr="004E7F7B">
        <w:rPr>
          <w:rStyle w:val="Gl"/>
          <w:rFonts w:ascii="Times New Roman" w:hAnsi="Times New Roman" w:cs="Times New Roman"/>
          <w:b/>
          <w:bCs w:val="0"/>
        </w:rPr>
        <w:t>Dispersion of C</w:t>
      </w:r>
      <w:r w:rsidRPr="004E7F7B">
        <w:rPr>
          <w:rStyle w:val="Gl"/>
          <w:rFonts w:ascii="Times New Roman" w:hAnsi="Times New Roman" w:cs="Times New Roman"/>
          <w:b/>
          <w:bCs w:val="0"/>
        </w:rPr>
        <w:t xml:space="preserve">ases of which EMRA </w:t>
      </w:r>
      <w:r w:rsidR="00FE0469" w:rsidRPr="004E7F7B">
        <w:rPr>
          <w:rStyle w:val="Gl"/>
          <w:rFonts w:ascii="Times New Roman" w:hAnsi="Times New Roman" w:cs="Times New Roman"/>
          <w:b/>
          <w:bCs w:val="0"/>
        </w:rPr>
        <w:t>is a P</w:t>
      </w:r>
      <w:r w:rsidR="00CC2609" w:rsidRPr="004E7F7B">
        <w:rPr>
          <w:rStyle w:val="Gl"/>
          <w:rFonts w:ascii="Times New Roman" w:hAnsi="Times New Roman" w:cs="Times New Roman"/>
          <w:b/>
          <w:bCs w:val="0"/>
        </w:rPr>
        <w:t>arty as of the end of 2019</w:t>
      </w:r>
      <w:r w:rsidR="00FE0469" w:rsidRPr="004E7F7B">
        <w:rPr>
          <w:rStyle w:val="Gl"/>
          <w:rFonts w:ascii="Times New Roman" w:hAnsi="Times New Roman" w:cs="Times New Roman"/>
          <w:b/>
          <w:bCs w:val="0"/>
        </w:rPr>
        <w:t xml:space="preserve"> by S</w:t>
      </w:r>
      <w:r w:rsidRPr="004E7F7B">
        <w:rPr>
          <w:rStyle w:val="Gl"/>
          <w:rFonts w:ascii="Times New Roman" w:hAnsi="Times New Roman" w:cs="Times New Roman"/>
          <w:b/>
          <w:bCs w:val="0"/>
        </w:rPr>
        <w:t>ectors</w:t>
      </w:r>
      <w:bookmarkEnd w:id="303"/>
    </w:p>
    <w:tbl>
      <w:tblPr>
        <w:tblW w:w="4226" w:type="pct"/>
        <w:tblInd w:w="779" w:type="dxa"/>
        <w:tblCellMar>
          <w:left w:w="70" w:type="dxa"/>
          <w:right w:w="70" w:type="dxa"/>
        </w:tblCellMar>
        <w:tblLook w:val="04A0" w:firstRow="1" w:lastRow="0" w:firstColumn="1" w:lastColumn="0" w:noHBand="0" w:noVBand="1"/>
      </w:tblPr>
      <w:tblGrid>
        <w:gridCol w:w="3132"/>
        <w:gridCol w:w="2382"/>
        <w:gridCol w:w="2554"/>
      </w:tblGrid>
      <w:tr w:rsidR="00FE7FEB" w:rsidRPr="004E7F7B" w:rsidTr="00D816E6">
        <w:trPr>
          <w:trHeight w:hRule="exact" w:val="315"/>
        </w:trPr>
        <w:tc>
          <w:tcPr>
            <w:tcW w:w="1941"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val="tr-TR" w:eastAsia="tr-TR"/>
              </w:rPr>
            </w:pPr>
            <w:r w:rsidRPr="004E7F7B">
              <w:rPr>
                <w:rFonts w:ascii="Times New Roman" w:eastAsia="Times New Roman" w:hAnsi="Times New Roman" w:cs="Times New Roman"/>
                <w:b/>
                <w:bCs/>
                <w:color w:val="FFFFFF" w:themeColor="background1"/>
                <w:lang w:eastAsia="tr-TR"/>
              </w:rPr>
              <w:t>Sector</w:t>
            </w:r>
          </w:p>
        </w:tc>
        <w:tc>
          <w:tcPr>
            <w:tcW w:w="1476"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 of Cases</w:t>
            </w:r>
          </w:p>
        </w:tc>
        <w:tc>
          <w:tcPr>
            <w:tcW w:w="1583"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Electricity</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7.729</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13,62</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Natural Gas</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493</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0,87</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Petroleum</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44.783</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78,94</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bCs/>
                <w:color w:val="000000" w:themeColor="text1"/>
                <w:lang w:eastAsia="tr-TR"/>
              </w:rPr>
              <w:t>LPG</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Cs/>
                <w:color w:val="000000" w:themeColor="text1"/>
                <w:lang w:eastAsia="tr-TR"/>
              </w:rPr>
              <w:t xml:space="preserve"> 2.105</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3,71</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bCs/>
                <w:color w:val="000000" w:themeColor="text1"/>
                <w:lang w:eastAsia="tr-TR"/>
              </w:rPr>
              <w:t>Expropriation</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Cs/>
                <w:color w:val="000000" w:themeColor="text1"/>
                <w:lang w:eastAsia="tr-TR"/>
              </w:rPr>
              <w:t xml:space="preserve"> 921</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1,62</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Other</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bCs/>
                <w:color w:val="000000" w:themeColor="text1"/>
                <w:lang w:eastAsia="tr-TR"/>
              </w:rPr>
              <w:t xml:space="preserve"> 699</w:t>
            </w:r>
          </w:p>
        </w:tc>
        <w:tc>
          <w:tcPr>
            <w:tcW w:w="1583"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1,24</w:t>
            </w:r>
          </w:p>
        </w:tc>
      </w:tr>
      <w:tr w:rsidR="00CC2609" w:rsidRPr="004E7F7B" w:rsidTr="00D816E6">
        <w:trPr>
          <w:trHeight w:hRule="exact" w:val="315"/>
        </w:trPr>
        <w:tc>
          <w:tcPr>
            <w:tcW w:w="1941"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TOTAL</w:t>
            </w:r>
          </w:p>
        </w:tc>
        <w:tc>
          <w:tcPr>
            <w:tcW w:w="1476"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 xml:space="preserve"> 56.730</w:t>
            </w:r>
          </w:p>
        </w:tc>
        <w:tc>
          <w:tcPr>
            <w:tcW w:w="1583" w:type="pct"/>
            <w:tcBorders>
              <w:top w:val="nil"/>
              <w:left w:val="nil"/>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100</w:t>
            </w:r>
          </w:p>
        </w:tc>
      </w:tr>
    </w:tbl>
    <w:p w:rsidR="00FE7FEB" w:rsidRPr="004E7F7B" w:rsidRDefault="00FE7FEB" w:rsidP="004E7F7B">
      <w:pPr>
        <w:pStyle w:val="Balk5"/>
        <w:jc w:val="both"/>
        <w:rPr>
          <w:rFonts w:ascii="Times New Roman" w:hAnsi="Times New Roman" w:cs="Times New Roman"/>
        </w:rPr>
      </w:pPr>
      <w:bookmarkStart w:id="304" w:name="_Toc48818063"/>
      <w:r w:rsidRPr="004E7F7B">
        <w:rPr>
          <w:rFonts w:ascii="Times New Roman" w:hAnsi="Times New Roman" w:cs="Times New Roman"/>
        </w:rPr>
        <w:t xml:space="preserve">Table 8.3: </w:t>
      </w:r>
      <w:r w:rsidR="00FE0469" w:rsidRPr="004E7F7B">
        <w:rPr>
          <w:rStyle w:val="Gl"/>
          <w:rFonts w:ascii="Times New Roman" w:hAnsi="Times New Roman" w:cs="Times New Roman"/>
          <w:b/>
          <w:bCs w:val="0"/>
        </w:rPr>
        <w:t>Dispersion of the Cases of which EMRA is a P</w:t>
      </w:r>
      <w:r w:rsidRPr="004E7F7B">
        <w:rPr>
          <w:rStyle w:val="Gl"/>
          <w:rFonts w:ascii="Times New Roman" w:hAnsi="Times New Roman" w:cs="Times New Roman"/>
          <w:b/>
          <w:bCs w:val="0"/>
        </w:rPr>
        <w:t>arty in 201</w:t>
      </w:r>
      <w:r w:rsidR="00CC2609" w:rsidRPr="004E7F7B">
        <w:rPr>
          <w:rStyle w:val="Gl"/>
          <w:rFonts w:ascii="Times New Roman" w:hAnsi="Times New Roman" w:cs="Times New Roman"/>
          <w:b/>
          <w:bCs w:val="0"/>
        </w:rPr>
        <w:t>9</w:t>
      </w:r>
      <w:bookmarkEnd w:id="304"/>
    </w:p>
    <w:tbl>
      <w:tblPr>
        <w:tblW w:w="3310" w:type="pct"/>
        <w:tblInd w:w="1360" w:type="dxa"/>
        <w:tblCellMar>
          <w:left w:w="70" w:type="dxa"/>
          <w:right w:w="70" w:type="dxa"/>
        </w:tblCellMar>
        <w:tblLook w:val="04A0" w:firstRow="1" w:lastRow="0" w:firstColumn="1" w:lastColumn="0" w:noHBand="0" w:noVBand="1"/>
      </w:tblPr>
      <w:tblGrid>
        <w:gridCol w:w="2019"/>
        <w:gridCol w:w="2287"/>
        <w:gridCol w:w="2013"/>
      </w:tblGrid>
      <w:tr w:rsidR="00FE7FEB" w:rsidRPr="004E7F7B" w:rsidTr="00CC2609">
        <w:trPr>
          <w:trHeight w:hRule="exact" w:val="615"/>
        </w:trPr>
        <w:tc>
          <w:tcPr>
            <w:tcW w:w="1597"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val="tr-TR" w:eastAsia="tr-TR"/>
              </w:rPr>
            </w:pPr>
            <w:r w:rsidRPr="004E7F7B">
              <w:rPr>
                <w:rFonts w:ascii="Times New Roman" w:eastAsia="Times New Roman" w:hAnsi="Times New Roman" w:cs="Times New Roman"/>
                <w:b/>
                <w:bCs/>
                <w:color w:val="FFFFFF" w:themeColor="background1"/>
                <w:lang w:eastAsia="tr-TR"/>
              </w:rPr>
              <w:t>Case Type</w:t>
            </w:r>
          </w:p>
        </w:tc>
        <w:tc>
          <w:tcPr>
            <w:tcW w:w="1810"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 of Cases</w:t>
            </w:r>
          </w:p>
        </w:tc>
        <w:tc>
          <w:tcPr>
            <w:tcW w:w="1594"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w:t>
            </w:r>
          </w:p>
        </w:tc>
      </w:tr>
      <w:tr w:rsidR="00CC2609" w:rsidRPr="004E7F7B" w:rsidTr="00CC2609">
        <w:trPr>
          <w:trHeight w:hRule="exact" w:val="315"/>
        </w:trPr>
        <w:tc>
          <w:tcPr>
            <w:tcW w:w="1597"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Criminal Cases</w:t>
            </w:r>
          </w:p>
        </w:tc>
        <w:tc>
          <w:tcPr>
            <w:tcW w:w="1810"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794</w:t>
            </w:r>
          </w:p>
        </w:tc>
        <w:tc>
          <w:tcPr>
            <w:tcW w:w="1594"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27,59</w:t>
            </w:r>
          </w:p>
        </w:tc>
      </w:tr>
      <w:tr w:rsidR="00CC2609" w:rsidRPr="004E7F7B" w:rsidTr="00CC2609">
        <w:trPr>
          <w:trHeight w:hRule="exact" w:val="315"/>
        </w:trPr>
        <w:tc>
          <w:tcPr>
            <w:tcW w:w="1597"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Administrative Cases</w:t>
            </w:r>
          </w:p>
        </w:tc>
        <w:tc>
          <w:tcPr>
            <w:tcW w:w="1810"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1.459</w:t>
            </w:r>
          </w:p>
        </w:tc>
        <w:tc>
          <w:tcPr>
            <w:tcW w:w="1594"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50,69</w:t>
            </w:r>
          </w:p>
        </w:tc>
      </w:tr>
      <w:tr w:rsidR="00CC2609" w:rsidRPr="004E7F7B" w:rsidTr="00CC2609">
        <w:trPr>
          <w:trHeight w:hRule="exact" w:val="315"/>
        </w:trPr>
        <w:tc>
          <w:tcPr>
            <w:tcW w:w="1597"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Legal Cases</w:t>
            </w:r>
          </w:p>
        </w:tc>
        <w:tc>
          <w:tcPr>
            <w:tcW w:w="1810"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625</w:t>
            </w:r>
          </w:p>
        </w:tc>
        <w:tc>
          <w:tcPr>
            <w:tcW w:w="1594"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themeColor="text1"/>
                <w:lang w:eastAsia="tr-TR"/>
              </w:rPr>
              <w:t xml:space="preserve"> 21,72</w:t>
            </w:r>
          </w:p>
        </w:tc>
      </w:tr>
      <w:tr w:rsidR="00CC2609" w:rsidRPr="004E7F7B" w:rsidTr="00CC2609">
        <w:trPr>
          <w:trHeight w:hRule="exact" w:val="315"/>
        </w:trPr>
        <w:tc>
          <w:tcPr>
            <w:tcW w:w="1597" w:type="pct"/>
            <w:tcBorders>
              <w:top w:val="nil"/>
              <w:left w:val="single" w:sz="8" w:space="0" w:color="BFBFBF"/>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TOTAL</w:t>
            </w:r>
          </w:p>
        </w:tc>
        <w:tc>
          <w:tcPr>
            <w:tcW w:w="1810" w:type="pct"/>
            <w:tcBorders>
              <w:top w:val="nil"/>
              <w:left w:val="nil"/>
              <w:bottom w:val="single" w:sz="8" w:space="0" w:color="BFBFBF"/>
              <w:right w:val="single" w:sz="8" w:space="0" w:color="BFBFBF"/>
            </w:tcBorders>
            <w:noWrap/>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 xml:space="preserve"> 2.878</w:t>
            </w:r>
          </w:p>
        </w:tc>
        <w:tc>
          <w:tcPr>
            <w:tcW w:w="1594" w:type="pct"/>
            <w:tcBorders>
              <w:top w:val="nil"/>
              <w:left w:val="nil"/>
              <w:bottom w:val="single" w:sz="8" w:space="0" w:color="BFBFBF"/>
              <w:right w:val="single" w:sz="8" w:space="0" w:color="BFBFBF"/>
            </w:tcBorders>
            <w:vAlign w:val="center"/>
            <w:hideMark/>
          </w:tcPr>
          <w:p w:rsidR="00CC2609" w:rsidRPr="004E7F7B" w:rsidRDefault="00CC2609"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themeColor="text1"/>
                <w:lang w:eastAsia="tr-TR"/>
              </w:rPr>
              <w:t>100</w:t>
            </w:r>
          </w:p>
        </w:tc>
      </w:tr>
    </w:tbl>
    <w:p w:rsidR="00FE7FEB" w:rsidRPr="004E7F7B" w:rsidRDefault="00FE7FEB" w:rsidP="004E7F7B">
      <w:pPr>
        <w:rPr>
          <w:rFonts w:ascii="Times New Roman" w:hAnsi="Times New Roman" w:cs="Times New Roman"/>
        </w:rPr>
      </w:pPr>
    </w:p>
    <w:p w:rsidR="00FE7FEB" w:rsidRPr="004E7F7B" w:rsidRDefault="00FE7FEB" w:rsidP="00793DA9">
      <w:r w:rsidRPr="004E7F7B">
        <w:t>As can be seen from the tables most of the cases to which EMRA is a party are related to the oil market. It is considered that this situation stems from the high number of licensed actors in the oil market.</w:t>
      </w:r>
    </w:p>
    <w:p w:rsidR="00FE7FEB" w:rsidRPr="004E7F7B" w:rsidRDefault="00207061" w:rsidP="004E7F7B">
      <w:pPr>
        <w:pStyle w:val="Balk5"/>
        <w:jc w:val="both"/>
        <w:rPr>
          <w:rFonts w:ascii="Times New Roman" w:hAnsi="Times New Roman" w:cs="Times New Roman"/>
        </w:rPr>
      </w:pPr>
      <w:bookmarkStart w:id="305" w:name="_Toc48818064"/>
      <w:r w:rsidRPr="004E7F7B">
        <w:rPr>
          <w:rStyle w:val="Gl"/>
          <w:rFonts w:ascii="Times New Roman" w:hAnsi="Times New Roman" w:cs="Times New Roman"/>
          <w:b/>
          <w:bCs w:val="0"/>
        </w:rPr>
        <w:t>Figure</w:t>
      </w:r>
      <w:r w:rsidR="00FE7FEB" w:rsidRPr="004E7F7B">
        <w:rPr>
          <w:rStyle w:val="Gl"/>
          <w:rFonts w:ascii="Times New Roman" w:hAnsi="Times New Roman" w:cs="Times New Roman"/>
          <w:b/>
          <w:bCs w:val="0"/>
        </w:rPr>
        <w:t xml:space="preserve"> 8.1: Dispersi</w:t>
      </w:r>
      <w:r w:rsidR="00FE0469" w:rsidRPr="004E7F7B">
        <w:rPr>
          <w:rStyle w:val="Gl"/>
          <w:rFonts w:ascii="Times New Roman" w:hAnsi="Times New Roman" w:cs="Times New Roman"/>
          <w:b/>
          <w:bCs w:val="0"/>
        </w:rPr>
        <w:t>on of Cases of which EMRA is a P</w:t>
      </w:r>
      <w:r w:rsidR="00FE7FEB" w:rsidRPr="004E7F7B">
        <w:rPr>
          <w:rStyle w:val="Gl"/>
          <w:rFonts w:ascii="Times New Roman" w:hAnsi="Times New Roman" w:cs="Times New Roman"/>
          <w:b/>
          <w:bCs w:val="0"/>
        </w:rPr>
        <w:t>arty by years</w:t>
      </w:r>
      <w:bookmarkEnd w:id="305"/>
    </w:p>
    <w:p w:rsidR="00FE7FEB" w:rsidRPr="004E7F7B" w:rsidRDefault="00AF1093" w:rsidP="004E7F7B">
      <w:pPr>
        <w:spacing w:after="0" w:line="240" w:lineRule="auto"/>
        <w:rPr>
          <w:rFonts w:ascii="Times New Roman" w:hAnsi="Times New Roman" w:cs="Times New Roman"/>
          <w:b/>
          <w:color w:val="000000" w:themeColor="text1"/>
        </w:rPr>
      </w:pPr>
      <w:r w:rsidRPr="004E7F7B">
        <w:rPr>
          <w:rFonts w:ascii="Times New Roman" w:hAnsi="Times New Roman" w:cs="Times New Roman"/>
          <w:b/>
          <w:color w:val="000000" w:themeColor="text1"/>
        </w:rPr>
        <w:t xml:space="preserve">          </w:t>
      </w:r>
      <w:r w:rsidR="00B206D0" w:rsidRPr="004E7F7B">
        <w:rPr>
          <w:rFonts w:ascii="Times New Roman" w:hAnsi="Times New Roman" w:cs="Times New Roman"/>
          <w:color w:val="000000" w:themeColor="text1"/>
          <w:highlight w:val="yellow"/>
          <w:lang w:val="tr-TR" w:eastAsia="tr-TR"/>
        </w:rPr>
        <w:drawing>
          <wp:inline distT="0" distB="0" distL="0" distR="0" wp14:anchorId="55B09F96" wp14:editId="73E70E0A">
            <wp:extent cx="5760720" cy="3120019"/>
            <wp:effectExtent l="0" t="0" r="11430" b="444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C2609" w:rsidRPr="004E7F7B" w:rsidRDefault="00CC2609" w:rsidP="004E7F7B">
      <w:pPr>
        <w:spacing w:after="120" w:line="240" w:lineRule="auto"/>
        <w:rPr>
          <w:rFonts w:ascii="Times New Roman" w:hAnsi="Times New Roman" w:cs="Times New Roman"/>
          <w:b/>
          <w:color w:val="000000" w:themeColor="text1"/>
        </w:rPr>
      </w:pPr>
    </w:p>
    <w:p w:rsidR="00FE7FEB" w:rsidRPr="004E7F7B" w:rsidRDefault="00FE7FEB" w:rsidP="004E7F7B">
      <w:pPr>
        <w:spacing w:after="12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In 201</w:t>
      </w:r>
      <w:r w:rsidR="00CC2609" w:rsidRPr="004E7F7B">
        <w:rPr>
          <w:rFonts w:ascii="Times New Roman" w:hAnsi="Times New Roman" w:cs="Times New Roman"/>
          <w:color w:val="000000" w:themeColor="text1"/>
        </w:rPr>
        <w:t>9</w:t>
      </w:r>
      <w:r w:rsidRPr="004E7F7B">
        <w:rPr>
          <w:rFonts w:ascii="Times New Roman" w:hAnsi="Times New Roman" w:cs="Times New Roman"/>
          <w:color w:val="000000" w:themeColor="text1"/>
        </w:rPr>
        <w:t>;</w:t>
      </w:r>
    </w:p>
    <w:p w:rsidR="00FE7FEB" w:rsidRPr="004E7F7B" w:rsidRDefault="00CC2609"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2.878</w:t>
      </w:r>
      <w:r w:rsidR="00FE7FEB" w:rsidRPr="004E7F7B">
        <w:rPr>
          <w:rFonts w:ascii="Times New Roman" w:hAnsi="Times New Roman" w:cs="Times New Roman"/>
        </w:rPr>
        <w:t xml:space="preserve"> cases were filed against our Institution.</w:t>
      </w:r>
    </w:p>
    <w:p w:rsidR="00FE7FEB" w:rsidRPr="004E7F7B" w:rsidRDefault="00CC2609"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2.878</w:t>
      </w:r>
      <w:r w:rsidR="00FE7FEB" w:rsidRPr="004E7F7B">
        <w:rPr>
          <w:rFonts w:ascii="Times New Roman" w:hAnsi="Times New Roman" w:cs="Times New Roman"/>
        </w:rPr>
        <w:t xml:space="preserve"> respondents who are party to ou</w:t>
      </w:r>
      <w:r w:rsidRPr="004E7F7B">
        <w:rPr>
          <w:rFonts w:ascii="Times New Roman" w:hAnsi="Times New Roman" w:cs="Times New Roman"/>
        </w:rPr>
        <w:t>r institution; 794 criminal cases, 1,459</w:t>
      </w:r>
      <w:r w:rsidR="00FE7FEB" w:rsidRPr="004E7F7B">
        <w:rPr>
          <w:rFonts w:ascii="Times New Roman" w:hAnsi="Times New Roman" w:cs="Times New Roman"/>
        </w:rPr>
        <w:t xml:space="preserve"> administrative cases, </w:t>
      </w:r>
      <w:r w:rsidRPr="004E7F7B">
        <w:rPr>
          <w:rFonts w:ascii="Times New Roman" w:hAnsi="Times New Roman" w:cs="Times New Roman"/>
        </w:rPr>
        <w:t>625</w:t>
      </w:r>
      <w:r w:rsidR="00FE7FEB" w:rsidRPr="004E7F7B">
        <w:rPr>
          <w:rFonts w:ascii="Times New Roman" w:hAnsi="Times New Roman" w:cs="Times New Roman"/>
        </w:rPr>
        <w:t xml:space="preserve"> legal cases.</w:t>
      </w:r>
    </w:p>
    <w:p w:rsidR="00FE7FEB" w:rsidRPr="004E7F7B" w:rsidRDefault="00CC2609"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2.251</w:t>
      </w:r>
      <w:r w:rsidR="00FE7FEB" w:rsidRPr="004E7F7B">
        <w:rPr>
          <w:rFonts w:ascii="Times New Roman" w:hAnsi="Times New Roman" w:cs="Times New Roman"/>
        </w:rPr>
        <w:t xml:space="preserve"> cases were filed in accordance with non-file (non-prosecution, notice of levy, lack of jurisdiction, etc.)</w:t>
      </w:r>
    </w:p>
    <w:p w:rsidR="00FE7FEB" w:rsidRPr="004E7F7B" w:rsidRDefault="00FE0469" w:rsidP="004E7F7B">
      <w:pPr>
        <w:pStyle w:val="Balk5"/>
        <w:jc w:val="both"/>
        <w:rPr>
          <w:rFonts w:ascii="Times New Roman" w:hAnsi="Times New Roman" w:cs="Times New Roman"/>
        </w:rPr>
      </w:pPr>
      <w:bookmarkStart w:id="306" w:name="_Toc48818065"/>
      <w:r w:rsidRPr="004E7F7B">
        <w:rPr>
          <w:rFonts w:ascii="Times New Roman" w:hAnsi="Times New Roman" w:cs="Times New Roman"/>
        </w:rPr>
        <w:t>Table 8.4: Status of the Cases L</w:t>
      </w:r>
      <w:r w:rsidR="00FE7FEB" w:rsidRPr="004E7F7B">
        <w:rPr>
          <w:rFonts w:ascii="Times New Roman" w:hAnsi="Times New Roman" w:cs="Times New Roman"/>
        </w:rPr>
        <w:t>itigated by EMRA as of the end of 201</w:t>
      </w:r>
      <w:r w:rsidR="008629A0" w:rsidRPr="004E7F7B">
        <w:rPr>
          <w:rFonts w:ascii="Times New Roman" w:hAnsi="Times New Roman" w:cs="Times New Roman"/>
        </w:rPr>
        <w:t>9</w:t>
      </w:r>
      <w:bookmarkEnd w:id="306"/>
    </w:p>
    <w:tbl>
      <w:tblPr>
        <w:tblW w:w="4226" w:type="pct"/>
        <w:tblInd w:w="779" w:type="dxa"/>
        <w:tblCellMar>
          <w:left w:w="70" w:type="dxa"/>
          <w:right w:w="70" w:type="dxa"/>
        </w:tblCellMar>
        <w:tblLook w:val="04A0" w:firstRow="1" w:lastRow="0" w:firstColumn="1" w:lastColumn="0" w:noHBand="0" w:noVBand="1"/>
      </w:tblPr>
      <w:tblGrid>
        <w:gridCol w:w="1806"/>
        <w:gridCol w:w="1828"/>
        <w:gridCol w:w="2420"/>
        <w:gridCol w:w="2014"/>
      </w:tblGrid>
      <w:tr w:rsidR="00FE7FEB" w:rsidRPr="004E7F7B" w:rsidTr="008629A0">
        <w:trPr>
          <w:trHeight w:val="315"/>
        </w:trPr>
        <w:tc>
          <w:tcPr>
            <w:tcW w:w="1119"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Case Type</w:t>
            </w:r>
          </w:p>
        </w:tc>
        <w:tc>
          <w:tcPr>
            <w:tcW w:w="1133"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Case No.</w:t>
            </w:r>
          </w:p>
        </w:tc>
        <w:tc>
          <w:tcPr>
            <w:tcW w:w="1500"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Finalized</w:t>
            </w:r>
          </w:p>
        </w:tc>
        <w:tc>
          <w:tcPr>
            <w:tcW w:w="1249" w:type="pct"/>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Pending</w:t>
            </w:r>
          </w:p>
        </w:tc>
      </w:tr>
      <w:tr w:rsidR="008629A0" w:rsidRPr="004E7F7B" w:rsidTr="008629A0">
        <w:trPr>
          <w:trHeight w:val="315"/>
        </w:trPr>
        <w:tc>
          <w:tcPr>
            <w:tcW w:w="111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Criminal Cases</w:t>
            </w:r>
          </w:p>
        </w:tc>
        <w:tc>
          <w:tcPr>
            <w:tcW w:w="1133"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31.309</w:t>
            </w:r>
          </w:p>
        </w:tc>
        <w:tc>
          <w:tcPr>
            <w:tcW w:w="150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190</w:t>
            </w:r>
          </w:p>
        </w:tc>
        <w:tc>
          <w:tcPr>
            <w:tcW w:w="124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31.119</w:t>
            </w:r>
          </w:p>
        </w:tc>
      </w:tr>
      <w:tr w:rsidR="008629A0" w:rsidRPr="004E7F7B" w:rsidTr="008629A0">
        <w:trPr>
          <w:trHeight w:val="315"/>
        </w:trPr>
        <w:tc>
          <w:tcPr>
            <w:tcW w:w="111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Administrative Cases</w:t>
            </w:r>
          </w:p>
        </w:tc>
        <w:tc>
          <w:tcPr>
            <w:tcW w:w="1133"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19.597</w:t>
            </w:r>
          </w:p>
        </w:tc>
        <w:tc>
          <w:tcPr>
            <w:tcW w:w="150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5.631</w:t>
            </w:r>
          </w:p>
        </w:tc>
        <w:tc>
          <w:tcPr>
            <w:tcW w:w="124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13.966</w:t>
            </w:r>
          </w:p>
        </w:tc>
      </w:tr>
      <w:tr w:rsidR="008629A0" w:rsidRPr="004E7F7B" w:rsidTr="008629A0">
        <w:trPr>
          <w:trHeight w:val="315"/>
        </w:trPr>
        <w:tc>
          <w:tcPr>
            <w:tcW w:w="111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Legal Cases</w:t>
            </w:r>
          </w:p>
        </w:tc>
        <w:tc>
          <w:tcPr>
            <w:tcW w:w="1133"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5.824</w:t>
            </w:r>
          </w:p>
        </w:tc>
        <w:tc>
          <w:tcPr>
            <w:tcW w:w="150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27</w:t>
            </w:r>
          </w:p>
        </w:tc>
        <w:tc>
          <w:tcPr>
            <w:tcW w:w="124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5.797</w:t>
            </w:r>
          </w:p>
        </w:tc>
      </w:tr>
      <w:tr w:rsidR="008629A0" w:rsidRPr="004E7F7B" w:rsidTr="008629A0">
        <w:trPr>
          <w:trHeight w:val="315"/>
        </w:trPr>
        <w:tc>
          <w:tcPr>
            <w:tcW w:w="111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1133"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56.730</w:t>
            </w:r>
          </w:p>
        </w:tc>
        <w:tc>
          <w:tcPr>
            <w:tcW w:w="1500"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5.848</w:t>
            </w:r>
          </w:p>
        </w:tc>
        <w:tc>
          <w:tcPr>
            <w:tcW w:w="124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50.882</w:t>
            </w:r>
          </w:p>
        </w:tc>
      </w:tr>
    </w:tbl>
    <w:p w:rsidR="00FE7FEB" w:rsidRPr="004E7F7B" w:rsidRDefault="008629A0"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As of 31.12.</w:t>
      </w:r>
      <w:r w:rsidR="00FE7FEB" w:rsidRPr="004E7F7B">
        <w:rPr>
          <w:rFonts w:ascii="Times New Roman" w:hAnsi="Times New Roman" w:cs="Times New Roman"/>
        </w:rPr>
        <w:t>201</w:t>
      </w:r>
      <w:r w:rsidRPr="004E7F7B">
        <w:rPr>
          <w:rFonts w:ascii="Times New Roman" w:hAnsi="Times New Roman" w:cs="Times New Roman"/>
        </w:rPr>
        <w:t>9</w:t>
      </w:r>
      <w:r w:rsidR="00FE7FEB" w:rsidRPr="004E7F7B">
        <w:rPr>
          <w:rFonts w:ascii="Times New Roman" w:hAnsi="Times New Roman" w:cs="Times New Roman"/>
        </w:rPr>
        <w:t>; There were 5</w:t>
      </w:r>
      <w:r w:rsidRPr="004E7F7B">
        <w:rPr>
          <w:rFonts w:ascii="Times New Roman" w:hAnsi="Times New Roman" w:cs="Times New Roman"/>
        </w:rPr>
        <w:t>6.730</w:t>
      </w:r>
      <w:r w:rsidR="00FE7FEB" w:rsidRPr="004E7F7B">
        <w:rPr>
          <w:rFonts w:ascii="Times New Roman" w:hAnsi="Times New Roman" w:cs="Times New Roman"/>
        </w:rPr>
        <w:t xml:space="preserve"> lawsui</w:t>
      </w:r>
      <w:r w:rsidRPr="004E7F7B">
        <w:rPr>
          <w:rFonts w:ascii="Times New Roman" w:hAnsi="Times New Roman" w:cs="Times New Roman"/>
        </w:rPr>
        <w:t>tsof which EMRA is a party and 50.882</w:t>
      </w:r>
      <w:r w:rsidR="00FE7FEB" w:rsidRPr="004E7F7B">
        <w:rPr>
          <w:rFonts w:ascii="Times New Roman" w:hAnsi="Times New Roman" w:cs="Times New Roman"/>
        </w:rPr>
        <w:t xml:space="preserve"> lawsuits were still pending.</w:t>
      </w:r>
    </w:p>
    <w:p w:rsidR="00FE7FEB" w:rsidRPr="004E7F7B" w:rsidRDefault="008629A0"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31.309</w:t>
      </w:r>
      <w:r w:rsidR="00FE7FEB" w:rsidRPr="004E7F7B">
        <w:rPr>
          <w:rFonts w:ascii="Times New Roman" w:hAnsi="Times New Roman" w:cs="Times New Roman"/>
        </w:rPr>
        <w:t xml:space="preserve"> out of </w:t>
      </w:r>
      <w:r w:rsidRPr="004E7F7B">
        <w:rPr>
          <w:rFonts w:ascii="Times New Roman" w:hAnsi="Times New Roman" w:cs="Times New Roman"/>
        </w:rPr>
        <w:t>56.730</w:t>
      </w:r>
      <w:r w:rsidR="00FE7FEB" w:rsidRPr="004E7F7B">
        <w:rPr>
          <w:rFonts w:ascii="Times New Roman" w:hAnsi="Times New Roman" w:cs="Times New Roman"/>
        </w:rPr>
        <w:t xml:space="preserve"> cases are criminal cases, 1</w:t>
      </w:r>
      <w:r w:rsidRPr="004E7F7B">
        <w:rPr>
          <w:rFonts w:ascii="Times New Roman" w:hAnsi="Times New Roman" w:cs="Times New Roman"/>
        </w:rPr>
        <w:t>9.597</w:t>
      </w:r>
      <w:r w:rsidR="00FE7FEB" w:rsidRPr="004E7F7B">
        <w:rPr>
          <w:rFonts w:ascii="Times New Roman" w:hAnsi="Times New Roman" w:cs="Times New Roman"/>
        </w:rPr>
        <w:t xml:space="preserve"> are administarive cases, </w:t>
      </w:r>
      <w:r w:rsidRPr="004E7F7B">
        <w:rPr>
          <w:rFonts w:ascii="Times New Roman" w:hAnsi="Times New Roman" w:cs="Times New Roman"/>
        </w:rPr>
        <w:t>5.824</w:t>
      </w:r>
      <w:r w:rsidR="00FE7FEB" w:rsidRPr="004E7F7B">
        <w:rPr>
          <w:rFonts w:ascii="Times New Roman" w:hAnsi="Times New Roman" w:cs="Times New Roman"/>
        </w:rPr>
        <w:t xml:space="preserve"> are legal cases. </w:t>
      </w:r>
    </w:p>
    <w:p w:rsidR="00FE7FEB" w:rsidRPr="004E7F7B" w:rsidRDefault="008629A0"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5.848</w:t>
      </w:r>
      <w:r w:rsidR="00FE7FEB" w:rsidRPr="004E7F7B">
        <w:rPr>
          <w:rFonts w:ascii="Times New Roman" w:hAnsi="Times New Roman" w:cs="Times New Roman"/>
        </w:rPr>
        <w:t xml:space="preserve"> cases have been finalized, 1</w:t>
      </w:r>
      <w:r w:rsidRPr="004E7F7B">
        <w:rPr>
          <w:rFonts w:ascii="Times New Roman" w:hAnsi="Times New Roman" w:cs="Times New Roman"/>
        </w:rPr>
        <w:t>90</w:t>
      </w:r>
      <w:r w:rsidR="00FE7FEB" w:rsidRPr="004E7F7B">
        <w:rPr>
          <w:rFonts w:ascii="Times New Roman" w:hAnsi="Times New Roman" w:cs="Times New Roman"/>
        </w:rPr>
        <w:t xml:space="preserve"> of them were criminal cases, </w:t>
      </w:r>
      <w:r w:rsidRPr="004E7F7B">
        <w:rPr>
          <w:rFonts w:ascii="Times New Roman" w:hAnsi="Times New Roman" w:cs="Times New Roman"/>
        </w:rPr>
        <w:t>5.631</w:t>
      </w:r>
      <w:r w:rsidR="00FE7FEB" w:rsidRPr="004E7F7B">
        <w:rPr>
          <w:rFonts w:ascii="Times New Roman" w:hAnsi="Times New Roman" w:cs="Times New Roman"/>
        </w:rPr>
        <w:t xml:space="preserve"> were administrative cases, </w:t>
      </w:r>
      <w:r w:rsidRPr="004E7F7B">
        <w:rPr>
          <w:rFonts w:ascii="Times New Roman" w:hAnsi="Times New Roman" w:cs="Times New Roman"/>
        </w:rPr>
        <w:t>27</w:t>
      </w:r>
      <w:r w:rsidR="00FE7FEB" w:rsidRPr="004E7F7B">
        <w:rPr>
          <w:rFonts w:ascii="Times New Roman" w:hAnsi="Times New Roman" w:cs="Times New Roman"/>
        </w:rPr>
        <w:t xml:space="preserve"> were legal cases. </w:t>
      </w:r>
    </w:p>
    <w:p w:rsidR="00FE7FEB" w:rsidRPr="004E7F7B" w:rsidRDefault="008629A0"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50.882</w:t>
      </w:r>
      <w:r w:rsidR="00FE7FEB" w:rsidRPr="004E7F7B">
        <w:rPr>
          <w:rFonts w:ascii="Times New Roman" w:hAnsi="Times New Roman" w:cs="Times New Roman"/>
        </w:rPr>
        <w:t xml:space="preserve"> cases are pending, </w:t>
      </w:r>
      <w:r w:rsidRPr="004E7F7B">
        <w:rPr>
          <w:rFonts w:ascii="Times New Roman" w:hAnsi="Times New Roman" w:cs="Times New Roman"/>
        </w:rPr>
        <w:t>31</w:t>
      </w:r>
      <w:r w:rsidR="00FE7FEB" w:rsidRPr="004E7F7B">
        <w:rPr>
          <w:rFonts w:ascii="Times New Roman" w:hAnsi="Times New Roman" w:cs="Times New Roman"/>
        </w:rPr>
        <w:t>.</w:t>
      </w:r>
      <w:r w:rsidRPr="004E7F7B">
        <w:rPr>
          <w:rFonts w:ascii="Times New Roman" w:hAnsi="Times New Roman" w:cs="Times New Roman"/>
        </w:rPr>
        <w:t>119</w:t>
      </w:r>
      <w:r w:rsidR="00FE7FEB" w:rsidRPr="004E7F7B">
        <w:rPr>
          <w:rFonts w:ascii="Times New Roman" w:hAnsi="Times New Roman" w:cs="Times New Roman"/>
        </w:rPr>
        <w:t xml:space="preserve"> of which are criminal cases, </w:t>
      </w:r>
      <w:r w:rsidRPr="004E7F7B">
        <w:rPr>
          <w:rFonts w:ascii="Times New Roman" w:hAnsi="Times New Roman" w:cs="Times New Roman"/>
        </w:rPr>
        <w:t>13.966</w:t>
      </w:r>
      <w:r w:rsidR="00FE7FEB" w:rsidRPr="004E7F7B">
        <w:rPr>
          <w:rFonts w:ascii="Times New Roman" w:hAnsi="Times New Roman" w:cs="Times New Roman"/>
        </w:rPr>
        <w:t xml:space="preserve"> are administrative cases and  </w:t>
      </w:r>
      <w:r w:rsidRPr="004E7F7B">
        <w:rPr>
          <w:rFonts w:ascii="Times New Roman" w:hAnsi="Times New Roman" w:cs="Times New Roman"/>
        </w:rPr>
        <w:t>5.797</w:t>
      </w:r>
      <w:r w:rsidR="00FE7FEB" w:rsidRPr="004E7F7B">
        <w:rPr>
          <w:rFonts w:ascii="Times New Roman" w:hAnsi="Times New Roman" w:cs="Times New Roman"/>
        </w:rPr>
        <w:t xml:space="preserve"> are legal cases.</w:t>
      </w:r>
    </w:p>
    <w:p w:rsidR="00FE7FEB" w:rsidRPr="004E7F7B" w:rsidRDefault="00FE7FEB" w:rsidP="007B4A7D">
      <w:pPr>
        <w:pStyle w:val="ListeParagraf"/>
        <w:numPr>
          <w:ilvl w:val="0"/>
          <w:numId w:val="5"/>
        </w:numPr>
        <w:autoSpaceDE w:val="0"/>
        <w:autoSpaceDN w:val="0"/>
        <w:adjustRightInd w:val="0"/>
        <w:spacing w:after="120" w:line="276" w:lineRule="auto"/>
        <w:ind w:left="360"/>
        <w:rPr>
          <w:rFonts w:ascii="Times New Roman" w:hAnsi="Times New Roman" w:cs="Times New Roman"/>
        </w:rPr>
      </w:pPr>
      <w:r w:rsidRPr="004E7F7B">
        <w:rPr>
          <w:rFonts w:ascii="Times New Roman" w:hAnsi="Times New Roman" w:cs="Times New Roman"/>
        </w:rPr>
        <w:t>1</w:t>
      </w:r>
      <w:r w:rsidR="008629A0" w:rsidRPr="004E7F7B">
        <w:rPr>
          <w:rFonts w:ascii="Times New Roman" w:hAnsi="Times New Roman" w:cs="Times New Roman"/>
        </w:rPr>
        <w:t>5.472</w:t>
      </w:r>
      <w:r w:rsidRPr="004E7F7B">
        <w:rPr>
          <w:rFonts w:ascii="Times New Roman" w:hAnsi="Times New Roman" w:cs="Times New Roman"/>
        </w:rPr>
        <w:t xml:space="preserve"> extra-judicial files have been litigated. (non-prosecution, notice of levy, lack of competence etc.). </w:t>
      </w:r>
    </w:p>
    <w:p w:rsidR="00FE7FEB" w:rsidRPr="004E7F7B" w:rsidRDefault="00FE0469" w:rsidP="004E7F7B">
      <w:pPr>
        <w:pStyle w:val="Balk5"/>
        <w:jc w:val="both"/>
        <w:rPr>
          <w:rFonts w:ascii="Times New Roman" w:hAnsi="Times New Roman" w:cs="Times New Roman"/>
        </w:rPr>
      </w:pPr>
      <w:bookmarkStart w:id="307" w:name="_Toc48818066"/>
      <w:r w:rsidRPr="004E7F7B">
        <w:rPr>
          <w:rFonts w:ascii="Times New Roman" w:hAnsi="Times New Roman" w:cs="Times New Roman"/>
        </w:rPr>
        <w:t>Table 8.5: The R</w:t>
      </w:r>
      <w:r w:rsidR="00FE7FEB" w:rsidRPr="004E7F7B">
        <w:rPr>
          <w:rFonts w:ascii="Times New Roman" w:hAnsi="Times New Roman" w:cs="Times New Roman"/>
        </w:rPr>
        <w:t>esolutions</w:t>
      </w:r>
      <w:bookmarkEnd w:id="307"/>
    </w:p>
    <w:tbl>
      <w:tblPr>
        <w:tblW w:w="4508" w:type="pct"/>
        <w:tblInd w:w="496" w:type="dxa"/>
        <w:tblCellMar>
          <w:left w:w="70" w:type="dxa"/>
          <w:right w:w="70" w:type="dxa"/>
        </w:tblCellMar>
        <w:tblLook w:val="04A0" w:firstRow="1" w:lastRow="0" w:firstColumn="1" w:lastColumn="0" w:noHBand="0" w:noVBand="1"/>
      </w:tblPr>
      <w:tblGrid>
        <w:gridCol w:w="2288"/>
        <w:gridCol w:w="1618"/>
        <w:gridCol w:w="1618"/>
        <w:gridCol w:w="1542"/>
        <w:gridCol w:w="1541"/>
      </w:tblGrid>
      <w:tr w:rsidR="00FE7FEB" w:rsidRPr="004E7F7B" w:rsidTr="008629A0">
        <w:trPr>
          <w:trHeight w:val="315"/>
        </w:trPr>
        <w:tc>
          <w:tcPr>
            <w:tcW w:w="1329" w:type="pct"/>
            <w:vMerge w:val="restar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val="tr-TR" w:eastAsia="tr-TR"/>
              </w:rPr>
              <w:t xml:space="preserve">Case </w:t>
            </w:r>
            <w:r w:rsidRPr="004E7F7B">
              <w:rPr>
                <w:rFonts w:ascii="Times New Roman" w:eastAsia="Times New Roman" w:hAnsi="Times New Roman" w:cs="Times New Roman"/>
                <w:b/>
                <w:bCs/>
                <w:color w:val="FFFFFF"/>
                <w:lang w:eastAsia="tr-TR"/>
              </w:rPr>
              <w:t>Type</w:t>
            </w:r>
          </w:p>
        </w:tc>
        <w:tc>
          <w:tcPr>
            <w:tcW w:w="1880"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In favour</w:t>
            </w:r>
          </w:p>
        </w:tc>
        <w:tc>
          <w:tcPr>
            <w:tcW w:w="1792"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Against</w:t>
            </w:r>
          </w:p>
        </w:tc>
      </w:tr>
      <w:tr w:rsidR="00FE7FEB" w:rsidRPr="004E7F7B" w:rsidTr="00D816E6">
        <w:trPr>
          <w:trHeight w:val="393"/>
        </w:trPr>
        <w:tc>
          <w:tcPr>
            <w:tcW w:w="0" w:type="auto"/>
            <w:vMerge/>
            <w:tcBorders>
              <w:top w:val="single" w:sz="8" w:space="0" w:color="BFBFBF"/>
              <w:left w:val="single" w:sz="8" w:space="0" w:color="BFBFBF"/>
              <w:bottom w:val="single" w:sz="8" w:space="0" w:color="BFBFBF"/>
              <w:right w:val="single" w:sz="8" w:space="0" w:color="BFBF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940"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Cases</w:t>
            </w:r>
          </w:p>
        </w:tc>
        <w:tc>
          <w:tcPr>
            <w:tcW w:w="940"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c>
          <w:tcPr>
            <w:tcW w:w="896"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Cases</w:t>
            </w:r>
          </w:p>
        </w:tc>
        <w:tc>
          <w:tcPr>
            <w:tcW w:w="896"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r>
      <w:tr w:rsidR="008629A0" w:rsidRPr="004E7F7B" w:rsidTr="008629A0">
        <w:trPr>
          <w:trHeight w:val="315"/>
        </w:trPr>
        <w:tc>
          <w:tcPr>
            <w:tcW w:w="132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Criminal Cases</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156</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82,11</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34</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17,89</w:t>
            </w:r>
          </w:p>
        </w:tc>
      </w:tr>
      <w:tr w:rsidR="008629A0" w:rsidRPr="004E7F7B" w:rsidTr="008629A0">
        <w:trPr>
          <w:trHeight w:val="315"/>
        </w:trPr>
        <w:tc>
          <w:tcPr>
            <w:tcW w:w="132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Administrative Cases</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4.253</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75,53</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1.378</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24,47</w:t>
            </w:r>
          </w:p>
        </w:tc>
      </w:tr>
      <w:tr w:rsidR="008629A0" w:rsidRPr="004E7F7B" w:rsidTr="008629A0">
        <w:trPr>
          <w:trHeight w:val="315"/>
        </w:trPr>
        <w:tc>
          <w:tcPr>
            <w:tcW w:w="132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Legal Cases</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17</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62,96</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10</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37,04</w:t>
            </w:r>
          </w:p>
        </w:tc>
      </w:tr>
      <w:tr w:rsidR="008629A0" w:rsidRPr="004E7F7B" w:rsidTr="008629A0">
        <w:trPr>
          <w:trHeight w:val="315"/>
        </w:trPr>
        <w:tc>
          <w:tcPr>
            <w:tcW w:w="1329"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940"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4.426</w:t>
            </w:r>
          </w:p>
        </w:tc>
        <w:tc>
          <w:tcPr>
            <w:tcW w:w="940"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75,68</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1.422</w:t>
            </w:r>
          </w:p>
        </w:tc>
        <w:tc>
          <w:tcPr>
            <w:tcW w:w="896"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24,32</w:t>
            </w:r>
          </w:p>
        </w:tc>
      </w:tr>
    </w:tbl>
    <w:p w:rsidR="00FE7FEB" w:rsidRPr="004E7F7B" w:rsidRDefault="00FE0469" w:rsidP="004E7F7B">
      <w:pPr>
        <w:pStyle w:val="Balk5"/>
        <w:jc w:val="both"/>
        <w:rPr>
          <w:rFonts w:ascii="Times New Roman" w:hAnsi="Times New Roman" w:cs="Times New Roman"/>
        </w:rPr>
      </w:pPr>
      <w:bookmarkStart w:id="308" w:name="_Toc48818067"/>
      <w:r w:rsidRPr="004E7F7B">
        <w:rPr>
          <w:rFonts w:ascii="Times New Roman" w:hAnsi="Times New Roman" w:cs="Times New Roman"/>
        </w:rPr>
        <w:t>Table 8.6: The R</w:t>
      </w:r>
      <w:r w:rsidR="00FE7FEB" w:rsidRPr="004E7F7B">
        <w:rPr>
          <w:rFonts w:ascii="Times New Roman" w:hAnsi="Times New Roman" w:cs="Times New Roman"/>
        </w:rPr>
        <w:t>esolutions</w:t>
      </w:r>
      <w:bookmarkEnd w:id="308"/>
    </w:p>
    <w:tbl>
      <w:tblPr>
        <w:tblW w:w="4931" w:type="pct"/>
        <w:tblInd w:w="212" w:type="dxa"/>
        <w:tblCellMar>
          <w:left w:w="70" w:type="dxa"/>
          <w:right w:w="70" w:type="dxa"/>
        </w:tblCellMar>
        <w:tblLook w:val="04A0" w:firstRow="1" w:lastRow="0" w:firstColumn="1" w:lastColumn="0" w:noHBand="0" w:noVBand="1"/>
      </w:tblPr>
      <w:tblGrid>
        <w:gridCol w:w="2690"/>
        <w:gridCol w:w="1745"/>
        <w:gridCol w:w="1747"/>
        <w:gridCol w:w="1617"/>
        <w:gridCol w:w="1615"/>
      </w:tblGrid>
      <w:tr w:rsidR="00FE7FEB" w:rsidRPr="004E7F7B" w:rsidTr="008629A0">
        <w:trPr>
          <w:trHeight w:val="315"/>
        </w:trPr>
        <w:tc>
          <w:tcPr>
            <w:tcW w:w="1428" w:type="pct"/>
            <w:vMerge w:val="restart"/>
            <w:tcBorders>
              <w:top w:val="single" w:sz="8" w:space="0" w:color="BFBFBF"/>
              <w:left w:val="single" w:sz="8" w:space="0" w:color="BFBFBF"/>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val="tr-TR" w:eastAsia="tr-TR"/>
              </w:rPr>
            </w:pPr>
            <w:r w:rsidRPr="004E7F7B">
              <w:rPr>
                <w:rFonts w:ascii="Times New Roman" w:eastAsia="Times New Roman" w:hAnsi="Times New Roman" w:cs="Times New Roman"/>
                <w:b/>
                <w:bCs/>
                <w:color w:val="FFFFFF"/>
                <w:lang w:eastAsia="tr-TR"/>
              </w:rPr>
              <w:t>Case Type</w:t>
            </w:r>
          </w:p>
        </w:tc>
        <w:tc>
          <w:tcPr>
            <w:tcW w:w="1855"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In favour</w:t>
            </w:r>
          </w:p>
        </w:tc>
        <w:tc>
          <w:tcPr>
            <w:tcW w:w="1718" w:type="pct"/>
            <w:gridSpan w:val="2"/>
            <w:tcBorders>
              <w:top w:val="single" w:sz="8" w:space="0" w:color="BFBFBF"/>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Against</w:t>
            </w:r>
          </w:p>
        </w:tc>
      </w:tr>
      <w:tr w:rsidR="00FE7FEB" w:rsidRPr="004E7F7B" w:rsidTr="00D816E6">
        <w:trPr>
          <w:trHeight w:val="283"/>
        </w:trPr>
        <w:tc>
          <w:tcPr>
            <w:tcW w:w="0" w:type="auto"/>
            <w:vMerge/>
            <w:tcBorders>
              <w:top w:val="single" w:sz="8" w:space="0" w:color="BFBFBF"/>
              <w:left w:val="single" w:sz="8" w:space="0" w:color="BFBFBF"/>
              <w:bottom w:val="single" w:sz="8" w:space="0" w:color="BFBFBF"/>
              <w:right w:val="single" w:sz="8" w:space="0" w:color="BFBFBF"/>
            </w:tcBorders>
            <w:vAlign w:val="center"/>
            <w:hideMark/>
          </w:tcPr>
          <w:p w:rsidR="00FE7FEB" w:rsidRPr="004E7F7B" w:rsidRDefault="00FE7FEB" w:rsidP="004E7F7B">
            <w:pPr>
              <w:spacing w:after="0"/>
              <w:rPr>
                <w:rFonts w:ascii="Times New Roman" w:eastAsia="Times New Roman" w:hAnsi="Times New Roman" w:cs="Times New Roman"/>
                <w:b/>
                <w:bCs/>
                <w:color w:val="FFFFFF"/>
                <w:lang w:eastAsia="tr-TR"/>
              </w:rPr>
            </w:pPr>
          </w:p>
        </w:tc>
        <w:tc>
          <w:tcPr>
            <w:tcW w:w="927"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Cases</w:t>
            </w:r>
          </w:p>
        </w:tc>
        <w:tc>
          <w:tcPr>
            <w:tcW w:w="927"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c>
          <w:tcPr>
            <w:tcW w:w="859"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Cases</w:t>
            </w:r>
          </w:p>
        </w:tc>
        <w:tc>
          <w:tcPr>
            <w:tcW w:w="859" w:type="pct"/>
            <w:tcBorders>
              <w:top w:val="nil"/>
              <w:left w:val="nil"/>
              <w:bottom w:val="single" w:sz="8" w:space="0" w:color="BFBFBF"/>
              <w:right w:val="single" w:sz="8" w:space="0" w:color="BFBF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 (%)</w:t>
            </w:r>
          </w:p>
        </w:tc>
      </w:tr>
      <w:tr w:rsidR="008629A0" w:rsidRPr="004E7F7B" w:rsidTr="008629A0">
        <w:trPr>
          <w:trHeight w:val="315"/>
        </w:trPr>
        <w:tc>
          <w:tcPr>
            <w:tcW w:w="1428"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Criminal Cases</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8.175</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85,94</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1.337</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14.06</w:t>
            </w:r>
          </w:p>
        </w:tc>
      </w:tr>
      <w:tr w:rsidR="008629A0" w:rsidRPr="004E7F7B" w:rsidTr="008629A0">
        <w:trPr>
          <w:trHeight w:val="315"/>
        </w:trPr>
        <w:tc>
          <w:tcPr>
            <w:tcW w:w="1428"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Administrative Cases</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10.999</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73,06</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4.055</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26,94</w:t>
            </w:r>
          </w:p>
        </w:tc>
      </w:tr>
      <w:tr w:rsidR="008629A0" w:rsidRPr="004E7F7B" w:rsidTr="008629A0">
        <w:trPr>
          <w:trHeight w:val="315"/>
        </w:trPr>
        <w:tc>
          <w:tcPr>
            <w:tcW w:w="1428"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Legal Cases</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152</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84,44</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28</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 15,56</w:t>
            </w:r>
          </w:p>
        </w:tc>
      </w:tr>
      <w:tr w:rsidR="008629A0" w:rsidRPr="004E7F7B" w:rsidTr="008629A0">
        <w:trPr>
          <w:trHeight w:val="315"/>
        </w:trPr>
        <w:tc>
          <w:tcPr>
            <w:tcW w:w="1428" w:type="pct"/>
            <w:tcBorders>
              <w:top w:val="nil"/>
              <w:left w:val="single" w:sz="8" w:space="0" w:color="BFBFBF"/>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927" w:type="pct"/>
            <w:tcBorders>
              <w:top w:val="nil"/>
              <w:left w:val="nil"/>
              <w:bottom w:val="single" w:sz="8" w:space="0" w:color="BFBFBF"/>
              <w:right w:val="single" w:sz="8" w:space="0" w:color="BFBFBF"/>
            </w:tcBorders>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19.326</w:t>
            </w:r>
          </w:p>
        </w:tc>
        <w:tc>
          <w:tcPr>
            <w:tcW w:w="927"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78,10</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5.420</w:t>
            </w:r>
          </w:p>
        </w:tc>
        <w:tc>
          <w:tcPr>
            <w:tcW w:w="859" w:type="pct"/>
            <w:tcBorders>
              <w:top w:val="nil"/>
              <w:left w:val="nil"/>
              <w:bottom w:val="single" w:sz="8" w:space="0" w:color="BFBFBF"/>
              <w:right w:val="single" w:sz="8" w:space="0" w:color="BFBFBF"/>
            </w:tcBorders>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 xml:space="preserve"> 21,90</w:t>
            </w:r>
          </w:p>
        </w:tc>
      </w:tr>
    </w:tbl>
    <w:p w:rsidR="00FE7FEB" w:rsidRPr="004E7F7B" w:rsidRDefault="00FE7FEB" w:rsidP="004E7F7B">
      <w:pPr>
        <w:rPr>
          <w:rFonts w:ascii="Times New Roman" w:hAnsi="Times New Roman" w:cs="Times New Roman"/>
          <w:b/>
          <w:bCs/>
        </w:rPr>
      </w:pPr>
    </w:p>
    <w:p w:rsidR="00FE7FEB" w:rsidRPr="004E7F7B" w:rsidRDefault="00FE7FEB" w:rsidP="004E7F7B">
      <w:pPr>
        <w:pStyle w:val="Balk5"/>
        <w:jc w:val="both"/>
        <w:rPr>
          <w:rFonts w:ascii="Times New Roman" w:hAnsi="Times New Roman" w:cs="Times New Roman"/>
        </w:rPr>
      </w:pPr>
      <w:bookmarkStart w:id="309" w:name="_Toc48818068"/>
      <w:r w:rsidRPr="004E7F7B">
        <w:rPr>
          <w:rFonts w:ascii="Times New Roman" w:hAnsi="Times New Roman" w:cs="Times New Roman"/>
        </w:rPr>
        <w:t>Figure 8.2: Distribution of the Cases in which EMRA is a Party by the End of the Year in Terms of Results</w:t>
      </w:r>
      <w:bookmarkEnd w:id="309"/>
    </w:p>
    <w:p w:rsidR="00FE7FEB" w:rsidRPr="004E7F7B" w:rsidRDefault="00FE7FEB" w:rsidP="004E7F7B">
      <w:pPr>
        <w:ind w:left="720" w:firstLine="708"/>
        <w:rPr>
          <w:rFonts w:ascii="Times New Roman" w:hAnsi="Times New Roman" w:cs="Times New Roman"/>
        </w:rPr>
      </w:pPr>
      <w:r w:rsidRPr="004E7F7B">
        <w:rPr>
          <w:rFonts w:ascii="Times New Roman" w:hAnsi="Times New Roman" w:cs="Times New Roman"/>
        </w:rPr>
        <w:t xml:space="preserve">            </w:t>
      </w:r>
      <w:r w:rsidR="000E6BBA" w:rsidRPr="004E7F7B">
        <w:rPr>
          <w:rFonts w:ascii="Times New Roman" w:hAnsi="Times New Roman" w:cs="Times New Roman"/>
          <w:lang w:val="tr-TR" w:eastAsia="tr-TR"/>
        </w:rPr>
        <w:drawing>
          <wp:inline distT="0" distB="0" distL="0" distR="0" wp14:anchorId="7A3C5142" wp14:editId="770637DA">
            <wp:extent cx="5760720" cy="2603335"/>
            <wp:effectExtent l="0" t="0" r="11430" b="698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E7FEB" w:rsidRPr="004E7F7B" w:rsidRDefault="00FE7FEB" w:rsidP="004E7F7B">
      <w:pPr>
        <w:pStyle w:val="Balk2"/>
        <w:rPr>
          <w:rFonts w:ascii="Times New Roman" w:hAnsi="Times New Roman" w:cs="Times New Roman"/>
          <w:sz w:val="22"/>
          <w:szCs w:val="22"/>
        </w:rPr>
      </w:pPr>
      <w:bookmarkStart w:id="310" w:name="_Toc48817896"/>
      <w:r w:rsidRPr="004E7F7B">
        <w:rPr>
          <w:rFonts w:ascii="Times New Roman" w:hAnsi="Times New Roman" w:cs="Times New Roman"/>
          <w:sz w:val="22"/>
          <w:szCs w:val="22"/>
        </w:rPr>
        <w:t>8.2. Providing Opinion</w:t>
      </w:r>
      <w:bookmarkEnd w:id="310"/>
    </w:p>
    <w:p w:rsidR="00FE7FEB" w:rsidRPr="004E7F7B" w:rsidRDefault="00FE7FEB" w:rsidP="00793DA9">
      <w:r w:rsidRPr="004E7F7B">
        <w:t>Opinions are provided to the service units of the Authority before the regulatory procedures such as legislation preparations and procedures which may cause disputes or may bind the Authority.  Apart from our service units, opinions are also given to the Prime Ministry, Ministries and other public institutions and organizations.</w:t>
      </w:r>
    </w:p>
    <w:p w:rsidR="00FE7FEB" w:rsidRPr="004E7F7B" w:rsidRDefault="00FE7FEB" w:rsidP="00793DA9">
      <w:r w:rsidRPr="004E7F7B">
        <w:t>In this context;</w:t>
      </w:r>
    </w:p>
    <w:p w:rsidR="00FE7FEB" w:rsidRPr="004E7F7B" w:rsidRDefault="008629A0" w:rsidP="007B4A7D">
      <w:pPr>
        <w:pStyle w:val="ListeParagraf"/>
        <w:numPr>
          <w:ilvl w:val="0"/>
          <w:numId w:val="4"/>
        </w:numPr>
        <w:spacing w:after="200" w:line="276" w:lineRule="auto"/>
        <w:rPr>
          <w:rFonts w:ascii="Times New Roman" w:hAnsi="Times New Roman" w:cs="Times New Roman"/>
        </w:rPr>
      </w:pPr>
      <w:r w:rsidRPr="004E7F7B">
        <w:rPr>
          <w:rFonts w:ascii="Times New Roman" w:hAnsi="Times New Roman" w:cs="Times New Roman"/>
        </w:rPr>
        <w:t>140</w:t>
      </w:r>
      <w:r w:rsidR="00FE7FEB" w:rsidRPr="004E7F7B">
        <w:rPr>
          <w:rFonts w:ascii="Times New Roman" w:hAnsi="Times New Roman" w:cs="Times New Roman"/>
        </w:rPr>
        <w:t xml:space="preserve"> legal opinions were given</w:t>
      </w:r>
      <w:r w:rsidRPr="004E7F7B">
        <w:rPr>
          <w:rFonts w:ascii="Times New Roman" w:hAnsi="Times New Roman" w:cs="Times New Roman"/>
        </w:rPr>
        <w:t xml:space="preserve"> in 2019</w:t>
      </w:r>
      <w:r w:rsidR="00FE7FEB" w:rsidRPr="004E7F7B">
        <w:rPr>
          <w:rFonts w:ascii="Times New Roman" w:hAnsi="Times New Roman" w:cs="Times New Roman"/>
        </w:rPr>
        <w:t>.</w:t>
      </w:r>
    </w:p>
    <w:p w:rsidR="008629A0" w:rsidRPr="004E7F7B" w:rsidRDefault="008629A0" w:rsidP="007B4A7D">
      <w:pPr>
        <w:pStyle w:val="ListeParagraf"/>
        <w:numPr>
          <w:ilvl w:val="0"/>
          <w:numId w:val="4"/>
        </w:numPr>
        <w:spacing w:after="200" w:line="276" w:lineRule="auto"/>
        <w:rPr>
          <w:rFonts w:ascii="Times New Roman" w:hAnsi="Times New Roman" w:cs="Times New Roman"/>
        </w:rPr>
      </w:pPr>
      <w:r w:rsidRPr="004E7F7B">
        <w:rPr>
          <w:rFonts w:ascii="Times New Roman" w:hAnsi="Times New Roman" w:cs="Times New Roman"/>
        </w:rPr>
        <w:t>As of 31.12.2019</w:t>
      </w:r>
      <w:r w:rsidR="00FE7FEB" w:rsidRPr="004E7F7B">
        <w:rPr>
          <w:rFonts w:ascii="Times New Roman" w:hAnsi="Times New Roman" w:cs="Times New Roman"/>
        </w:rPr>
        <w:t>, a tot</w:t>
      </w:r>
      <w:r w:rsidRPr="004E7F7B">
        <w:rPr>
          <w:rFonts w:ascii="Times New Roman" w:hAnsi="Times New Roman" w:cs="Times New Roman"/>
        </w:rPr>
        <w:t>al of 2.742</w:t>
      </w:r>
      <w:r w:rsidR="00FE7FEB" w:rsidRPr="004E7F7B">
        <w:rPr>
          <w:rFonts w:ascii="Times New Roman" w:hAnsi="Times New Roman" w:cs="Times New Roman"/>
        </w:rPr>
        <w:t xml:space="preserve"> legal opinions have been given.</w:t>
      </w:r>
    </w:p>
    <w:p w:rsidR="00FE7FEB" w:rsidRPr="004E7F7B" w:rsidRDefault="00FE0469" w:rsidP="004E7F7B">
      <w:pPr>
        <w:pStyle w:val="Balk5"/>
        <w:jc w:val="both"/>
        <w:rPr>
          <w:rStyle w:val="Gl"/>
          <w:rFonts w:ascii="Times New Roman" w:hAnsi="Times New Roman" w:cs="Times New Roman"/>
          <w:b/>
          <w:bCs w:val="0"/>
        </w:rPr>
      </w:pPr>
      <w:bookmarkStart w:id="311" w:name="_Toc512874183"/>
      <w:bookmarkStart w:id="312" w:name="_Toc48818069"/>
      <w:r w:rsidRPr="004E7F7B">
        <w:rPr>
          <w:rStyle w:val="Gl"/>
          <w:rFonts w:ascii="Times New Roman" w:hAnsi="Times New Roman" w:cs="Times New Roman"/>
          <w:b/>
          <w:bCs w:val="0"/>
        </w:rPr>
        <w:t>Table 8.7: Dispersion of Opinions G</w:t>
      </w:r>
      <w:r w:rsidR="00FE7FEB" w:rsidRPr="004E7F7B">
        <w:rPr>
          <w:rStyle w:val="Gl"/>
          <w:rFonts w:ascii="Times New Roman" w:hAnsi="Times New Roman" w:cs="Times New Roman"/>
          <w:b/>
          <w:bCs w:val="0"/>
        </w:rPr>
        <w:t>iven in 201</w:t>
      </w:r>
      <w:bookmarkEnd w:id="311"/>
      <w:r w:rsidR="008629A0" w:rsidRPr="004E7F7B">
        <w:rPr>
          <w:rStyle w:val="Gl"/>
          <w:rFonts w:ascii="Times New Roman" w:hAnsi="Times New Roman" w:cs="Times New Roman"/>
          <w:b/>
          <w:bCs w:val="0"/>
        </w:rPr>
        <w:t>9</w:t>
      </w:r>
      <w:bookmarkEnd w:id="312"/>
    </w:p>
    <w:tbl>
      <w:tblPr>
        <w:tblW w:w="910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660"/>
        <w:gridCol w:w="1220"/>
        <w:gridCol w:w="1220"/>
      </w:tblGrid>
      <w:tr w:rsidR="00FE7FEB" w:rsidRPr="004E7F7B" w:rsidTr="00D816E6">
        <w:trPr>
          <w:trHeight w:val="525"/>
          <w:jc w:val="center"/>
        </w:trPr>
        <w:tc>
          <w:tcPr>
            <w:tcW w:w="6660" w:type="dxa"/>
            <w:shd w:val="clear" w:color="auto" w:fill="6E9ECA"/>
            <w:vAlign w:val="center"/>
            <w:hideMark/>
          </w:tcPr>
          <w:p w:rsidR="00FE7FEB" w:rsidRPr="004E7F7B" w:rsidRDefault="00FE7FEB" w:rsidP="00BA7E2D">
            <w:pPr>
              <w:spacing w:after="0" w:line="240" w:lineRule="auto"/>
              <w:ind w:firstLineChars="100" w:firstLine="221"/>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Opinions were given to</w:t>
            </w:r>
          </w:p>
        </w:tc>
        <w:tc>
          <w:tcPr>
            <w:tcW w:w="1220" w:type="dxa"/>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No of opinions</w:t>
            </w:r>
          </w:p>
        </w:tc>
        <w:tc>
          <w:tcPr>
            <w:tcW w:w="1220" w:type="dxa"/>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Share (%)</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Electricity Market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818</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29,83</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Natural Gas Market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436</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15,90</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Petroleum Market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559</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20,39</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Liquefied Petroleum Gases Market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205</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7,48</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Expropriation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0,88</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AuditDepartment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210</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7,66</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Tariffs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92</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3,36</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Human Resources and Support Services Department </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107</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3,90</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Strategy Development Department</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119</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4,34</w:t>
            </w:r>
          </w:p>
        </w:tc>
      </w:tr>
      <w:tr w:rsidR="008629A0" w:rsidRPr="004E7F7B" w:rsidTr="00F31FDA">
        <w:trPr>
          <w:trHeight w:val="315"/>
          <w:jc w:val="center"/>
        </w:trPr>
        <w:tc>
          <w:tcPr>
            <w:tcW w:w="6660" w:type="dxa"/>
            <w:shd w:val="clear" w:color="auto" w:fill="auto"/>
            <w:vAlign w:val="center"/>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Information Technology Department</w:t>
            </w:r>
          </w:p>
        </w:tc>
        <w:tc>
          <w:tcPr>
            <w:tcW w:w="1220" w:type="dxa"/>
            <w:shd w:val="clear" w:color="auto" w:fill="auto"/>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1220" w:type="dxa"/>
            <w:shd w:val="clear" w:color="auto" w:fill="auto"/>
            <w:noWrap/>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0,07</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Special Bureau for the Board </w:t>
            </w:r>
          </w:p>
        </w:tc>
        <w:tc>
          <w:tcPr>
            <w:tcW w:w="1220" w:type="dxa"/>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0,14</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4E7F7B">
            <w:pPr>
              <w:spacing w:after="0" w:line="240" w:lineRule="auto"/>
              <w:ind w:firstLineChars="100" w:firstLine="220"/>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Presidency, Ministries and Other State Institutions</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166</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6,05</w:t>
            </w:r>
          </w:p>
        </w:tc>
      </w:tr>
      <w:tr w:rsidR="008629A0" w:rsidRPr="004E7F7B" w:rsidTr="00F31FDA">
        <w:trPr>
          <w:trHeight w:val="315"/>
          <w:jc w:val="center"/>
        </w:trPr>
        <w:tc>
          <w:tcPr>
            <w:tcW w:w="6660" w:type="dxa"/>
            <w:shd w:val="clear" w:color="auto" w:fill="auto"/>
            <w:vAlign w:val="center"/>
            <w:hideMark/>
          </w:tcPr>
          <w:p w:rsidR="008629A0" w:rsidRPr="004E7F7B" w:rsidRDefault="008629A0" w:rsidP="00BA7E2D">
            <w:pPr>
              <w:spacing w:after="0" w:line="240" w:lineRule="auto"/>
              <w:ind w:firstLineChars="100" w:firstLine="221"/>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TOTAL</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2.742</w:t>
            </w:r>
          </w:p>
        </w:tc>
        <w:tc>
          <w:tcPr>
            <w:tcW w:w="1220" w:type="dxa"/>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r>
    </w:tbl>
    <w:p w:rsidR="00FE7FEB" w:rsidRPr="004E7F7B" w:rsidRDefault="00FE7FEB" w:rsidP="004E7F7B">
      <w:pPr>
        <w:rPr>
          <w:rFonts w:ascii="Times New Roman" w:hAnsi="Times New Roman" w:cs="Times New Roman"/>
        </w:rPr>
      </w:pPr>
    </w:p>
    <w:p w:rsidR="00FE7FEB" w:rsidRPr="004E7F7B" w:rsidRDefault="00FE0469" w:rsidP="004E7F7B">
      <w:pPr>
        <w:pStyle w:val="Balk5"/>
        <w:jc w:val="both"/>
        <w:rPr>
          <w:rFonts w:ascii="Times New Roman" w:hAnsi="Times New Roman" w:cs="Times New Roman"/>
        </w:rPr>
      </w:pPr>
      <w:bookmarkStart w:id="313" w:name="_Toc48818070"/>
      <w:r w:rsidRPr="004E7F7B">
        <w:rPr>
          <w:rStyle w:val="Gl"/>
          <w:rFonts w:ascii="Times New Roman" w:hAnsi="Times New Roman" w:cs="Times New Roman"/>
          <w:b/>
          <w:bCs w:val="0"/>
        </w:rPr>
        <w:t>Table 8.8: Dispersion of Opinions Given by Y</w:t>
      </w:r>
      <w:r w:rsidR="00FE7FEB" w:rsidRPr="004E7F7B">
        <w:rPr>
          <w:rStyle w:val="Gl"/>
          <w:rFonts w:ascii="Times New Roman" w:hAnsi="Times New Roman" w:cs="Times New Roman"/>
          <w:b/>
          <w:bCs w:val="0"/>
        </w:rPr>
        <w:t>ears</w:t>
      </w:r>
      <w:bookmarkEnd w:id="313"/>
    </w:p>
    <w:tbl>
      <w:tblPr>
        <w:tblW w:w="9289" w:type="dxa"/>
        <w:tblInd w:w="-10" w:type="dxa"/>
        <w:tblCellMar>
          <w:left w:w="70" w:type="dxa"/>
          <w:right w:w="70" w:type="dxa"/>
        </w:tblCellMar>
        <w:tblLook w:val="04A0" w:firstRow="1" w:lastRow="0" w:firstColumn="1" w:lastColumn="0" w:noHBand="0" w:noVBand="1"/>
      </w:tblPr>
      <w:tblGrid>
        <w:gridCol w:w="3127"/>
        <w:gridCol w:w="997"/>
        <w:gridCol w:w="1057"/>
        <w:gridCol w:w="997"/>
        <w:gridCol w:w="1057"/>
        <w:gridCol w:w="997"/>
        <w:gridCol w:w="1057"/>
      </w:tblGrid>
      <w:tr w:rsidR="00FE7FEB" w:rsidRPr="004E7F7B" w:rsidTr="008629A0">
        <w:trPr>
          <w:trHeight w:val="283"/>
        </w:trPr>
        <w:tc>
          <w:tcPr>
            <w:tcW w:w="3541" w:type="dxa"/>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 xml:space="preserve">Opinions were given to </w:t>
            </w:r>
          </w:p>
        </w:tc>
        <w:tc>
          <w:tcPr>
            <w:tcW w:w="1916"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4E7F7B" w:rsidRDefault="008629A0"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2017</w:t>
            </w:r>
          </w:p>
        </w:tc>
        <w:tc>
          <w:tcPr>
            <w:tcW w:w="1916"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4E7F7B" w:rsidRDefault="008629A0"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2018</w:t>
            </w:r>
          </w:p>
        </w:tc>
        <w:tc>
          <w:tcPr>
            <w:tcW w:w="1916" w:type="dxa"/>
            <w:gridSpan w:val="2"/>
            <w:tcBorders>
              <w:top w:val="single" w:sz="8" w:space="0" w:color="BFBFBF"/>
              <w:left w:val="nil"/>
              <w:bottom w:val="single" w:sz="8" w:space="0" w:color="BFBFBF"/>
              <w:right w:val="single" w:sz="8" w:space="0" w:color="BFBFBF"/>
            </w:tcBorders>
            <w:shd w:val="clear" w:color="000000" w:fill="6E9ECA"/>
            <w:vAlign w:val="center"/>
            <w:hideMark/>
          </w:tcPr>
          <w:p w:rsidR="00FE7FEB" w:rsidRPr="004E7F7B" w:rsidRDefault="008629A0"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2019</w:t>
            </w:r>
          </w:p>
        </w:tc>
      </w:tr>
      <w:tr w:rsidR="00FE7FEB" w:rsidRPr="004E7F7B" w:rsidTr="008629A0">
        <w:trPr>
          <w:trHeight w:val="560"/>
        </w:trPr>
        <w:tc>
          <w:tcPr>
            <w:tcW w:w="3541" w:type="dxa"/>
            <w:vMerge/>
            <w:tcBorders>
              <w:top w:val="single" w:sz="8" w:space="0" w:color="BFBFBF"/>
              <w:left w:val="single" w:sz="8" w:space="0" w:color="BFBFBF"/>
              <w:bottom w:val="single" w:sz="8" w:space="0" w:color="BFBFBF"/>
              <w:right w:val="single" w:sz="8" w:space="0" w:color="BFBFBF"/>
            </w:tcBorders>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Opinions</w:t>
            </w: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Opinions</w:t>
            </w: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No of Opinions</w:t>
            </w:r>
          </w:p>
        </w:tc>
        <w:tc>
          <w:tcPr>
            <w:tcW w:w="958" w:type="dxa"/>
            <w:tcBorders>
              <w:top w:val="nil"/>
              <w:left w:val="nil"/>
              <w:bottom w:val="single" w:sz="8" w:space="0" w:color="BFBFBF"/>
              <w:right w:val="single" w:sz="8" w:space="0" w:color="BFBFBF"/>
            </w:tcBorders>
            <w:shd w:val="clear" w:color="000000"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Share(%)</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Electricity Market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16,48</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16,06</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24</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17,14</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Natural Gas Market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6,25</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11</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8,03</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13</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9,29</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Petroleum Market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45</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25,57</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31</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22,63</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30,71</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Liquefied Petroleum Gases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16</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9,09</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4,38</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3,57</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Expropriation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1,70</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0,73</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0,71</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Audit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12,50</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10,95</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12</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8,57</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Tariffs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5,11</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5,11</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1,43</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Human Resources and Support Services Department </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2,27</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3,65</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1,43</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Strategy Development Department</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9</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5,11</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10</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7,3</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7</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5,00</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Information Technology Department*</w:t>
            </w:r>
          </w:p>
        </w:tc>
        <w:tc>
          <w:tcPr>
            <w:tcW w:w="958" w:type="dxa"/>
            <w:tcBorders>
              <w:top w:val="nil"/>
              <w:left w:val="nil"/>
              <w:bottom w:val="single" w:sz="8" w:space="0" w:color="BFBFBF"/>
              <w:right w:val="single" w:sz="8" w:space="0" w:color="BFBFBF"/>
            </w:tcBorders>
            <w:shd w:val="clear" w:color="auto" w:fill="auto"/>
            <w:noWrap/>
            <w:vAlign w:val="center"/>
          </w:tcPr>
          <w:p w:rsidR="008629A0" w:rsidRPr="004E7F7B" w:rsidRDefault="008629A0" w:rsidP="007B4A7D">
            <w:pPr>
              <w:pStyle w:val="ListeParagraf"/>
              <w:numPr>
                <w:ilvl w:val="0"/>
                <w:numId w:val="12"/>
              </w:numPr>
              <w:spacing w:after="0" w:line="240" w:lineRule="auto"/>
              <w:rPr>
                <w:rFonts w:ascii="Times New Roman" w:eastAsia="Times New Roman" w:hAnsi="Times New Roman" w:cs="Times New Roman"/>
                <w:color w:val="000000"/>
                <w:lang w:eastAsia="tr-TR"/>
              </w:rPr>
            </w:pPr>
          </w:p>
        </w:tc>
        <w:tc>
          <w:tcPr>
            <w:tcW w:w="958" w:type="dxa"/>
            <w:tcBorders>
              <w:top w:val="nil"/>
              <w:left w:val="nil"/>
              <w:bottom w:val="single" w:sz="8" w:space="0" w:color="BFBFBF"/>
              <w:right w:val="single" w:sz="8" w:space="0" w:color="BFBFBF"/>
            </w:tcBorders>
            <w:shd w:val="clear" w:color="auto" w:fill="auto"/>
            <w:noWrap/>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958" w:type="dxa"/>
            <w:tcBorders>
              <w:top w:val="nil"/>
              <w:left w:val="nil"/>
              <w:bottom w:val="single" w:sz="8" w:space="0" w:color="BFBFBF"/>
              <w:right w:val="single" w:sz="8" w:space="0" w:color="BFBFBF"/>
            </w:tcBorders>
            <w:shd w:val="clear" w:color="auto" w:fill="auto"/>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w:t>
            </w:r>
          </w:p>
        </w:tc>
        <w:tc>
          <w:tcPr>
            <w:tcW w:w="958" w:type="dxa"/>
            <w:tcBorders>
              <w:top w:val="nil"/>
              <w:left w:val="nil"/>
              <w:bottom w:val="single" w:sz="8" w:space="0" w:color="BFBFBF"/>
              <w:right w:val="single" w:sz="8" w:space="0" w:color="BFBFBF"/>
            </w:tcBorders>
            <w:shd w:val="clear" w:color="auto" w:fill="auto"/>
            <w:noWrap/>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p>
        </w:tc>
        <w:tc>
          <w:tcPr>
            <w:tcW w:w="958" w:type="dxa"/>
            <w:tcBorders>
              <w:top w:val="nil"/>
              <w:left w:val="nil"/>
              <w:bottom w:val="single" w:sz="8" w:space="0" w:color="BFBFBF"/>
              <w:right w:val="single" w:sz="8" w:space="0" w:color="BFBFBF"/>
            </w:tcBorders>
            <w:shd w:val="clear" w:color="auto" w:fill="auto"/>
            <w:noWrap/>
            <w:vAlign w:val="center"/>
          </w:tcPr>
          <w:p w:rsidR="008629A0" w:rsidRPr="004E7F7B" w:rsidDel="00D25A22"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c>
          <w:tcPr>
            <w:tcW w:w="958" w:type="dxa"/>
            <w:tcBorders>
              <w:top w:val="nil"/>
              <w:left w:val="nil"/>
              <w:bottom w:val="single" w:sz="8" w:space="0" w:color="BFBFBF"/>
              <w:right w:val="single" w:sz="8" w:space="0" w:color="BFBFBF"/>
            </w:tcBorders>
            <w:shd w:val="clear" w:color="auto" w:fill="auto"/>
            <w:vAlign w:val="center"/>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1,43</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 xml:space="preserve">Presidency, Ministries and Other State Institutions </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28</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15,92</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21,16</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29</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20,72</w:t>
            </w:r>
          </w:p>
        </w:tc>
      </w:tr>
      <w:tr w:rsidR="008629A0" w:rsidRPr="004E7F7B" w:rsidTr="008629A0">
        <w:trPr>
          <w:trHeight w:val="283"/>
        </w:trPr>
        <w:tc>
          <w:tcPr>
            <w:tcW w:w="3541" w:type="dxa"/>
            <w:tcBorders>
              <w:top w:val="nil"/>
              <w:left w:val="single" w:sz="8" w:space="0" w:color="BFBFBF"/>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TOTAL</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176</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137</w:t>
            </w:r>
          </w:p>
        </w:tc>
        <w:tc>
          <w:tcPr>
            <w:tcW w:w="958" w:type="dxa"/>
            <w:tcBorders>
              <w:top w:val="nil"/>
              <w:left w:val="nil"/>
              <w:bottom w:val="single" w:sz="8" w:space="0" w:color="BFBFBF"/>
              <w:right w:val="single" w:sz="8" w:space="0" w:color="BFBFBF"/>
            </w:tcBorders>
            <w:shd w:val="clear" w:color="auto" w:fill="auto"/>
            <w:noWrap/>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140</w:t>
            </w:r>
          </w:p>
        </w:tc>
        <w:tc>
          <w:tcPr>
            <w:tcW w:w="958" w:type="dxa"/>
            <w:tcBorders>
              <w:top w:val="nil"/>
              <w:left w:val="nil"/>
              <w:bottom w:val="single" w:sz="8" w:space="0" w:color="BFBFBF"/>
              <w:right w:val="single" w:sz="8" w:space="0" w:color="BFBFBF"/>
            </w:tcBorders>
            <w:shd w:val="clear" w:color="auto" w:fill="auto"/>
            <w:vAlign w:val="center"/>
            <w:hideMark/>
          </w:tcPr>
          <w:p w:rsidR="008629A0" w:rsidRPr="004E7F7B" w:rsidRDefault="008629A0"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100</w:t>
            </w:r>
          </w:p>
        </w:tc>
      </w:tr>
    </w:tbl>
    <w:p w:rsidR="00FE7FEB" w:rsidRPr="004E7F7B" w:rsidRDefault="008629A0" w:rsidP="004E7F7B">
      <w:pPr>
        <w:rPr>
          <w:rFonts w:ascii="Times New Roman" w:hAnsi="Times New Roman" w:cs="Times New Roman"/>
        </w:rPr>
      </w:pPr>
      <w:r w:rsidRPr="004E7F7B">
        <w:rPr>
          <w:rFonts w:ascii="Times New Roman" w:hAnsi="Times New Roman" w:cs="Times New Roman"/>
        </w:rPr>
        <w:t>*</w:t>
      </w:r>
      <w:r w:rsidR="00992DF8" w:rsidRPr="004E7F7B">
        <w:rPr>
          <w:rFonts w:ascii="Times New Roman" w:hAnsi="Times New Roman" w:cs="Times New Roman"/>
        </w:rPr>
        <w:t xml:space="preserve"> Information Technology Department was established in 2019. It has started to be shown in the opinion data of the Department since 2019.</w:t>
      </w:r>
    </w:p>
    <w:p w:rsidR="00FE7FEB" w:rsidRPr="004E7F7B" w:rsidRDefault="00FE7FEB" w:rsidP="004E7F7B">
      <w:pPr>
        <w:pStyle w:val="Balk5"/>
        <w:jc w:val="both"/>
        <w:rPr>
          <w:rFonts w:ascii="Times New Roman" w:hAnsi="Times New Roman" w:cs="Times New Roman"/>
        </w:rPr>
      </w:pPr>
      <w:bookmarkStart w:id="314" w:name="_Toc48818071"/>
      <w:r w:rsidRPr="004E7F7B">
        <w:rPr>
          <w:rFonts w:ascii="Times New Roman" w:hAnsi="Times New Roman" w:cs="Times New Roman"/>
        </w:rPr>
        <w:t>Figure 8.3: Distribution of Views by the Legal Department by Years</w:t>
      </w:r>
      <w:bookmarkEnd w:id="314"/>
    </w:p>
    <w:p w:rsidR="00FE7FEB" w:rsidRPr="004E7F7B" w:rsidRDefault="00B206D0" w:rsidP="004E7F7B">
      <w:pPr>
        <w:rPr>
          <w:rFonts w:ascii="Times New Roman" w:hAnsi="Times New Roman" w:cs="Times New Roman"/>
        </w:rPr>
      </w:pPr>
      <w:r w:rsidRPr="004E7F7B">
        <w:rPr>
          <w:rFonts w:ascii="Times New Roman" w:hAnsi="Times New Roman" w:cs="Times New Roman"/>
          <w:b/>
          <w:lang w:val="tr-TR" w:eastAsia="tr-TR"/>
        </w:rPr>
        <w:drawing>
          <wp:inline distT="0" distB="0" distL="0" distR="0" wp14:anchorId="13E52971" wp14:editId="5973A1E6">
            <wp:extent cx="5760720" cy="3906049"/>
            <wp:effectExtent l="0" t="0" r="11430" b="1841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E7FEB" w:rsidRPr="004E7F7B" w:rsidRDefault="00FE7FEB" w:rsidP="004E7F7B">
      <w:pPr>
        <w:pStyle w:val="AralkYok"/>
        <w:jc w:val="both"/>
        <w:rPr>
          <w:rFonts w:ascii="Times New Roman" w:hAnsi="Times New Roman" w:cs="Times New Roman"/>
        </w:rPr>
      </w:pP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315" w:name="_Toc48817897"/>
      <w:r w:rsidRPr="004E7F7B">
        <w:rPr>
          <w:rFonts w:ascii="Times New Roman" w:hAnsi="Times New Roman" w:cs="Times New Roman"/>
          <w:sz w:val="22"/>
          <w:szCs w:val="22"/>
        </w:rPr>
        <w:t>9. PROTECTING CONSUMERS’ RIGHTS</w:t>
      </w:r>
      <w:bookmarkEnd w:id="315"/>
    </w:p>
    <w:p w:rsidR="00FE7FEB" w:rsidRPr="00793DA9" w:rsidRDefault="00FE7FEB" w:rsidP="00793DA9">
      <w:r w:rsidRPr="00793DA9">
        <w:t xml:space="preserve">Works are conducted to ensure the protection of consumer rights; to determine the standarts, prinicples and procedures fort he servises to be provided by the legal persons operating in the market, informing the public about the regulations and implementations on energy market and creating awareness. </w:t>
      </w:r>
      <w:r w:rsidR="00203993" w:rsidRPr="00793DA9">
        <w:rPr>
          <w:lang w:val="en"/>
        </w:rPr>
        <w:t>In this context, new contents for Consumers have been added to the “Energy Guide” section of the Authority's official website, which is published as short videos prepared in cooperation with EMRA experts and Energy Experts Association in order to better learn the rights and responsibilities of consumers in the field of energy.</w:t>
      </w:r>
    </w:p>
    <w:p w:rsidR="00FE7FEB" w:rsidRPr="00793DA9" w:rsidRDefault="00FE7FEB" w:rsidP="00793DA9">
      <w:r w:rsidRPr="00793DA9">
        <w:t>In order to make the statistics of the complaints received to the institution more accurately, some improvements have been made in the IMS. Thus, various statistical data regarding the complaints received to the Authority are reported instantly.</w:t>
      </w:r>
    </w:p>
    <w:p w:rsidR="00FE7FEB" w:rsidRPr="00793DA9" w:rsidRDefault="00FE7FEB" w:rsidP="00793DA9">
      <w:r w:rsidRPr="00793DA9">
        <w:t>The Authority has made updates on the internet page and provided more convenient access to the Consumer Section. The Consumer Section also includes information such as Internet addresses, call center phones, etc., owned by Electricity Distribution and Assigned Supply Companies and Natural Gas Distribution Companies.</w:t>
      </w:r>
    </w:p>
    <w:p w:rsidR="00203993" w:rsidRPr="00793DA9" w:rsidRDefault="00367CE6" w:rsidP="00793DA9">
      <w:r w:rsidRPr="00793DA9">
        <w:t>Consumers may forward and follow the status</w:t>
      </w:r>
      <w:r w:rsidR="00C93430" w:rsidRPr="00793DA9">
        <w:t xml:space="preserve"> of</w:t>
      </w:r>
      <w:r w:rsidRPr="00793DA9">
        <w:t xml:space="preserve"> their applications regarding Enquiries, Complaint and Opinions through Web-based Consumer Complaint Portal Module, which is compatible with the CİMER structure, using the SMS password that will be sent their cell phones.  </w:t>
      </w:r>
      <w:r w:rsidR="00FE7FEB" w:rsidRPr="00793DA9">
        <w:t>Due to the gradually increasing number of complaints coming to the Agency and in order to to make it easier and faster to direct the complaints to the related parties, the address of the KEP has been imposed on the addressees and complaints have been submitted as an Electronic Correspondence</w:t>
      </w:r>
      <w:r w:rsidR="00822E90" w:rsidRPr="00793DA9">
        <w:t xml:space="preserve"> Package (EYP) to their owners. </w:t>
      </w:r>
    </w:p>
    <w:p w:rsidR="00822E90" w:rsidRPr="00793DA9" w:rsidRDefault="00203993" w:rsidP="00793DA9">
      <w:r w:rsidRPr="00793DA9">
        <w:rPr>
          <w:lang w:val="en"/>
        </w:rPr>
        <w:t>In addition to the applications made by our Institution's portal, consumers can also follow the status and responses of their applications received through CIMER through this portal. It is ensured that the answers from the distribution companies are seen by the applicant on the website. For the applications that are not answered on time by the distribution companies, warning messages are sent to the companies over the system. In addition, EMRA - CIMER Processes integration studies started on 9 November 2018 and the integration was completed without any problems at the beginning of 2019.</w:t>
      </w:r>
    </w:p>
    <w:p w:rsidR="00FE7FEB" w:rsidRPr="004E7F7B" w:rsidRDefault="00FE7FEB" w:rsidP="004E7F7B">
      <w:pPr>
        <w:spacing w:after="120" w:line="240" w:lineRule="auto"/>
        <w:rPr>
          <w:rFonts w:ascii="Times New Roman" w:hAnsi="Times New Roman" w:cs="Times New Roman"/>
        </w:rPr>
      </w:pPr>
    </w:p>
    <w:p w:rsidR="00FE7FEB" w:rsidRPr="004E7F7B" w:rsidRDefault="00FE7FEB" w:rsidP="004E7F7B">
      <w:pPr>
        <w:pStyle w:val="Balk2"/>
        <w:rPr>
          <w:rFonts w:ascii="Times New Roman" w:hAnsi="Times New Roman" w:cs="Times New Roman"/>
          <w:sz w:val="22"/>
          <w:szCs w:val="22"/>
        </w:rPr>
      </w:pPr>
      <w:bookmarkStart w:id="316" w:name="_Toc48817898"/>
      <w:r w:rsidRPr="004E7F7B">
        <w:rPr>
          <w:rFonts w:ascii="Times New Roman" w:hAnsi="Times New Roman" w:cs="Times New Roman"/>
          <w:sz w:val="22"/>
          <w:szCs w:val="22"/>
        </w:rPr>
        <w:t>9.1.Creating and Developing Customer Awareness</w:t>
      </w:r>
      <w:bookmarkEnd w:id="316"/>
    </w:p>
    <w:p w:rsidR="00FE7FEB" w:rsidRPr="00146B4A" w:rsidRDefault="00FE7FEB" w:rsidP="00793DA9">
      <w:r w:rsidRPr="00146B4A">
        <w:t>Within the context of studies on creating consumer awareness about regulations and applications related to energy market and rights and responsibilities of consumers; Consumer section is included on the institution website.</w:t>
      </w:r>
    </w:p>
    <w:p w:rsidR="00FE7FEB" w:rsidRPr="00146B4A" w:rsidRDefault="00FE7FEB" w:rsidP="00793DA9">
      <w:r w:rsidRPr="00146B4A">
        <w:t>The Consumer Corner has been created to include some or all of the following headings on sector basis:</w:t>
      </w:r>
    </w:p>
    <w:p w:rsidR="00FE7FEB" w:rsidRPr="00146B4A" w:rsidRDefault="00FE7FEB" w:rsidP="007B4A7D">
      <w:pPr>
        <w:pStyle w:val="ListeParagraf"/>
        <w:numPr>
          <w:ilvl w:val="0"/>
          <w:numId w:val="3"/>
        </w:numPr>
        <w:spacing w:after="120" w:line="240" w:lineRule="auto"/>
        <w:rPr>
          <w:rFonts w:ascii="Times New Roman" w:hAnsi="Times New Roman" w:cs="Times New Roman"/>
        </w:rPr>
      </w:pPr>
      <w:r w:rsidRPr="00146B4A">
        <w:rPr>
          <w:rFonts w:ascii="Times New Roman" w:hAnsi="Times New Roman" w:cs="Times New Roman"/>
        </w:rPr>
        <w:t>Legislation (Legislation directly related to the consumers of the relevant market is included)</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Market and Consumer Rights (Market structure and presentation of what basic consumer rights are in this market)</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Consumer Guide and Frequently Asked Questions (Includes consumer responses to frequently asked questions and explanations about the use of consumer rights)</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National tariffs of past periods and other country implementations (prices applied to non-eligible consumers in Electricity Market and prices applied in other countries, direct access was given to prices applied by Natural Gas Distribution Companies)</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Invoice Calculation Module (included in the price module which allows Electricity consumers to perform billing checks)</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Communication Addresses of Distribution Companies (including Electricity and Natural Gas Distribution Companies' Web Address, Call Center, Request / Complaint and e-mail addresses)</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Contact Addresses of the Assigned Supply Companies (includes the Web address, Call Center, Request / Complaint and e-mail addresses of the Companies)</w:t>
      </w:r>
    </w:p>
    <w:p w:rsidR="00FE7FEB" w:rsidRPr="00146B4A" w:rsidRDefault="00FE7FEB" w:rsidP="007B4A7D">
      <w:pPr>
        <w:pStyle w:val="ListeParagraf"/>
        <w:numPr>
          <w:ilvl w:val="0"/>
          <w:numId w:val="2"/>
        </w:numPr>
        <w:spacing w:after="120" w:line="240" w:lineRule="auto"/>
        <w:rPr>
          <w:rFonts w:ascii="Times New Roman" w:hAnsi="Times New Roman" w:cs="Times New Roman"/>
        </w:rPr>
      </w:pPr>
      <w:r w:rsidRPr="00146B4A">
        <w:rPr>
          <w:rFonts w:ascii="Times New Roman" w:hAnsi="Times New Roman" w:cs="Times New Roman"/>
        </w:rPr>
        <w:t>Complaints and Information Acquisition (The consumer has been given an active module to respond to complaints and information requests)</w:t>
      </w:r>
    </w:p>
    <w:p w:rsidR="00FE7FEB" w:rsidRPr="00146B4A" w:rsidRDefault="00FE7FEB" w:rsidP="00146B4A">
      <w:r w:rsidRPr="00146B4A">
        <w:t>The application module has been renewed via the website about consumer complaints and in the applications made through T.C identity, the application is sent to the client by sending SMS and the applicant</w:t>
      </w:r>
      <w:r w:rsidR="00822E90" w:rsidRPr="00146B4A">
        <w:t xml:space="preserve"> is able to follow the website.</w:t>
      </w:r>
    </w:p>
    <w:p w:rsidR="00FE7FEB" w:rsidRPr="004E7F7B" w:rsidRDefault="00FE0469" w:rsidP="004E7F7B">
      <w:pPr>
        <w:pStyle w:val="Balk2"/>
        <w:rPr>
          <w:rFonts w:ascii="Times New Roman" w:hAnsi="Times New Roman" w:cs="Times New Roman"/>
          <w:sz w:val="22"/>
          <w:szCs w:val="22"/>
        </w:rPr>
      </w:pPr>
      <w:bookmarkStart w:id="317" w:name="_Toc48817899"/>
      <w:r w:rsidRPr="004E7F7B">
        <w:rPr>
          <w:rFonts w:ascii="Times New Roman" w:hAnsi="Times New Roman" w:cs="Times New Roman"/>
          <w:sz w:val="22"/>
          <w:szCs w:val="22"/>
        </w:rPr>
        <w:t>9.2.Evaluation of Consumer C</w:t>
      </w:r>
      <w:r w:rsidR="00FE7FEB" w:rsidRPr="004E7F7B">
        <w:rPr>
          <w:rFonts w:ascii="Times New Roman" w:hAnsi="Times New Roman" w:cs="Times New Roman"/>
          <w:sz w:val="22"/>
          <w:szCs w:val="22"/>
        </w:rPr>
        <w:t>omplaints</w:t>
      </w:r>
      <w:bookmarkEnd w:id="317"/>
    </w:p>
    <w:p w:rsidR="00FE7FEB" w:rsidRPr="004E7F7B" w:rsidRDefault="00FE7FEB" w:rsidP="00146B4A">
      <w:r w:rsidRPr="004E7F7B">
        <w:t xml:space="preserve">The licensees are obliged to quickly resolve and / or to make arrangements for resolution of  the complaints and denunciations related to the subjects of activity while ensuring compliance with the obligations set forth in the legislation in relation to consumers and users. </w:t>
      </w:r>
    </w:p>
    <w:p w:rsidR="00FE7FEB" w:rsidRPr="004E7F7B" w:rsidRDefault="00FE7FEB" w:rsidP="00146B4A">
      <w:r w:rsidRPr="004E7F7B">
        <w:t>Consumers are entitled to apply to the Authority if they do not receive a satisfactory or sufficient answer to the application made by the service companies. In this way, the applications reaching the Authority are taken into consideration with the correspondence with the related legal entity and examined and concluded within the scope of the legislation.</w:t>
      </w:r>
    </w:p>
    <w:p w:rsidR="00FE7FEB" w:rsidRPr="004E7F7B" w:rsidRDefault="00FE7FEB" w:rsidP="00146B4A">
      <w:pPr>
        <w:rPr>
          <w:rFonts w:eastAsia="Calibri"/>
          <w:lang w:val="en-GB"/>
        </w:rPr>
      </w:pPr>
      <w:r w:rsidRPr="004E7F7B">
        <w:rPr>
          <w:rFonts w:eastAsia="Calibri"/>
          <w:lang w:val="en-GB"/>
        </w:rPr>
        <w:t>It is important that the means of finding consumers and their claims in complaints and complaints are clear, simple and easy, in the context of monitoring the obligations of licensees operating on the market within the framework of the relevant legislation and ensuring that the necessary arrangements are made quickly.</w:t>
      </w:r>
    </w:p>
    <w:p w:rsidR="00FE7FEB" w:rsidRPr="004E7F7B" w:rsidRDefault="00FE7FEB" w:rsidP="00146B4A">
      <w:r w:rsidRPr="004E7F7B">
        <w:t>In this frame, studies are continuing to communicate the complaints, which are transmitted from different channels by our Agency, to the related party quickly, to monitor the resolution of the complaints and to carry out audits if necessary.</w:t>
      </w:r>
    </w:p>
    <w:p w:rsidR="00FE7FEB" w:rsidRPr="004E7F7B" w:rsidRDefault="00FE7FEB" w:rsidP="004E7F7B">
      <w:pPr>
        <w:pStyle w:val="Balk3"/>
        <w:rPr>
          <w:rFonts w:ascii="Times New Roman" w:hAnsi="Times New Roman" w:cs="Times New Roman"/>
          <w:sz w:val="22"/>
          <w:szCs w:val="22"/>
        </w:rPr>
      </w:pPr>
      <w:bookmarkStart w:id="318" w:name="_Toc48817900"/>
      <w:r w:rsidRPr="004E7F7B">
        <w:rPr>
          <w:rFonts w:ascii="Times New Roman" w:hAnsi="Times New Roman" w:cs="Times New Roman"/>
          <w:sz w:val="22"/>
          <w:szCs w:val="22"/>
        </w:rPr>
        <w:t>9.2.1. Inf</w:t>
      </w:r>
      <w:r w:rsidR="00FE0469" w:rsidRPr="004E7F7B">
        <w:rPr>
          <w:rFonts w:ascii="Times New Roman" w:hAnsi="Times New Roman" w:cs="Times New Roman"/>
          <w:sz w:val="22"/>
          <w:szCs w:val="22"/>
        </w:rPr>
        <w:t>ormation Acquisition/Complaint Numbers and C</w:t>
      </w:r>
      <w:r w:rsidRPr="004E7F7B">
        <w:rPr>
          <w:rFonts w:ascii="Times New Roman" w:hAnsi="Times New Roman" w:cs="Times New Roman"/>
          <w:sz w:val="22"/>
          <w:szCs w:val="22"/>
        </w:rPr>
        <w:t>hannels</w:t>
      </w:r>
      <w:bookmarkEnd w:id="318"/>
    </w:p>
    <w:p w:rsidR="00FE7FEB" w:rsidRPr="004E7F7B" w:rsidRDefault="00822E90" w:rsidP="00146B4A">
      <w:r w:rsidRPr="004E7F7B">
        <w:t>In 2019, 77.017</w:t>
      </w:r>
      <w:r w:rsidR="00FE7FEB" w:rsidRPr="004E7F7B">
        <w:t xml:space="preserve"> notifications were processed by the related departments under the title of Complaint that includes “Complaint”, “Legislation / Suggestion”, “Not in the Field of the Subject Institution” a</w:t>
      </w:r>
      <w:r w:rsidRPr="004E7F7B">
        <w:t>nd“ Other ”and a total of 78.458</w:t>
      </w:r>
      <w:r w:rsidR="00FE7FEB" w:rsidRPr="004E7F7B">
        <w:t xml:space="preserve"> not</w:t>
      </w:r>
      <w:r w:rsidRPr="004E7F7B">
        <w:t>ifications were processed, 1.441</w:t>
      </w:r>
      <w:r w:rsidR="00FE7FEB" w:rsidRPr="004E7F7B">
        <w:t xml:space="preserve"> of which were received under the heading of Information Retrieval. The percentage distribution of the notifications processed under the complaint heading by months are given below.</w:t>
      </w:r>
    </w:p>
    <w:p w:rsidR="00FE7FEB" w:rsidRPr="004E7F7B" w:rsidRDefault="00FE7FEB" w:rsidP="00146B4A">
      <w:pPr>
        <w:pStyle w:val="Balk5"/>
        <w:jc w:val="left"/>
        <w:rPr>
          <w:rFonts w:ascii="Times New Roman" w:hAnsi="Times New Roman" w:cs="Times New Roman"/>
        </w:rPr>
      </w:pPr>
      <w:r w:rsidRPr="004E7F7B">
        <w:rPr>
          <w:rFonts w:ascii="Times New Roman" w:hAnsi="Times New Roman" w:cs="Times New Roman"/>
        </w:rPr>
        <w:t xml:space="preserve"> </w:t>
      </w:r>
      <w:bookmarkStart w:id="319" w:name="_Toc48818072"/>
      <w:r w:rsidR="00FE0469" w:rsidRPr="004E7F7B">
        <w:rPr>
          <w:rFonts w:ascii="Times New Roman" w:hAnsi="Times New Roman" w:cs="Times New Roman"/>
        </w:rPr>
        <w:t>Figure 9.1: Percentage Distribution of Notifications Processed Under the Complaint Heading by M</w:t>
      </w:r>
      <w:r w:rsidRPr="004E7F7B">
        <w:rPr>
          <w:rFonts w:ascii="Times New Roman" w:hAnsi="Times New Roman" w:cs="Times New Roman"/>
        </w:rPr>
        <w:t>onths</w:t>
      </w:r>
      <w:bookmarkEnd w:id="319"/>
    </w:p>
    <w:p w:rsidR="00FE7FEB" w:rsidRPr="004E7F7B" w:rsidRDefault="00FB5FD5" w:rsidP="004E7F7B">
      <w:pPr>
        <w:rPr>
          <w:rFonts w:ascii="Times New Roman" w:hAnsi="Times New Roman" w:cs="Times New Roman"/>
        </w:rPr>
      </w:pPr>
      <w:r w:rsidRPr="004E7F7B">
        <w:rPr>
          <w:rFonts w:ascii="Times New Roman" w:hAnsi="Times New Roman" w:cs="Times New Roman"/>
          <w:lang w:val="tr-TR" w:eastAsia="tr-TR"/>
        </w:rPr>
        <w:drawing>
          <wp:inline distT="0" distB="0" distL="0" distR="0" wp14:anchorId="3AF3DF20" wp14:editId="38C3AAB6">
            <wp:extent cx="6400800" cy="3867150"/>
            <wp:effectExtent l="0" t="0" r="19050" b="19050"/>
            <wp:docPr id="110" name="Grafik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E7FEB" w:rsidRPr="004E7F7B" w:rsidRDefault="00FE7FEB" w:rsidP="00146B4A">
      <w:r w:rsidRPr="004E7F7B">
        <w:t>Looking at the monthly realizations of the notifications under the complaint heading, it is seen that the biggest share belongs to December</w:t>
      </w:r>
      <w:r w:rsidR="00822E90" w:rsidRPr="004E7F7B">
        <w:t xml:space="preserve"> with 12.27%, followed by January</w:t>
      </w:r>
      <w:r w:rsidRPr="004E7F7B">
        <w:t xml:space="preserve">, </w:t>
      </w:r>
      <w:r w:rsidR="00822E90" w:rsidRPr="004E7F7B">
        <w:t>February, March</w:t>
      </w:r>
      <w:r w:rsidRPr="004E7F7B">
        <w:t xml:space="preserve"> and </w:t>
      </w:r>
      <w:r w:rsidR="00822E90" w:rsidRPr="004E7F7B">
        <w:t>October</w:t>
      </w:r>
      <w:r w:rsidRPr="004E7F7B">
        <w:t>.</w:t>
      </w:r>
    </w:p>
    <w:p w:rsidR="00822E90" w:rsidRPr="004E7F7B" w:rsidRDefault="00822E90" w:rsidP="00146B4A">
      <w:r w:rsidRPr="004E7F7B">
        <w:t>CIMER</w:t>
      </w:r>
      <w:r w:rsidR="00FE7FEB" w:rsidRPr="004E7F7B">
        <w:t xml:space="preserve">, Ministry, EMRA’s web page (Form) and EMRA’s general document channels are used when notifications are delivered to our Authority. </w:t>
      </w:r>
    </w:p>
    <w:p w:rsidR="00FE7FEB" w:rsidRPr="004E7F7B" w:rsidRDefault="00FE7FEB" w:rsidP="00146B4A">
      <w:r w:rsidRPr="004E7F7B">
        <w:t>In 201</w:t>
      </w:r>
      <w:r w:rsidR="00822E90" w:rsidRPr="004E7F7B">
        <w:t>9, 77.011</w:t>
      </w:r>
      <w:r w:rsidRPr="004E7F7B">
        <w:t xml:space="preserve"> applications were submitted to our Authority, using all </w:t>
      </w:r>
      <w:r w:rsidR="00822E90" w:rsidRPr="004E7F7B">
        <w:t>channels. CIMER applications were 67.746</w:t>
      </w:r>
      <w:r w:rsidRPr="004E7F7B">
        <w:t xml:space="preserve"> (</w:t>
      </w:r>
      <w:r w:rsidR="009B2DAE" w:rsidRPr="004E7F7B">
        <w:t>88%), application forms were 8.410</w:t>
      </w:r>
      <w:r w:rsidRPr="004E7F7B">
        <w:t xml:space="preserve"> (</w:t>
      </w:r>
      <w:r w:rsidR="009B2DAE" w:rsidRPr="004E7F7B">
        <w:t>11</w:t>
      </w:r>
      <w:r w:rsidRPr="004E7F7B">
        <w:t>%), applica</w:t>
      </w:r>
      <w:r w:rsidR="009B2DAE" w:rsidRPr="004E7F7B">
        <w:t>tions with MENR channel were 442</w:t>
      </w:r>
      <w:r w:rsidRPr="004E7F7B">
        <w:t xml:space="preserve"> and applicatio</w:t>
      </w:r>
      <w:r w:rsidR="009B2DAE" w:rsidRPr="004E7F7B">
        <w:t>ns with general document were 413</w:t>
      </w:r>
      <w:r w:rsidRPr="004E7F7B">
        <w:t xml:space="preserve">. </w:t>
      </w:r>
    </w:p>
    <w:p w:rsidR="009B2DAE" w:rsidRPr="004E7F7B" w:rsidRDefault="009B2DAE" w:rsidP="004E7F7B">
      <w:pPr>
        <w:rPr>
          <w:rFonts w:ascii="Times New Roman" w:hAnsi="Times New Roman" w:cs="Times New Roman"/>
        </w:rPr>
      </w:pPr>
    </w:p>
    <w:p w:rsidR="009B2DAE" w:rsidRPr="004E7F7B" w:rsidRDefault="009B2DAE" w:rsidP="004E7F7B">
      <w:pPr>
        <w:pStyle w:val="Balk5"/>
        <w:jc w:val="both"/>
        <w:rPr>
          <w:rFonts w:ascii="Times New Roman" w:hAnsi="Times New Roman" w:cs="Times New Roman"/>
        </w:rPr>
      </w:pPr>
      <w:r w:rsidRPr="004E7F7B">
        <w:rPr>
          <w:rFonts w:ascii="Times New Roman" w:hAnsi="Times New Roman" w:cs="Times New Roman"/>
        </w:rPr>
        <w:t xml:space="preserve">   </w:t>
      </w:r>
      <w:bookmarkStart w:id="320" w:name="_Toc48818073"/>
      <w:r w:rsidRPr="004E7F7B">
        <w:rPr>
          <w:rFonts w:ascii="Times New Roman" w:hAnsi="Times New Roman" w:cs="Times New Roman"/>
        </w:rPr>
        <w:t>Figure 9.2: Percentage Distribution of Complaint Notifications by Complaint Channels</w:t>
      </w:r>
      <w:bookmarkEnd w:id="320"/>
    </w:p>
    <w:p w:rsidR="009B2DAE" w:rsidRPr="004E7F7B" w:rsidRDefault="00FB5FD5" w:rsidP="004E7F7B">
      <w:pPr>
        <w:ind w:left="720"/>
        <w:rPr>
          <w:rFonts w:ascii="Times New Roman" w:hAnsi="Times New Roman" w:cs="Times New Roman"/>
        </w:rPr>
      </w:pPr>
      <w:r w:rsidRPr="004E7F7B">
        <w:rPr>
          <w:rFonts w:ascii="Times New Roman" w:hAnsi="Times New Roman" w:cs="Times New Roman"/>
          <w:lang w:val="tr-TR" w:eastAsia="tr-TR"/>
        </w:rPr>
        <w:drawing>
          <wp:inline distT="0" distB="0" distL="0" distR="0" wp14:anchorId="794FFBDC" wp14:editId="5ACD351E">
            <wp:extent cx="5267325" cy="2990850"/>
            <wp:effectExtent l="0" t="0" r="9525" b="19050"/>
            <wp:docPr id="111" name="Grafik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9B2DAE" w:rsidRPr="004E7F7B">
        <w:rPr>
          <w:rFonts w:ascii="Times New Roman" w:hAnsi="Times New Roman" w:cs="Times New Roman"/>
        </w:rPr>
        <w:t xml:space="preserve">        </w:t>
      </w:r>
    </w:p>
    <w:p w:rsidR="00FE7FEB" w:rsidRPr="004E7F7B" w:rsidRDefault="009B2DAE" w:rsidP="00146B4A">
      <w:r w:rsidRPr="004E7F7B">
        <w:t>In 2019, 62.257</w:t>
      </w:r>
      <w:r w:rsidR="00FE7FEB" w:rsidRPr="004E7F7B">
        <w:t xml:space="preserve"> applications were sent to related companies for consideration and as required</w:t>
      </w:r>
      <w:r w:rsidRPr="004E7F7B">
        <w:t xml:space="preserve">. </w:t>
      </w:r>
      <w:r w:rsidR="00FE7FEB" w:rsidRPr="004E7F7B">
        <w:t>Notifications are categorized as Legislation / Suggestion, Complaint, Other and Not in the Field of the Subject Institution according to the subject headings.</w:t>
      </w:r>
    </w:p>
    <w:p w:rsidR="00FE7FEB" w:rsidRPr="004E7F7B" w:rsidRDefault="00FE0469" w:rsidP="004E7F7B">
      <w:pPr>
        <w:pStyle w:val="Balk3"/>
        <w:rPr>
          <w:rFonts w:ascii="Times New Roman" w:hAnsi="Times New Roman" w:cs="Times New Roman"/>
          <w:sz w:val="22"/>
          <w:szCs w:val="22"/>
        </w:rPr>
      </w:pPr>
      <w:bookmarkStart w:id="321" w:name="_Toc440363416"/>
      <w:bookmarkStart w:id="322" w:name="_Toc440363443"/>
      <w:bookmarkStart w:id="323" w:name="_Toc440364104"/>
      <w:bookmarkStart w:id="324" w:name="_Toc447286887"/>
      <w:bookmarkStart w:id="325" w:name="_Toc514251700"/>
      <w:bookmarkStart w:id="326" w:name="_Toc48817901"/>
      <w:r w:rsidRPr="004E7F7B">
        <w:rPr>
          <w:rFonts w:ascii="Times New Roman" w:hAnsi="Times New Roman" w:cs="Times New Roman"/>
          <w:sz w:val="22"/>
          <w:szCs w:val="22"/>
        </w:rPr>
        <w:t>9.2.2. Sectoral Dispersion of the Complaint N</w:t>
      </w:r>
      <w:r w:rsidR="00FE7FEB" w:rsidRPr="004E7F7B">
        <w:rPr>
          <w:rFonts w:ascii="Times New Roman" w:hAnsi="Times New Roman" w:cs="Times New Roman"/>
          <w:sz w:val="22"/>
          <w:szCs w:val="22"/>
        </w:rPr>
        <w:t>otifications</w:t>
      </w:r>
      <w:bookmarkEnd w:id="321"/>
      <w:bookmarkEnd w:id="322"/>
      <w:bookmarkEnd w:id="323"/>
      <w:bookmarkEnd w:id="324"/>
      <w:bookmarkEnd w:id="325"/>
      <w:bookmarkEnd w:id="326"/>
    </w:p>
    <w:p w:rsidR="00FE7FEB" w:rsidRPr="004E7F7B" w:rsidRDefault="00FE7FEB" w:rsidP="00146B4A">
      <w:r w:rsidRPr="004E7F7B">
        <w:t>The notifications communicated under the complaint category are sep</w:t>
      </w:r>
      <w:r w:rsidR="009B2DAE" w:rsidRPr="004E7F7B">
        <w:t>arated into Electricity Market, Natural Gas Market</w:t>
      </w:r>
      <w:r w:rsidRPr="004E7F7B">
        <w:t>, Liquefied Petroleum Gas Market (LPG) and Petroleum Market within the framework of protection of consumer rights and examination of consumer complaints. The percentage distribution of complaint notifications belonging to these sectors is given in the graphic below.</w:t>
      </w:r>
    </w:p>
    <w:p w:rsidR="00FE7FEB" w:rsidRPr="004E7F7B" w:rsidRDefault="00FE7FEB" w:rsidP="004E7F7B">
      <w:pPr>
        <w:pStyle w:val="Balk5"/>
        <w:jc w:val="both"/>
        <w:rPr>
          <w:rFonts w:ascii="Times New Roman" w:hAnsi="Times New Roman" w:cs="Times New Roman"/>
        </w:rPr>
      </w:pPr>
      <w:bookmarkStart w:id="327" w:name="_Toc48818074"/>
      <w:r w:rsidRPr="004E7F7B">
        <w:rPr>
          <w:rFonts w:ascii="Times New Roman" w:hAnsi="Times New Roman" w:cs="Times New Roman"/>
        </w:rPr>
        <w:t>Figure 9.3: Sectoral Breakdown of Complaints Received</w:t>
      </w:r>
      <w:bookmarkEnd w:id="327"/>
    </w:p>
    <w:p w:rsidR="00FE7FEB" w:rsidRPr="004E7F7B" w:rsidRDefault="00F930EE" w:rsidP="004E7F7B">
      <w:pPr>
        <w:spacing w:after="120" w:line="240" w:lineRule="auto"/>
        <w:rPr>
          <w:rFonts w:ascii="Times New Roman" w:hAnsi="Times New Roman" w:cs="Times New Roman"/>
        </w:rPr>
      </w:pPr>
      <w:r w:rsidRPr="004E7F7B">
        <w:rPr>
          <w:rFonts w:ascii="Times New Roman" w:hAnsi="Times New Roman" w:cs="Times New Roman"/>
          <w:lang w:val="tr-TR" w:eastAsia="tr-TR"/>
        </w:rPr>
        <w:drawing>
          <wp:inline distT="0" distB="0" distL="0" distR="0" wp14:anchorId="0BD430A0" wp14:editId="7420FF27">
            <wp:extent cx="5972810" cy="3578225"/>
            <wp:effectExtent l="0" t="0" r="27940" b="222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BD0A77" w:rsidRPr="004E7F7B" w:rsidRDefault="00FE7FEB" w:rsidP="00146B4A">
      <w:r w:rsidRPr="004E7F7B">
        <w:t>Electricity sector h</w:t>
      </w:r>
      <w:r w:rsidR="009B2DAE" w:rsidRPr="004E7F7B">
        <w:t>as the biggest share with 60.296</w:t>
      </w:r>
      <w:r w:rsidRPr="004E7F7B">
        <w:t xml:space="preserve"> (</w:t>
      </w:r>
      <w:r w:rsidR="009B2DAE" w:rsidRPr="004E7F7B">
        <w:t>78</w:t>
      </w:r>
      <w:r w:rsidRPr="004E7F7B">
        <w:t>%) in the sectoral distribution of complaints. Natural gas sec</w:t>
      </w:r>
      <w:r w:rsidR="009B2DAE" w:rsidRPr="004E7F7B">
        <w:t>tor with 13.960 (18</w:t>
      </w:r>
      <w:r w:rsidRPr="004E7F7B">
        <w:t>%)</w:t>
      </w:r>
      <w:r w:rsidR="00BD0A77" w:rsidRPr="004E7F7B">
        <w:t>, petroleum sector with 1.127 (1%), other with 945 (1%) and LPG sector with 689</w:t>
      </w:r>
      <w:r w:rsidRPr="004E7F7B">
        <w:t xml:space="preserve"> (1%), followed by electricity sector. </w:t>
      </w:r>
    </w:p>
    <w:p w:rsidR="00FE7FEB" w:rsidRPr="004E7F7B" w:rsidRDefault="00FE7FEB" w:rsidP="00146B4A">
      <w:r w:rsidRPr="004E7F7B">
        <w:t>All notifications included in the institution correspondence system are not sent to the sector departments. Complaints that are not directly examined by our institution and that need to be answered and evaluated by the companies are sent to the related companies. The following graph shows the proportions of complaints that are included in the Institution's correspondence system and sent directly to the institution.</w:t>
      </w:r>
    </w:p>
    <w:p w:rsidR="00FE7FEB" w:rsidRPr="004E7F7B" w:rsidRDefault="00FE7FEB" w:rsidP="004E7F7B">
      <w:pPr>
        <w:pStyle w:val="Balk5"/>
        <w:jc w:val="both"/>
        <w:rPr>
          <w:rFonts w:ascii="Times New Roman" w:hAnsi="Times New Roman" w:cs="Times New Roman"/>
        </w:rPr>
      </w:pPr>
      <w:bookmarkStart w:id="328" w:name="_Toc48818075"/>
      <w:r w:rsidRPr="004E7F7B">
        <w:rPr>
          <w:rFonts w:ascii="Times New Roman" w:hAnsi="Times New Roman" w:cs="Times New Roman"/>
        </w:rPr>
        <w:t>Figure 9.4: Breakdown of Complainst Forwarded to Relevant Adresses</w:t>
      </w:r>
      <w:bookmarkEnd w:id="328"/>
    </w:p>
    <w:p w:rsidR="00FE7FEB" w:rsidRPr="004E7F7B" w:rsidRDefault="00F930EE" w:rsidP="004E7F7B">
      <w:pPr>
        <w:spacing w:after="120" w:line="240" w:lineRule="auto"/>
        <w:ind w:left="720" w:firstLine="708"/>
        <w:rPr>
          <w:rFonts w:ascii="Times New Roman" w:hAnsi="Times New Roman" w:cs="Times New Roman"/>
        </w:rPr>
      </w:pPr>
      <w:r w:rsidRPr="004E7F7B">
        <w:rPr>
          <w:rFonts w:ascii="Times New Roman" w:hAnsi="Times New Roman" w:cs="Times New Roman"/>
          <w:lang w:val="tr-TR" w:eastAsia="tr-TR"/>
        </w:rPr>
        <w:drawing>
          <wp:inline distT="0" distB="0" distL="0" distR="0" wp14:anchorId="6410EE5E" wp14:editId="789576FE">
            <wp:extent cx="4819650" cy="4743450"/>
            <wp:effectExtent l="0" t="0" r="19050"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E7FEB" w:rsidRPr="004E7F7B" w:rsidRDefault="00FE7FEB" w:rsidP="00146B4A">
      <w:r w:rsidRPr="004E7F7B">
        <w:t>The biggest part of the complaints received into the institution’s correspondence system was forwarded to Electricity Distri</w:t>
      </w:r>
      <w:r w:rsidR="00BD0A77" w:rsidRPr="004E7F7B">
        <w:t>bution with 53</w:t>
      </w:r>
      <w:r w:rsidRPr="004E7F7B">
        <w:t>%, electricity ass</w:t>
      </w:r>
      <w:r w:rsidR="00BD0A77" w:rsidRPr="004E7F7B">
        <w:t>igned supplier companies with 13</w:t>
      </w:r>
      <w:r w:rsidRPr="004E7F7B">
        <w:t>%, natural ga</w:t>
      </w:r>
      <w:r w:rsidR="00BD0A77" w:rsidRPr="004E7F7B">
        <w:t>s distribution companies with 15</w:t>
      </w:r>
      <w:r w:rsidRPr="004E7F7B">
        <w:t>% and the related sectoral depa</w:t>
      </w:r>
      <w:r w:rsidR="00BD0A77" w:rsidRPr="004E7F7B">
        <w:t>rtments of the authority with 19</w:t>
      </w:r>
      <w:r w:rsidRPr="004E7F7B">
        <w:t>%.</w:t>
      </w:r>
    </w:p>
    <w:p w:rsidR="00FE7FEB" w:rsidRPr="004E7F7B" w:rsidRDefault="00FE7FEB" w:rsidP="004E7F7B">
      <w:pPr>
        <w:spacing w:after="120" w:line="240" w:lineRule="auto"/>
        <w:rPr>
          <w:rFonts w:ascii="Times New Roman" w:hAnsi="Times New Roman" w:cs="Times New Roman"/>
        </w:rPr>
      </w:pPr>
    </w:p>
    <w:p w:rsidR="00FE7FEB" w:rsidRPr="004E7F7B" w:rsidRDefault="00902D3B" w:rsidP="004E7F7B">
      <w:pPr>
        <w:pStyle w:val="Balk3"/>
        <w:rPr>
          <w:rFonts w:ascii="Times New Roman" w:hAnsi="Times New Roman" w:cs="Times New Roman"/>
          <w:sz w:val="22"/>
          <w:szCs w:val="22"/>
        </w:rPr>
      </w:pPr>
      <w:bookmarkStart w:id="329" w:name="_Toc440363418"/>
      <w:bookmarkStart w:id="330" w:name="_Toc440363445"/>
      <w:bookmarkStart w:id="331" w:name="_Toc440364106"/>
      <w:bookmarkStart w:id="332" w:name="_Toc447286889"/>
      <w:bookmarkStart w:id="333" w:name="_Toc514251702"/>
      <w:bookmarkStart w:id="334" w:name="_Toc48817902"/>
      <w:r w:rsidRPr="004E7F7B">
        <w:rPr>
          <w:rFonts w:ascii="Times New Roman" w:hAnsi="Times New Roman" w:cs="Times New Roman"/>
          <w:sz w:val="22"/>
          <w:szCs w:val="22"/>
        </w:rPr>
        <w:t>9.2.3</w:t>
      </w:r>
      <w:r w:rsidR="00FE0469" w:rsidRPr="004E7F7B">
        <w:rPr>
          <w:rFonts w:ascii="Times New Roman" w:hAnsi="Times New Roman" w:cs="Times New Roman"/>
          <w:sz w:val="22"/>
          <w:szCs w:val="22"/>
        </w:rPr>
        <w:t>. Classification of Complaints and R</w:t>
      </w:r>
      <w:r w:rsidR="00FE7FEB" w:rsidRPr="004E7F7B">
        <w:rPr>
          <w:rFonts w:ascii="Times New Roman" w:hAnsi="Times New Roman" w:cs="Times New Roman"/>
          <w:sz w:val="22"/>
          <w:szCs w:val="22"/>
        </w:rPr>
        <w:t>ealizations in the Electricity Sector</w:t>
      </w:r>
      <w:bookmarkEnd w:id="329"/>
      <w:bookmarkEnd w:id="330"/>
      <w:bookmarkEnd w:id="331"/>
      <w:bookmarkEnd w:id="332"/>
      <w:bookmarkEnd w:id="333"/>
      <w:bookmarkEnd w:id="334"/>
    </w:p>
    <w:p w:rsidR="00FE7FEB" w:rsidRPr="004E7F7B" w:rsidRDefault="00FE7FEB" w:rsidP="00146B4A">
      <w:r w:rsidRPr="004E7F7B">
        <w:t xml:space="preserve">Within the framework of consumer rights and protection of consumers, sub-classifications specific to the Electricity sector have been made under the complaint category. Subcategories such as Subscription, Link-Network, Counter, Quality, Customer Service, Billing and Price-Tariff have been made under the main categories of complaints about Electricity sector. </w:t>
      </w:r>
      <w:r w:rsidR="00BD0A77" w:rsidRPr="004E7F7B">
        <w:t xml:space="preserve">60.296 </w:t>
      </w:r>
      <w:r w:rsidRPr="004E7F7B">
        <w:t>notifications subject to the complaint category for this period have been processed and the distribution of 10 complaint categories on the basis of sub-classifications is given below.</w:t>
      </w:r>
    </w:p>
    <w:p w:rsidR="00FE7FEB" w:rsidRPr="004E7F7B" w:rsidRDefault="00FE7FEB" w:rsidP="004E7F7B">
      <w:pPr>
        <w:pStyle w:val="Balk5"/>
        <w:jc w:val="both"/>
        <w:rPr>
          <w:rFonts w:ascii="Times New Roman" w:hAnsi="Times New Roman" w:cs="Times New Roman"/>
        </w:rPr>
      </w:pPr>
      <w:bookmarkStart w:id="335" w:name="_Toc48818076"/>
      <w:r w:rsidRPr="004E7F7B">
        <w:rPr>
          <w:rFonts w:ascii="Times New Roman" w:hAnsi="Times New Roman" w:cs="Times New Roman"/>
        </w:rPr>
        <w:t>Figure 9.5: Percentage Distribution of Breakdown of Electricity Complaints</w:t>
      </w:r>
      <w:bookmarkEnd w:id="335"/>
    </w:p>
    <w:p w:rsidR="00FE7FEB" w:rsidRPr="004E7F7B" w:rsidRDefault="0088397D" w:rsidP="00146B4A">
      <w:r w:rsidRPr="004E7F7B">
        <w:rPr>
          <w:lang w:val="tr-TR" w:eastAsia="tr-TR"/>
        </w:rPr>
        <w:t xml:space="preserve"> </w:t>
      </w:r>
      <w:r w:rsidR="0095307D" w:rsidRPr="004E7F7B">
        <w:rPr>
          <w:lang w:val="tr-TR" w:eastAsia="tr-TR"/>
        </w:rPr>
        <w:drawing>
          <wp:inline distT="0" distB="0" distL="0" distR="0" wp14:anchorId="18085C84" wp14:editId="13D1FBBD">
            <wp:extent cx="5972810" cy="2590800"/>
            <wp:effectExtent l="0" t="0" r="27940" b="19050"/>
            <wp:docPr id="106" name="Grafik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624B42" w:rsidRPr="004E7F7B">
        <w:rPr>
          <w:lang w:val="tr-TR" w:eastAsia="tr-TR"/>
        </w:rPr>
        <w:t xml:space="preserve"> </w:t>
      </w:r>
      <w:r w:rsidR="00624B42" w:rsidRPr="004E7F7B">
        <w:t>* In the category “Other</w:t>
      </w:r>
      <w:r w:rsidR="00FE7FEB" w:rsidRPr="004E7F7B">
        <w:t>”, there are various complaints related to more than one subject and the sum of the complaints with a very low  percentage.</w:t>
      </w:r>
    </w:p>
    <w:p w:rsidR="00BD0A77" w:rsidRPr="004E7F7B" w:rsidRDefault="00BD0A77" w:rsidP="00146B4A">
      <w:r w:rsidRPr="004E7F7B">
        <w:t>The highest concentration of complaints in the electricity market is the Energy Conservation with 33%, %, Investment / Initial Connection (Physical Connection to Network) with 17%, Facility (Line, Transformer, Mast) Location Change / Abolition with 11% and Voltage Fluctuation with 8%.</w:t>
      </w:r>
    </w:p>
    <w:p w:rsidR="00FE7FEB" w:rsidRPr="004E7F7B" w:rsidRDefault="00FE7FEB" w:rsidP="00146B4A">
      <w:r w:rsidRPr="004E7F7B">
        <w:t>Percentage distribution of the notifications that are processed in the Electricity sector and are reported on a monthly basis are given below.</w:t>
      </w:r>
    </w:p>
    <w:p w:rsidR="00FE7FEB" w:rsidRPr="004E7F7B" w:rsidRDefault="00FE7FEB" w:rsidP="004E7F7B">
      <w:pPr>
        <w:pStyle w:val="Balk5"/>
        <w:jc w:val="both"/>
        <w:rPr>
          <w:rFonts w:ascii="Times New Roman" w:hAnsi="Times New Roman" w:cs="Times New Roman"/>
        </w:rPr>
      </w:pPr>
      <w:bookmarkStart w:id="336" w:name="_Toc48818077"/>
      <w:r w:rsidRPr="004E7F7B">
        <w:rPr>
          <w:rFonts w:ascii="Times New Roman" w:hAnsi="Times New Roman" w:cs="Times New Roman"/>
        </w:rPr>
        <w:t>Figure 9.6: Monthly Breakdown of Electricity Complaints</w:t>
      </w:r>
      <w:bookmarkEnd w:id="336"/>
    </w:p>
    <w:p w:rsidR="00FE7FEB" w:rsidRPr="004E7F7B" w:rsidRDefault="00624B42" w:rsidP="004E7F7B">
      <w:pPr>
        <w:rPr>
          <w:rFonts w:ascii="Times New Roman" w:hAnsi="Times New Roman" w:cs="Times New Roman"/>
        </w:rPr>
      </w:pPr>
      <w:r w:rsidRPr="004E7F7B">
        <w:rPr>
          <w:rFonts w:ascii="Times New Roman" w:hAnsi="Times New Roman" w:cs="Times New Roman"/>
          <w:lang w:val="tr-TR" w:eastAsia="tr-TR"/>
        </w:rPr>
        <w:drawing>
          <wp:inline distT="0" distB="0" distL="0" distR="0" wp14:anchorId="3734C6F7" wp14:editId="7EC1D0BC">
            <wp:extent cx="6429375" cy="2657475"/>
            <wp:effectExtent l="0" t="0" r="9525" b="9525"/>
            <wp:docPr id="97" name="Grafik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E7FEB" w:rsidRPr="004E7F7B" w:rsidRDefault="00FE7FEB" w:rsidP="00146B4A">
      <w:r w:rsidRPr="004E7F7B">
        <w:t>Looking at the monthly realizations of the notifications, it is s</w:t>
      </w:r>
      <w:r w:rsidR="00BD0A77" w:rsidRPr="004E7F7B">
        <w:t>een that the biggest share is 17</w:t>
      </w:r>
      <w:r w:rsidRPr="004E7F7B">
        <w:t>% wit</w:t>
      </w:r>
      <w:r w:rsidR="00BD0A77" w:rsidRPr="004E7F7B">
        <w:t>h December, followed by January and February</w:t>
      </w:r>
      <w:r w:rsidRPr="004E7F7B">
        <w:t xml:space="preserve"> respectively.</w:t>
      </w:r>
    </w:p>
    <w:p w:rsidR="00FE7FEB" w:rsidRPr="004E7F7B" w:rsidRDefault="00902D3B" w:rsidP="004E7F7B">
      <w:pPr>
        <w:pStyle w:val="Balk3"/>
        <w:rPr>
          <w:rFonts w:ascii="Times New Roman" w:hAnsi="Times New Roman" w:cs="Times New Roman"/>
          <w:sz w:val="22"/>
          <w:szCs w:val="22"/>
        </w:rPr>
      </w:pPr>
      <w:bookmarkStart w:id="337" w:name="_Toc440363417"/>
      <w:bookmarkStart w:id="338" w:name="_Toc440363444"/>
      <w:bookmarkStart w:id="339" w:name="_Toc440364105"/>
      <w:bookmarkStart w:id="340" w:name="_Toc447286888"/>
      <w:bookmarkStart w:id="341" w:name="_Toc514251701"/>
      <w:bookmarkStart w:id="342" w:name="_Toc48817903"/>
      <w:r w:rsidRPr="004E7F7B">
        <w:rPr>
          <w:rFonts w:ascii="Times New Roman" w:hAnsi="Times New Roman" w:cs="Times New Roman"/>
          <w:sz w:val="22"/>
          <w:szCs w:val="22"/>
        </w:rPr>
        <w:t>9.2.4</w:t>
      </w:r>
      <w:r w:rsidR="00FE7FEB" w:rsidRPr="004E7F7B">
        <w:rPr>
          <w:rFonts w:ascii="Times New Roman" w:hAnsi="Times New Roman" w:cs="Times New Roman"/>
          <w:sz w:val="22"/>
          <w:szCs w:val="22"/>
        </w:rPr>
        <w:t>. Classification of Complaints and Realizations in Natural Gas Sector</w:t>
      </w:r>
      <w:bookmarkEnd w:id="337"/>
      <w:bookmarkEnd w:id="338"/>
      <w:bookmarkEnd w:id="339"/>
      <w:bookmarkEnd w:id="340"/>
      <w:bookmarkEnd w:id="341"/>
      <w:bookmarkEnd w:id="342"/>
    </w:p>
    <w:p w:rsidR="00FE7FEB" w:rsidRPr="004E7F7B" w:rsidRDefault="00FE7FEB" w:rsidP="00146B4A">
      <w:r w:rsidRPr="004E7F7B">
        <w:t>In order to establish the necessary procedures for the protection of consumer rights and consumers, sector specific classifications have been made under the complaint category, taking into consideration the relevant legislation. In natural gas sector, Subscription, Connection-Network, Meter, Quality, Customer Service, Billing, Price-Tariff, Category Not Selected and Complaint Document. Percentage distribution of notifications subject to the complaint category for this period, based on subclassifications, is given below.</w:t>
      </w:r>
    </w:p>
    <w:p w:rsidR="00FE7FEB" w:rsidRPr="004E7F7B" w:rsidRDefault="00FE7FEB" w:rsidP="004E7F7B">
      <w:pPr>
        <w:pStyle w:val="Balk5"/>
        <w:jc w:val="both"/>
        <w:rPr>
          <w:rFonts w:ascii="Times New Roman" w:hAnsi="Times New Roman" w:cs="Times New Roman"/>
        </w:rPr>
      </w:pPr>
      <w:bookmarkStart w:id="343" w:name="_Toc48818078"/>
      <w:r w:rsidRPr="004E7F7B">
        <w:rPr>
          <w:rFonts w:ascii="Times New Roman" w:hAnsi="Times New Roman" w:cs="Times New Roman"/>
        </w:rPr>
        <w:t>Figure 9.7: Percentage Distribution of Sub-classification of Complaints and Realizations in Natural Gas Sector</w:t>
      </w:r>
      <w:bookmarkEnd w:id="343"/>
    </w:p>
    <w:p w:rsidR="00FE7FEB" w:rsidRPr="004E7F7B" w:rsidRDefault="00FE7FEB" w:rsidP="00146B4A">
      <w:r w:rsidRPr="004E7F7B">
        <w:t xml:space="preserve"> </w:t>
      </w:r>
      <w:r w:rsidR="00C57F4D" w:rsidRPr="004E7F7B">
        <w:rPr>
          <w:lang w:val="tr-TR" w:eastAsia="tr-TR"/>
        </w:rPr>
        <w:drawing>
          <wp:inline distT="0" distB="0" distL="0" distR="0" wp14:anchorId="4F428740" wp14:editId="464B8E26">
            <wp:extent cx="6715125" cy="2743200"/>
            <wp:effectExtent l="0" t="0" r="9525" b="19050"/>
            <wp:docPr id="98" name="Grafik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FE0469" w:rsidRPr="004E7F7B">
        <w:t>*</w:t>
      </w:r>
      <w:r w:rsidR="00EB4EB2" w:rsidRPr="004E7F7B">
        <w:t>In the category “Other</w:t>
      </w:r>
      <w:r w:rsidRPr="004E7F7B">
        <w:t>”, there are various complaints related to more than one subject and the sum of the complaints with a very low percentage.</w:t>
      </w:r>
    </w:p>
    <w:p w:rsidR="00FE7FEB" w:rsidRPr="004E7F7B" w:rsidRDefault="00FE7FEB" w:rsidP="00146B4A">
      <w:r w:rsidRPr="004E7F7B">
        <w:t>In natural ga</w:t>
      </w:r>
      <w:r w:rsidR="00B43752" w:rsidRPr="004E7F7B">
        <w:t>s sector most complaints with 47</w:t>
      </w:r>
      <w:r w:rsidRPr="004E7F7B">
        <w:t>% are about the connection / service line. This is followed by metering instrument related costs. Percentage breakdown of reported notifications of natural gas sector by months are given below.</w:t>
      </w:r>
    </w:p>
    <w:p w:rsidR="00FE7FEB" w:rsidRPr="004E7F7B" w:rsidRDefault="00FE7FEB" w:rsidP="004E7F7B">
      <w:pPr>
        <w:spacing w:after="120" w:line="240" w:lineRule="auto"/>
        <w:ind w:left="708" w:firstLine="708"/>
        <w:rPr>
          <w:rFonts w:ascii="Times New Roman" w:hAnsi="Times New Roman" w:cs="Times New Roman"/>
        </w:rPr>
      </w:pPr>
    </w:p>
    <w:p w:rsidR="00FE7FEB" w:rsidRPr="004E7F7B" w:rsidRDefault="00FE7FEB" w:rsidP="004E7F7B">
      <w:pPr>
        <w:pStyle w:val="Balk5"/>
        <w:jc w:val="both"/>
        <w:rPr>
          <w:rFonts w:ascii="Times New Roman" w:hAnsi="Times New Roman" w:cs="Times New Roman"/>
        </w:rPr>
      </w:pPr>
      <w:bookmarkStart w:id="344" w:name="_Toc48818079"/>
      <w:r w:rsidRPr="004E7F7B">
        <w:rPr>
          <w:rFonts w:ascii="Times New Roman" w:hAnsi="Times New Roman" w:cs="Times New Roman"/>
        </w:rPr>
        <w:t>Figure 9.8: Percentage Distribution of Noticifications in the Natural Gas Sector by Months(%)</w:t>
      </w:r>
      <w:bookmarkEnd w:id="344"/>
    </w:p>
    <w:p w:rsidR="00FE7FEB" w:rsidRPr="004E7F7B" w:rsidRDefault="00EB4EB2" w:rsidP="004E7F7B">
      <w:pPr>
        <w:spacing w:after="120" w:line="240" w:lineRule="auto"/>
        <w:ind w:firstLine="708"/>
        <w:rPr>
          <w:rFonts w:ascii="Times New Roman" w:hAnsi="Times New Roman" w:cs="Times New Roman"/>
        </w:rPr>
      </w:pPr>
      <w:r w:rsidRPr="004E7F7B">
        <w:rPr>
          <w:rFonts w:ascii="Times New Roman" w:hAnsi="Times New Roman" w:cs="Times New Roman"/>
          <w:lang w:val="tr-TR" w:eastAsia="tr-TR"/>
        </w:rPr>
        <w:drawing>
          <wp:inline distT="0" distB="0" distL="0" distR="0" wp14:anchorId="7355CD9D" wp14:editId="2A5BFC87">
            <wp:extent cx="5972810" cy="2621915"/>
            <wp:effectExtent l="0" t="0" r="27940" b="26035"/>
            <wp:docPr id="99" name="Grafik 9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FE7FEB" w:rsidRPr="004E7F7B" w:rsidRDefault="00FE7FEB" w:rsidP="00146B4A">
      <w:pPr>
        <w:ind w:firstLine="708"/>
      </w:pPr>
      <w:r w:rsidRPr="004E7F7B">
        <w:t>Looking at the monthly realizations of the notifications, it is seen that t</w:t>
      </w:r>
      <w:r w:rsidR="00B43752" w:rsidRPr="004E7F7B">
        <w:t>he biggest share is 16% with Dec</w:t>
      </w:r>
      <w:r w:rsidRPr="004E7F7B">
        <w:t xml:space="preserve">ember, followed by </w:t>
      </w:r>
      <w:r w:rsidR="00B43752" w:rsidRPr="004E7F7B">
        <w:t>October and January</w:t>
      </w:r>
      <w:r w:rsidRPr="004E7F7B">
        <w:t>.</w:t>
      </w:r>
    </w:p>
    <w:p w:rsidR="00FE7FEB" w:rsidRPr="004E7F7B" w:rsidRDefault="00902D3B" w:rsidP="004E7F7B">
      <w:pPr>
        <w:pStyle w:val="Balk3"/>
        <w:rPr>
          <w:rFonts w:ascii="Times New Roman" w:hAnsi="Times New Roman" w:cs="Times New Roman"/>
          <w:sz w:val="22"/>
          <w:szCs w:val="22"/>
        </w:rPr>
      </w:pPr>
      <w:bookmarkStart w:id="345" w:name="_Toc48817904"/>
      <w:r w:rsidRPr="004E7F7B">
        <w:rPr>
          <w:rFonts w:ascii="Times New Roman" w:hAnsi="Times New Roman" w:cs="Times New Roman"/>
          <w:sz w:val="22"/>
          <w:szCs w:val="22"/>
        </w:rPr>
        <w:t>9.2.5</w:t>
      </w:r>
      <w:r w:rsidR="00FE7FEB" w:rsidRPr="004E7F7B">
        <w:rPr>
          <w:rFonts w:ascii="Times New Roman" w:hAnsi="Times New Roman" w:cs="Times New Roman"/>
          <w:sz w:val="22"/>
          <w:szCs w:val="22"/>
        </w:rPr>
        <w:t>. Cl</w:t>
      </w:r>
      <w:r w:rsidR="00FE0469" w:rsidRPr="004E7F7B">
        <w:rPr>
          <w:rFonts w:ascii="Times New Roman" w:hAnsi="Times New Roman" w:cs="Times New Roman"/>
          <w:sz w:val="22"/>
          <w:szCs w:val="22"/>
        </w:rPr>
        <w:t>assification of Complaints and R</w:t>
      </w:r>
      <w:r w:rsidR="00FE7FEB" w:rsidRPr="004E7F7B">
        <w:rPr>
          <w:rFonts w:ascii="Times New Roman" w:hAnsi="Times New Roman" w:cs="Times New Roman"/>
          <w:sz w:val="22"/>
          <w:szCs w:val="22"/>
        </w:rPr>
        <w:t>ealizations in the Petroleum Sector</w:t>
      </w:r>
      <w:bookmarkEnd w:id="345"/>
    </w:p>
    <w:p w:rsidR="00FE7FEB" w:rsidRPr="004E7F7B" w:rsidRDefault="00FE7FEB" w:rsidP="00146B4A">
      <w:r w:rsidRPr="004E7F7B">
        <w:t>Under the complaint category, sub-categories such as Fuel Price and Price Increases, Fuel contrary to Technical Regulations, Legislation / Recommendation, Customer Service and Quality, Differences in Prices in Pumps and Signs, Facility Security (establishment license, license basis documents, distance limit etc.) and Not Implementing Price Increase and Decrease in Time were deter</w:t>
      </w:r>
      <w:r w:rsidR="00B43752" w:rsidRPr="004E7F7B">
        <w:t>mined. During this period, 1,127</w:t>
      </w:r>
      <w:r w:rsidRPr="004E7F7B">
        <w:t xml:space="preserve"> complaints were process</w:t>
      </w:r>
      <w:r w:rsidR="00B43752" w:rsidRPr="004E7F7B">
        <w:t>ed. The petroleum sector has a 1</w:t>
      </w:r>
      <w:r w:rsidRPr="004E7F7B">
        <w:t>% share in the notifications received by the Institution.</w:t>
      </w:r>
      <w:r w:rsidR="00B43752" w:rsidRPr="004E7F7B">
        <w:t xml:space="preserve"> The distribution of the first 10 complaint categories based on sub-classifications for this period is given below.</w:t>
      </w:r>
    </w:p>
    <w:p w:rsidR="00B43752" w:rsidRPr="004E7F7B" w:rsidRDefault="00B43752" w:rsidP="004E7F7B">
      <w:pPr>
        <w:pStyle w:val="Balk5"/>
        <w:jc w:val="both"/>
        <w:rPr>
          <w:rFonts w:ascii="Times New Roman" w:hAnsi="Times New Roman" w:cs="Times New Roman"/>
        </w:rPr>
      </w:pPr>
      <w:bookmarkStart w:id="346" w:name="_Toc48818080"/>
      <w:r w:rsidRPr="004E7F7B">
        <w:rPr>
          <w:rFonts w:ascii="Times New Roman" w:hAnsi="Times New Roman" w:cs="Times New Roman"/>
        </w:rPr>
        <w:t>Figure 9.9: Percentage Distribution of Subclassification of Complaints in the Petroleum Industry</w:t>
      </w:r>
      <w:bookmarkEnd w:id="346"/>
    </w:p>
    <w:p w:rsidR="00B43752" w:rsidRPr="004E7F7B" w:rsidRDefault="00BD2064" w:rsidP="004E7F7B">
      <w:pPr>
        <w:rPr>
          <w:rFonts w:ascii="Times New Roman" w:hAnsi="Times New Roman" w:cs="Times New Roman"/>
        </w:rPr>
      </w:pPr>
      <w:r w:rsidRPr="004E7F7B">
        <w:rPr>
          <w:rFonts w:ascii="Times New Roman" w:hAnsi="Times New Roman" w:cs="Times New Roman"/>
          <w:lang w:val="tr-TR" w:eastAsia="tr-TR"/>
        </w:rPr>
        <w:drawing>
          <wp:inline distT="0" distB="0" distL="0" distR="0" wp14:anchorId="7A684764" wp14:editId="7D6F4C11">
            <wp:extent cx="5972810" cy="2530475"/>
            <wp:effectExtent l="0" t="0" r="27940" b="22225"/>
            <wp:docPr id="100" name="Grafik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FE7FEB" w:rsidRPr="004E7F7B" w:rsidRDefault="00902D3B" w:rsidP="004E7F7B">
      <w:pPr>
        <w:pStyle w:val="Balk3"/>
        <w:rPr>
          <w:rFonts w:ascii="Times New Roman" w:hAnsi="Times New Roman" w:cs="Times New Roman"/>
          <w:sz w:val="22"/>
          <w:szCs w:val="22"/>
        </w:rPr>
      </w:pPr>
      <w:bookmarkStart w:id="347" w:name="_Toc48817905"/>
      <w:r w:rsidRPr="004E7F7B">
        <w:rPr>
          <w:rFonts w:ascii="Times New Roman" w:hAnsi="Times New Roman" w:cs="Times New Roman"/>
          <w:sz w:val="22"/>
          <w:szCs w:val="22"/>
        </w:rPr>
        <w:t>9.2.6</w:t>
      </w:r>
      <w:r w:rsidR="00FE7FEB" w:rsidRPr="004E7F7B">
        <w:rPr>
          <w:rFonts w:ascii="Times New Roman" w:hAnsi="Times New Roman" w:cs="Times New Roman"/>
          <w:sz w:val="22"/>
          <w:szCs w:val="22"/>
        </w:rPr>
        <w:t>. Classification and Realizations of Liquefied Petroleum Gases (LPG) Complaints</w:t>
      </w:r>
      <w:bookmarkEnd w:id="347"/>
    </w:p>
    <w:p w:rsidR="00F72F55" w:rsidRPr="004E7F7B" w:rsidRDefault="00FE7FEB" w:rsidP="00146B4A">
      <w:r w:rsidRPr="004E7F7B">
        <w:t>Within the scope of consumer rights and protection of consumers based on the relevant legislation, LPG Price and Price Increases under the Complaint category, LPG in contradiction to Technical Regulations, Legislation / Recommendation (license to open a business, license based on license, distance limit etc.), Customer Service and Quality, Pump and Sign Sub-categories such as Price Differences, Facility Security, and Timely Implementation of Price Increases and Declines were identified.</w:t>
      </w:r>
      <w:r w:rsidR="00B43752" w:rsidRPr="004E7F7B">
        <w:t xml:space="preserve"> </w:t>
      </w:r>
      <w:r w:rsidR="00F72F55" w:rsidRPr="004E7F7B">
        <w:t>During this period, 689 complaints were processed. The LPG sector has a 1% share in the notifications received by the Institution. The distribution of the first 10 complaint categories based on sub-classifications for this period is given below.</w:t>
      </w:r>
    </w:p>
    <w:p w:rsidR="005078F3" w:rsidRPr="004E7F7B" w:rsidRDefault="00F72F55" w:rsidP="004E7F7B">
      <w:pPr>
        <w:pStyle w:val="Balk5"/>
        <w:jc w:val="both"/>
        <w:rPr>
          <w:rFonts w:ascii="Times New Roman" w:hAnsi="Times New Roman" w:cs="Times New Roman"/>
        </w:rPr>
      </w:pPr>
      <w:bookmarkStart w:id="348" w:name="_Toc48818081"/>
      <w:r w:rsidRPr="004E7F7B">
        <w:rPr>
          <w:rFonts w:ascii="Times New Roman" w:hAnsi="Times New Roman" w:cs="Times New Roman"/>
        </w:rPr>
        <w:t>Figure 9.10: Percentage Distribution of Subclassification of Complaints in the LPG Industry</w:t>
      </w:r>
      <w:bookmarkEnd w:id="348"/>
    </w:p>
    <w:p w:rsidR="00FE7FEB" w:rsidRPr="004E7F7B" w:rsidRDefault="0095307D" w:rsidP="004E7F7B">
      <w:pPr>
        <w:spacing w:line="240" w:lineRule="auto"/>
        <w:rPr>
          <w:rFonts w:ascii="Times New Roman" w:hAnsi="Times New Roman" w:cs="Times New Roman"/>
        </w:rPr>
      </w:pPr>
      <w:r w:rsidRPr="004E7F7B">
        <w:rPr>
          <w:rFonts w:ascii="Times New Roman" w:hAnsi="Times New Roman" w:cs="Times New Roman"/>
          <w:lang w:val="tr-TR" w:eastAsia="tr-TR"/>
        </w:rPr>
        <w:drawing>
          <wp:inline distT="0" distB="0" distL="0" distR="0" wp14:anchorId="29E5F897" wp14:editId="40E328BF">
            <wp:extent cx="5972810" cy="2450465"/>
            <wp:effectExtent l="0" t="0" r="27940" b="26035"/>
            <wp:docPr id="105" name="Grafik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349" w:name="_Toc48817906"/>
      <w:r w:rsidRPr="004E7F7B">
        <w:rPr>
          <w:rFonts w:ascii="Times New Roman" w:hAnsi="Times New Roman" w:cs="Times New Roman"/>
          <w:sz w:val="22"/>
          <w:szCs w:val="22"/>
        </w:rPr>
        <w:t>10. PRESS AND PUBLIC RELATIONS</w:t>
      </w:r>
      <w:bookmarkEnd w:id="349"/>
    </w:p>
    <w:p w:rsidR="00FE7FEB" w:rsidRPr="004E7F7B" w:rsidRDefault="00FE7FEB" w:rsidP="00146B4A">
      <w:pPr>
        <w:rPr>
          <w:lang w:eastAsia="tr-TR"/>
        </w:rPr>
      </w:pPr>
      <w:r w:rsidRPr="004E7F7B">
        <w:rPr>
          <w:lang w:eastAsia="tr-TR"/>
        </w:rPr>
        <w:t>In the year of 2018, besides the follow-up and evaluation of the publications related to the energy sector and the activities of EMRA and answering the written and oral questions directed to the Authority by press members, public information activities were carried out about Electricity, Natural Gas, Petroleu and LPG sectors and other organization duties assigned by the President were fulfilled.</w:t>
      </w:r>
    </w:p>
    <w:p w:rsidR="00FE7FEB" w:rsidRPr="004E7F7B" w:rsidRDefault="00FE7FEB" w:rsidP="00146B4A">
      <w:pPr>
        <w:rPr>
          <w:lang w:eastAsia="tr-TR"/>
        </w:rPr>
      </w:pPr>
      <w:r w:rsidRPr="004E7F7B">
        <w:rPr>
          <w:lang w:eastAsia="tr-TR"/>
        </w:rPr>
        <w:t>News texts about the activities of the Authority were created and the public was informed through media organizations and press statements were made when necessary. Board Decisions about the consumer rights and which need to be informed to the public, have been turned into news and public information has been publicized through the media channels.</w:t>
      </w:r>
    </w:p>
    <w:p w:rsidR="00FE7FEB" w:rsidRPr="004E7F7B" w:rsidRDefault="00FE7FEB" w:rsidP="00146B4A">
      <w:pPr>
        <w:rPr>
          <w:lang w:eastAsia="tr-TR"/>
        </w:rPr>
      </w:pPr>
      <w:r w:rsidRPr="004E7F7B">
        <w:rPr>
          <w:lang w:eastAsia="tr-TR"/>
        </w:rPr>
        <w:t xml:space="preserve">Organizations were made for meetings in which the associations active in the enrgy sector, President of EMRA, Board Members and staff of the related service units participated. </w:t>
      </w:r>
    </w:p>
    <w:p w:rsidR="00FE7FEB" w:rsidRPr="004E7F7B" w:rsidRDefault="00FE7FEB" w:rsidP="00146B4A">
      <w:pPr>
        <w:rPr>
          <w:lang w:eastAsia="tr-TR"/>
        </w:rPr>
      </w:pPr>
      <w:r w:rsidRPr="004E7F7B">
        <w:rPr>
          <w:lang w:eastAsia="tr-TR"/>
        </w:rPr>
        <w:t>In the beginning of 201</w:t>
      </w:r>
      <w:r w:rsidR="00F72F55" w:rsidRPr="004E7F7B">
        <w:rPr>
          <w:lang w:eastAsia="tr-TR"/>
        </w:rPr>
        <w:t>9</w:t>
      </w:r>
      <w:r w:rsidRPr="004E7F7B">
        <w:rPr>
          <w:lang w:eastAsia="tr-TR"/>
        </w:rPr>
        <w:t xml:space="preserve">, approximately </w:t>
      </w:r>
      <w:r w:rsidR="00F72F55" w:rsidRPr="004E7F7B">
        <w:rPr>
          <w:b/>
          <w:bCs/>
          <w:lang w:eastAsia="tr-TR"/>
        </w:rPr>
        <w:t>8.756</w:t>
      </w:r>
      <w:r w:rsidRPr="004E7F7B">
        <w:rPr>
          <w:lang w:eastAsia="tr-TR"/>
        </w:rPr>
        <w:t xml:space="preserve"> written press reports and </w:t>
      </w:r>
      <w:r w:rsidR="00F72F55" w:rsidRPr="004E7F7B">
        <w:rPr>
          <w:b/>
          <w:bCs/>
          <w:lang w:eastAsia="tr-TR"/>
        </w:rPr>
        <w:t>2.473</w:t>
      </w:r>
      <w:r w:rsidRPr="004E7F7B">
        <w:rPr>
          <w:lang w:eastAsia="tr-TR"/>
        </w:rPr>
        <w:t xml:space="preserve"> TV reports were published for EPDK. </w:t>
      </w:r>
      <w:r w:rsidR="00F72F55" w:rsidRPr="004E7F7B">
        <w:rPr>
          <w:b/>
          <w:lang w:eastAsia="tr-TR"/>
        </w:rPr>
        <w:t xml:space="preserve">8 </w:t>
      </w:r>
      <w:r w:rsidRPr="004E7F7B">
        <w:rPr>
          <w:lang w:eastAsia="tr-TR"/>
        </w:rPr>
        <w:t xml:space="preserve">press releases have been published on behalf of the institution. President of EMRA participated in </w:t>
      </w:r>
      <w:r w:rsidR="00F72F55" w:rsidRPr="004E7F7B">
        <w:rPr>
          <w:b/>
          <w:bCs/>
          <w:lang w:eastAsia="tr-TR"/>
        </w:rPr>
        <w:t>23</w:t>
      </w:r>
      <w:r w:rsidRPr="004E7F7B">
        <w:rPr>
          <w:lang w:eastAsia="tr-TR"/>
        </w:rPr>
        <w:t xml:space="preserve"> programs accesible to press (conferences, meetings, live TV broadcasts) as speaker.</w:t>
      </w:r>
    </w:p>
    <w:p w:rsidR="00FE7FEB" w:rsidRPr="004E7F7B" w:rsidRDefault="00FE7FEB" w:rsidP="00146B4A">
      <w:pPr>
        <w:rPr>
          <w:lang w:eastAsia="tr-TR"/>
        </w:rPr>
      </w:pPr>
      <w:r w:rsidRPr="004E7F7B">
        <w:rPr>
          <w:lang w:eastAsia="tr-TR"/>
        </w:rPr>
        <w:t>Providing a cooperation platform for all corporate communicators working in the energy sector in order to provide the fastest, accurate and effective information to the public in the energy sector, to implement social responsibility projects that will increase the prestige of the sector and to develop communication methods that will increase consumer satisfaction to better levels; The efforts to establish the Energy Communication Group have started with the support of the Ministry o</w:t>
      </w:r>
      <w:r w:rsidR="00A7579B" w:rsidRPr="004E7F7B">
        <w:rPr>
          <w:lang w:eastAsia="tr-TR"/>
        </w:rPr>
        <w:t>f Energy and Natural Resources.</w:t>
      </w:r>
    </w:p>
    <w:p w:rsidR="00902D3B" w:rsidRPr="004E7F7B" w:rsidRDefault="00902D3B" w:rsidP="004E7F7B">
      <w:pPr>
        <w:rPr>
          <w:rFonts w:ascii="Times New Roman" w:eastAsiaTheme="majorEastAsia" w:hAnsi="Times New Roman" w:cs="Times New Roman"/>
          <w:b/>
        </w:rPr>
      </w:pPr>
      <w:bookmarkStart w:id="350" w:name="_Toc514251710"/>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351" w:name="_Toc48817907"/>
      <w:r w:rsidRPr="004E7F7B">
        <w:rPr>
          <w:rFonts w:ascii="Times New Roman" w:hAnsi="Times New Roman" w:cs="Times New Roman"/>
          <w:sz w:val="22"/>
          <w:szCs w:val="22"/>
        </w:rPr>
        <w:t>11. RELATIONS WITH OTHER INSTITUTIONS</w:t>
      </w:r>
      <w:bookmarkEnd w:id="351"/>
    </w:p>
    <w:p w:rsidR="00F72F55" w:rsidRPr="004E7F7B" w:rsidRDefault="00F72F55" w:rsidP="004E7F7B">
      <w:pPr>
        <w:rPr>
          <w:rFonts w:ascii="Times New Roman" w:hAnsi="Times New Roman" w:cs="Times New Roman"/>
        </w:rPr>
      </w:pPr>
    </w:p>
    <w:p w:rsidR="00FE7FEB" w:rsidRPr="004E7F7B" w:rsidRDefault="00FE7FEB" w:rsidP="004E7F7B">
      <w:pPr>
        <w:rPr>
          <w:rFonts w:ascii="Times New Roman" w:hAnsi="Times New Roman" w:cs="Times New Roman"/>
          <w:b/>
        </w:rPr>
      </w:pPr>
      <w:r w:rsidRPr="004E7F7B">
        <w:rPr>
          <w:rFonts w:ascii="Times New Roman" w:hAnsi="Times New Roman" w:cs="Times New Roman"/>
          <w:b/>
        </w:rPr>
        <w:t>Parliamentary Question Received via the Ministry</w:t>
      </w:r>
      <w:bookmarkEnd w:id="350"/>
    </w:p>
    <w:p w:rsidR="00FE7FEB" w:rsidRPr="004E7F7B" w:rsidRDefault="00FE7FEB" w:rsidP="00146B4A">
      <w:r w:rsidRPr="004E7F7B">
        <w:t>Answers to the request of</w:t>
      </w:r>
      <w:r w:rsidR="00F72F55" w:rsidRPr="004E7F7B">
        <w:t xml:space="preserve"> 79</w:t>
      </w:r>
      <w:r w:rsidRPr="004E7F7B">
        <w:t xml:space="preserve"> Parliamentary Questions from the Grand National Assemb</w:t>
      </w:r>
      <w:r w:rsidR="00F72F55" w:rsidRPr="004E7F7B">
        <w:t>ly of Turkey was created in 2019</w:t>
      </w:r>
      <w:r w:rsidRPr="004E7F7B">
        <w:t>. The distribution of such qu</w:t>
      </w:r>
      <w:r w:rsidR="00A7579B" w:rsidRPr="004E7F7B">
        <w:t xml:space="preserve">estions is shown in Table 11.1 </w:t>
      </w:r>
    </w:p>
    <w:p w:rsidR="00FE7FEB" w:rsidRPr="004E7F7B" w:rsidRDefault="00FE7FEB" w:rsidP="004E7F7B">
      <w:pPr>
        <w:pStyle w:val="Balk5"/>
        <w:jc w:val="both"/>
        <w:rPr>
          <w:rFonts w:ascii="Times New Roman" w:hAnsi="Times New Roman" w:cs="Times New Roman"/>
        </w:rPr>
      </w:pPr>
      <w:bookmarkStart w:id="352" w:name="_Toc512874185"/>
      <w:bookmarkStart w:id="353" w:name="_Toc48818082"/>
      <w:r w:rsidRPr="004E7F7B">
        <w:rPr>
          <w:rStyle w:val="Gl"/>
          <w:rFonts w:ascii="Times New Roman" w:hAnsi="Times New Roman" w:cs="Times New Roman"/>
          <w:b/>
          <w:bCs w:val="0"/>
        </w:rPr>
        <w:t>Table 11.1: Parliame</w:t>
      </w:r>
      <w:r w:rsidR="00F72F55" w:rsidRPr="004E7F7B">
        <w:rPr>
          <w:rStyle w:val="Gl"/>
          <w:rFonts w:ascii="Times New Roman" w:hAnsi="Times New Roman" w:cs="Times New Roman"/>
          <w:b/>
          <w:bCs w:val="0"/>
        </w:rPr>
        <w:t>ntary Questions Received in 2019</w:t>
      </w:r>
      <w:r w:rsidRPr="004E7F7B">
        <w:rPr>
          <w:rStyle w:val="Gl"/>
          <w:rFonts w:ascii="Times New Roman" w:hAnsi="Times New Roman" w:cs="Times New Roman"/>
          <w:b/>
          <w:bCs w:val="0"/>
        </w:rPr>
        <w:t xml:space="preserve"> by s</w:t>
      </w:r>
      <w:bookmarkEnd w:id="352"/>
      <w:r w:rsidRPr="004E7F7B">
        <w:rPr>
          <w:rStyle w:val="Gl"/>
          <w:rFonts w:ascii="Times New Roman" w:hAnsi="Times New Roman" w:cs="Times New Roman"/>
          <w:b/>
          <w:bCs w:val="0"/>
        </w:rPr>
        <w:t>ubject</w:t>
      </w:r>
      <w:bookmarkEnd w:id="353"/>
    </w:p>
    <w:tbl>
      <w:tblPr>
        <w:tblW w:w="5314"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8784"/>
        <w:gridCol w:w="1361"/>
      </w:tblGrid>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A7579B" w:rsidRPr="004E7F7B" w:rsidRDefault="00A7579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color w:val="FFFFFF" w:themeColor="background1"/>
                <w:lang w:eastAsia="tr-TR"/>
              </w:rPr>
              <w:t>Content of the Parliamentary Question</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A7579B" w:rsidRPr="004E7F7B" w:rsidRDefault="00A7579B" w:rsidP="004E7F7B">
            <w:pPr>
              <w:spacing w:after="0" w:line="240" w:lineRule="auto"/>
              <w:rPr>
                <w:rFonts w:ascii="Times New Roman" w:eastAsia="Times New Roman" w:hAnsi="Times New Roman" w:cs="Times New Roman"/>
                <w:b/>
                <w:bCs/>
                <w:color w:val="FFFFFF"/>
                <w:lang w:eastAsia="tr-TR"/>
              </w:rPr>
            </w:pPr>
            <w:r w:rsidRPr="004E7F7B">
              <w:rPr>
                <w:rFonts w:ascii="Times New Roman" w:eastAsia="Times New Roman" w:hAnsi="Times New Roman" w:cs="Times New Roman"/>
                <w:b/>
                <w:bCs/>
                <w:color w:val="FFFFFF"/>
                <w:lang w:eastAsia="tr-TR"/>
              </w:rPr>
              <w:t>Number</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Electricity Disconnections</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27</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Tariff Regulations</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25</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Loss-Leakage and its effect on electricity tariff</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6</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Licensing and license informations</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4</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Renewable Energy</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3</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EPDK Work and Operations</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Others</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20</w:t>
            </w:r>
          </w:p>
        </w:tc>
      </w:tr>
      <w:tr w:rsidR="00A7579B" w:rsidRPr="004E7F7B" w:rsidTr="00A7579B">
        <w:trPr>
          <w:trHeight w:val="321"/>
        </w:trPr>
        <w:tc>
          <w:tcPr>
            <w:tcW w:w="43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noWrap/>
            <w:vAlign w:val="center"/>
            <w:hideMark/>
          </w:tcPr>
          <w:p w:rsidR="00A7579B" w:rsidRPr="004E7F7B" w:rsidRDefault="00A7579B" w:rsidP="004E7F7B">
            <w:pPr>
              <w:spacing w:after="0" w:line="240" w:lineRule="auto"/>
              <w:rPr>
                <w:rFonts w:ascii="Times New Roman" w:eastAsia="Times New Roman" w:hAnsi="Times New Roman" w:cs="Times New Roman"/>
                <w:color w:val="000000"/>
                <w:lang w:eastAsia="tr-TR"/>
              </w:rPr>
            </w:pPr>
            <w:r w:rsidRPr="004E7F7B">
              <w:rPr>
                <w:rFonts w:ascii="Times New Roman" w:eastAsia="Times New Roman" w:hAnsi="Times New Roman" w:cs="Times New Roman"/>
                <w:color w:val="000000"/>
                <w:lang w:eastAsia="tr-TR"/>
              </w:rPr>
              <w:t>Total</w:t>
            </w:r>
          </w:p>
        </w:tc>
        <w:tc>
          <w:tcPr>
            <w:tcW w:w="67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A7579B" w:rsidRPr="004E7F7B" w:rsidRDefault="00A7579B" w:rsidP="004E7F7B">
            <w:pPr>
              <w:spacing w:after="0" w:line="240" w:lineRule="auto"/>
              <w:rPr>
                <w:rFonts w:ascii="Times New Roman" w:eastAsia="Times New Roman" w:hAnsi="Times New Roman" w:cs="Times New Roman"/>
                <w:b/>
                <w:bCs/>
                <w:color w:val="000000"/>
                <w:lang w:eastAsia="tr-TR"/>
              </w:rPr>
            </w:pPr>
            <w:r w:rsidRPr="004E7F7B">
              <w:rPr>
                <w:rFonts w:ascii="Times New Roman" w:eastAsia="Times New Roman" w:hAnsi="Times New Roman" w:cs="Times New Roman"/>
                <w:b/>
                <w:bCs/>
                <w:color w:val="000000"/>
                <w:lang w:eastAsia="tr-TR"/>
              </w:rPr>
              <w:t>97</w:t>
            </w:r>
          </w:p>
        </w:tc>
      </w:tr>
    </w:tbl>
    <w:p w:rsidR="00FE7FEB" w:rsidRPr="004E7F7B" w:rsidRDefault="00FE7FEB" w:rsidP="004E7F7B">
      <w:pPr>
        <w:pStyle w:val="AralkYok"/>
        <w:jc w:val="both"/>
        <w:rPr>
          <w:rFonts w:ascii="Times New Roman" w:hAnsi="Times New Roman" w:cs="Times New Roman"/>
        </w:rPr>
      </w:pPr>
    </w:p>
    <w:p w:rsidR="00FE7FEB" w:rsidRPr="004E7F7B" w:rsidRDefault="00FE7FEB" w:rsidP="004E7F7B">
      <w:pPr>
        <w:pStyle w:val="Balk5"/>
        <w:jc w:val="both"/>
        <w:rPr>
          <w:rFonts w:ascii="Times New Roman" w:hAnsi="Times New Roman" w:cs="Times New Roman"/>
        </w:rPr>
      </w:pPr>
      <w:bookmarkStart w:id="354" w:name="_Toc48818083"/>
      <w:r w:rsidRPr="004E7F7B">
        <w:rPr>
          <w:rFonts w:ascii="Times New Roman" w:hAnsi="Times New Roman" w:cs="Times New Roman"/>
        </w:rPr>
        <w:t>Figure 11.1: Percentage Distributi</w:t>
      </w:r>
      <w:r w:rsidR="00A7579B" w:rsidRPr="004E7F7B">
        <w:rPr>
          <w:rFonts w:ascii="Times New Roman" w:hAnsi="Times New Roman" w:cs="Times New Roman"/>
        </w:rPr>
        <w:t>on of Question Proposals in 2019</w:t>
      </w:r>
      <w:r w:rsidRPr="004E7F7B">
        <w:rPr>
          <w:rFonts w:ascii="Times New Roman" w:hAnsi="Times New Roman" w:cs="Times New Roman"/>
        </w:rPr>
        <w:t xml:space="preserve"> by Subject</w:t>
      </w:r>
      <w:bookmarkEnd w:id="354"/>
    </w:p>
    <w:p w:rsidR="00FE7FEB" w:rsidRPr="004E7F7B" w:rsidRDefault="00136C75" w:rsidP="004E7F7B">
      <w:pPr>
        <w:ind w:firstLine="708"/>
        <w:rPr>
          <w:rFonts w:ascii="Times New Roman" w:hAnsi="Times New Roman" w:cs="Times New Roman"/>
          <w:b/>
          <w:bCs/>
        </w:rPr>
      </w:pPr>
      <w:r w:rsidRPr="004E7F7B">
        <w:rPr>
          <w:rFonts w:ascii="Times New Roman" w:hAnsi="Times New Roman" w:cs="Times New Roman"/>
          <w:lang w:val="tr-TR" w:eastAsia="tr-TR"/>
        </w:rPr>
        <w:drawing>
          <wp:inline distT="0" distB="0" distL="0" distR="0" wp14:anchorId="0FB41968" wp14:editId="188E8179">
            <wp:extent cx="5505450" cy="4110038"/>
            <wp:effectExtent l="0" t="0" r="19050" b="24130"/>
            <wp:docPr id="108" name="Grafik 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E7FEB" w:rsidRPr="004E7F7B" w:rsidRDefault="00FE7FEB" w:rsidP="004E7F7B">
      <w:pPr>
        <w:rPr>
          <w:rFonts w:ascii="Times New Roman" w:hAnsi="Times New Roman" w:cs="Times New Roman"/>
          <w:b/>
          <w:bCs/>
        </w:rPr>
      </w:pPr>
    </w:p>
    <w:p w:rsidR="00A7579B" w:rsidRPr="004E7F7B" w:rsidRDefault="00FE7FEB" w:rsidP="004E7F7B">
      <w:pPr>
        <w:pStyle w:val="Balk1"/>
        <w:rPr>
          <w:rFonts w:ascii="Times New Roman" w:hAnsi="Times New Roman" w:cs="Times New Roman"/>
          <w:sz w:val="22"/>
          <w:szCs w:val="22"/>
        </w:rPr>
      </w:pPr>
      <w:bookmarkStart w:id="355" w:name="_Toc48817908"/>
      <w:r w:rsidRPr="004E7F7B">
        <w:rPr>
          <w:rFonts w:ascii="Times New Roman" w:hAnsi="Times New Roman" w:cs="Times New Roman"/>
          <w:sz w:val="22"/>
          <w:szCs w:val="22"/>
        </w:rPr>
        <w:t>12.  EXTERNAL RELATIONS</w:t>
      </w:r>
      <w:bookmarkEnd w:id="355"/>
    </w:p>
    <w:p w:rsidR="00A62341" w:rsidRPr="004E7F7B" w:rsidRDefault="00A62341" w:rsidP="00146B4A">
      <w:r w:rsidRPr="004E7F7B">
        <w:t>The activities of the institution related to foreign relations are carried out within the framework of the “EMRA Foreign Relations Strategy” document adopted within the scope of the vision of “becoming a value creating institution with its expertise in regional and international energy markets”.</w:t>
      </w:r>
    </w:p>
    <w:p w:rsidR="00A62341" w:rsidRPr="004E7F7B" w:rsidRDefault="00A62341" w:rsidP="00146B4A">
      <w:r w:rsidRPr="004E7F7B">
        <w:t>In this context, in the oversees events we participated emphasize was given to the introduction of our energy market as well as to the demonstration of our knowledge, expertise and experiences in energy and energy regulation.</w:t>
      </w:r>
    </w:p>
    <w:p w:rsidR="00FE7FEB" w:rsidRPr="004E7F7B" w:rsidRDefault="00A7579B" w:rsidP="004E7F7B">
      <w:pPr>
        <w:spacing w:after="120" w:line="240" w:lineRule="auto"/>
        <w:rPr>
          <w:rFonts w:ascii="Times New Roman" w:hAnsi="Times New Roman" w:cs="Times New Roman"/>
        </w:rPr>
      </w:pPr>
      <w:r w:rsidRPr="004E7F7B">
        <w:rPr>
          <w:rFonts w:ascii="Times New Roman" w:hAnsi="Times New Roman" w:cs="Times New Roman"/>
        </w:rPr>
        <w:t>In 2019, t</w:t>
      </w:r>
      <w:r w:rsidR="00FE7FEB" w:rsidRPr="004E7F7B">
        <w:rPr>
          <w:rFonts w:ascii="Times New Roman" w:hAnsi="Times New Roman" w:cs="Times New Roman"/>
        </w:rPr>
        <w:t>he Authority conducts its external relations activities in five main axis:</w:t>
      </w:r>
    </w:p>
    <w:p w:rsidR="00FE7FEB" w:rsidRPr="004E7F7B" w:rsidRDefault="00FE7FEB" w:rsidP="00146B4A">
      <w:r w:rsidRPr="004E7F7B">
        <w:t>1.</w:t>
      </w:r>
      <w:r w:rsidRPr="004E7F7B">
        <w:tab/>
        <w:t>Relations with the regional associations to which EMRA is a member.</w:t>
      </w:r>
    </w:p>
    <w:p w:rsidR="00FE7FEB" w:rsidRPr="004E7F7B" w:rsidRDefault="00FE7FEB" w:rsidP="00146B4A">
      <w:r w:rsidRPr="004E7F7B">
        <w:t>2.</w:t>
      </w:r>
      <w:r w:rsidRPr="004E7F7B">
        <w:tab/>
        <w:t>Bilateral relations</w:t>
      </w:r>
    </w:p>
    <w:p w:rsidR="00FE7FEB" w:rsidRPr="004E7F7B" w:rsidRDefault="00FE7FEB" w:rsidP="00146B4A">
      <w:r w:rsidRPr="004E7F7B">
        <w:t>3.</w:t>
      </w:r>
      <w:r w:rsidRPr="004E7F7B">
        <w:tab/>
        <w:t>The activities under the European Union harmonization process</w:t>
      </w:r>
    </w:p>
    <w:p w:rsidR="00FE7FEB" w:rsidRPr="004E7F7B" w:rsidRDefault="00FE7FEB" w:rsidP="00146B4A">
      <w:r w:rsidRPr="004E7F7B">
        <w:t>4.</w:t>
      </w:r>
      <w:r w:rsidRPr="004E7F7B">
        <w:tab/>
        <w:t xml:space="preserve">Studies which are conducted in the areas of responsibility of EMRA within the processes where our country is a part of or in relation with. </w:t>
      </w:r>
    </w:p>
    <w:p w:rsidR="00A62341" w:rsidRPr="004E7F7B" w:rsidRDefault="00FE7FEB" w:rsidP="00146B4A">
      <w:r w:rsidRPr="004E7F7B">
        <w:t>5.</w:t>
      </w:r>
      <w:r w:rsidRPr="004E7F7B">
        <w:tab/>
        <w:t>Monitoring and reporting of the development sin the</w:t>
      </w:r>
      <w:r w:rsidR="00A62341" w:rsidRPr="004E7F7B">
        <w:t xml:space="preserve"> international energy markets. </w:t>
      </w:r>
    </w:p>
    <w:p w:rsidR="00A62341" w:rsidRPr="004E7F7B" w:rsidRDefault="00A62341" w:rsidP="004E7F7B">
      <w:pPr>
        <w:spacing w:after="120" w:line="240" w:lineRule="auto"/>
        <w:rPr>
          <w:rFonts w:ascii="Times New Roman" w:hAnsi="Times New Roman" w:cs="Times New Roman"/>
        </w:rPr>
      </w:pPr>
    </w:p>
    <w:p w:rsidR="00A62341" w:rsidRPr="004E7F7B" w:rsidRDefault="00A62341" w:rsidP="004E7F7B">
      <w:pPr>
        <w:spacing w:after="120" w:line="240" w:lineRule="auto"/>
        <w:rPr>
          <w:rFonts w:ascii="Times New Roman" w:hAnsi="Times New Roman" w:cs="Times New Roman"/>
        </w:rPr>
      </w:pPr>
    </w:p>
    <w:p w:rsidR="00FE7FEB" w:rsidRPr="004E7F7B" w:rsidRDefault="00FE7FEB" w:rsidP="004E7F7B">
      <w:pPr>
        <w:pStyle w:val="Balk2"/>
        <w:rPr>
          <w:rFonts w:ascii="Times New Roman" w:hAnsi="Times New Roman" w:cs="Times New Roman"/>
          <w:sz w:val="22"/>
          <w:szCs w:val="22"/>
        </w:rPr>
      </w:pPr>
      <w:bookmarkStart w:id="356" w:name="_Toc48817909"/>
      <w:r w:rsidRPr="004E7F7B">
        <w:rPr>
          <w:rFonts w:ascii="Times New Roman" w:hAnsi="Times New Roman" w:cs="Times New Roman"/>
          <w:sz w:val="22"/>
          <w:szCs w:val="22"/>
        </w:rPr>
        <w:t>12.1. Relations with the Regional Associations of which EMRA is a Member</w:t>
      </w:r>
      <w:bookmarkEnd w:id="356"/>
      <w:r w:rsidRPr="004E7F7B">
        <w:rPr>
          <w:rFonts w:ascii="Times New Roman" w:hAnsi="Times New Roman" w:cs="Times New Roman"/>
          <w:sz w:val="22"/>
          <w:szCs w:val="22"/>
        </w:rPr>
        <w:t xml:space="preserve"> </w:t>
      </w:r>
    </w:p>
    <w:p w:rsidR="00FE7FEB" w:rsidRPr="00146B4A" w:rsidRDefault="00FE7FEB" w:rsidP="00146B4A">
      <w:r w:rsidRPr="00146B4A">
        <w:t>The Authority is a member of the Energy Regulators Regional Association (ERRA) and the Association of Mediterranean Regulators for Electricity and Gas (MEDREG) and observer to the Energy Comunity Regulatory Board (ECRB). At the same time, EMRA is represented in the Steering Committee of ICER as the Chair of Gas and Other Fuels Working Group.</w:t>
      </w:r>
    </w:p>
    <w:p w:rsidR="00FE7FEB" w:rsidRPr="00146B4A" w:rsidRDefault="00FE7FEB" w:rsidP="00146B4A">
      <w:r w:rsidRPr="00146B4A">
        <w:t>In ERRA, where our Chairman serves as a Board Member, our Agency representatives actively participate in ERRA's activities and have a directing effect.</w:t>
      </w:r>
    </w:p>
    <w:p w:rsidR="00FE7FEB" w:rsidRPr="00146B4A" w:rsidRDefault="00FE7FEB" w:rsidP="00146B4A">
      <w:r w:rsidRPr="00146B4A">
        <w:t>ERRA’s activities have been followed and directed as much as possible by the staff members of the Presidents’ Committee, the License / Competition Committee, the Tariff / Pricing Committee, the Customer and Retail Market Working Group. In 201</w:t>
      </w:r>
      <w:r w:rsidR="00A62341" w:rsidRPr="00146B4A">
        <w:t>9</w:t>
      </w:r>
      <w:r w:rsidRPr="00146B4A">
        <w:t>, ERRA Vice President of the License and Competition Committee was successfully maintained by the staff of EMRA assigned.</w:t>
      </w:r>
    </w:p>
    <w:p w:rsidR="00FE7FEB" w:rsidRPr="00146B4A" w:rsidRDefault="00FE7FEB" w:rsidP="00146B4A">
      <w:r w:rsidRPr="00146B4A">
        <w:t>The staff of EMRA attended the trainings organized by ERRA both as trainees and trainers</w:t>
      </w:r>
      <w:r w:rsidR="00651F3E" w:rsidRPr="00146B4A">
        <w:t>. These trainings were organized by ERRA in the capital of Oman, Muscat.</w:t>
      </w:r>
      <w:r w:rsidRPr="00146B4A">
        <w:t xml:space="preserve"> </w:t>
      </w:r>
      <w:r w:rsidR="00651F3E" w:rsidRPr="00146B4A">
        <w:t xml:space="preserve">The names of these trainings are “Price Regulations and Tariffs” and “Renewable Energy Tenders” held in Hungary's capital city, Budapest. </w:t>
      </w:r>
      <w:r w:rsidRPr="00146B4A">
        <w:t xml:space="preserve">It has been seen that the staff of EMRA has shown a great success in the examinations held after the trainings. </w:t>
      </w:r>
    </w:p>
    <w:p w:rsidR="00FE7FEB" w:rsidRPr="00146B4A" w:rsidRDefault="00651F3E" w:rsidP="00146B4A">
      <w:r w:rsidRPr="00146B4A">
        <w:t>The 18</w:t>
      </w:r>
      <w:r w:rsidR="00FE7FEB" w:rsidRPr="00146B4A">
        <w:t xml:space="preserve">th of the Energy Investment and Regulatory Conference, the most important event of ERRA, was held </w:t>
      </w:r>
      <w:r w:rsidRPr="00146B4A">
        <w:t>in Latvia on September 23-24, 2019</w:t>
      </w:r>
      <w:r w:rsidR="00FE7FEB" w:rsidRPr="00146B4A">
        <w:t xml:space="preserve"> with the hosting of EMRA. EMRA was represented both as a panelist and as a participant in the conference w</w:t>
      </w:r>
      <w:r w:rsidRPr="00146B4A">
        <w:t>here there were approximately 16</w:t>
      </w:r>
      <w:r w:rsidR="00FE7FEB" w:rsidRPr="00146B4A">
        <w:t>0 participants from 40 countries.</w:t>
      </w:r>
    </w:p>
    <w:p w:rsidR="00F025F4" w:rsidRPr="00146B4A" w:rsidRDefault="00AA7236" w:rsidP="00146B4A">
      <w:bookmarkStart w:id="357" w:name="_Toc514251713"/>
      <w:r w:rsidRPr="00146B4A">
        <w:rPr>
          <w:lang w:val="en"/>
        </w:rPr>
        <w:t xml:space="preserve">Since the establishment of MEDREG, of which we are a founding member, we have been actively participating in all organs and contributing to their work. Strategy Development Department Head Gülefşan Demirbaş was selected as the President MEDREG the 2019-2020 period to be the most senior woman executive in the energy field in Turkey, It has taken place in the domestic and foreihn press thus has increased the visibility of our institution and our country in the Mediterranean energy market. As a result of taking over the Presidency of MEDREG, an active role was played in the planning and directing of all activities of the Union. As a result of this active role, she was given the jury special prize at  "Women Energizing Turkey" awards, organized by MENR.  </w:t>
      </w:r>
    </w:p>
    <w:p w:rsidR="00AA7236" w:rsidRPr="004E7F7B" w:rsidRDefault="00AA7236" w:rsidP="00146B4A">
      <w:pPr>
        <w:rPr>
          <w:lang w:val="en"/>
        </w:rPr>
      </w:pPr>
      <w:r w:rsidRPr="004E7F7B">
        <w:rPr>
          <w:lang w:val="en"/>
        </w:rPr>
        <w:t>By MEDREG;</w:t>
      </w:r>
    </w:p>
    <w:p w:rsidR="00651F3E" w:rsidRPr="004E7F7B" w:rsidRDefault="00AA7236" w:rsidP="00146B4A">
      <w:pPr>
        <w:rPr>
          <w:lang w:val="en"/>
        </w:rPr>
      </w:pPr>
      <w:r w:rsidRPr="004E7F7B">
        <w:rPr>
          <w:rFonts w:eastAsia="Times New Roman"/>
          <w:noProof w:val="0"/>
          <w:lang w:val="en" w:eastAsia="tr-TR"/>
        </w:rPr>
        <w:t xml:space="preserve">• </w:t>
      </w:r>
      <w:r w:rsidRPr="004E7F7B">
        <w:rPr>
          <w:lang w:val="en"/>
        </w:rPr>
        <w:t>Our Authority provided educational support to the training titled “Regulatory Economy: Transition from Monopolies to Competitive Wholesale Electricity Markets” on 14-15 May 2019 for the Israel Electricity Regulatory Authority, which carries out reform studies in order to restructure the electricity market.</w:t>
      </w:r>
    </w:p>
    <w:p w:rsidR="00651F3E" w:rsidRPr="004E7F7B" w:rsidRDefault="00AA7236" w:rsidP="004E7F7B">
      <w:pPr>
        <w:rPr>
          <w:rFonts w:ascii="Times New Roman" w:hAnsi="Times New Roman" w:cs="Times New Roman"/>
        </w:rPr>
      </w:pPr>
      <w:r w:rsidRPr="004E7F7B">
        <w:rPr>
          <w:rFonts w:ascii="Times New Roman" w:hAnsi="Times New Roman" w:cs="Times New Roman"/>
        </w:rPr>
        <w:t xml:space="preserve">• </w:t>
      </w:r>
      <w:r w:rsidRPr="004E7F7B">
        <w:rPr>
          <w:rFonts w:ascii="Times New Roman" w:hAnsi="Times New Roman" w:cs="Times New Roman"/>
          <w:lang w:val="en"/>
        </w:rPr>
        <w:t>Our Authority  provided educational support to the training titled "Regulatory Economy: Transition from Monopolies to Competitive Wholesale Electricity Markets" for the Israel Electricity Regulatory Authority, which carries out reform studies in order to restructure the electricity market.</w:t>
      </w:r>
    </w:p>
    <w:p w:rsidR="00651F3E" w:rsidRPr="004E7F7B" w:rsidRDefault="00AA7236" w:rsidP="004E7F7B">
      <w:pPr>
        <w:rPr>
          <w:rFonts w:ascii="Times New Roman" w:hAnsi="Times New Roman" w:cs="Times New Roman"/>
        </w:rPr>
      </w:pPr>
      <w:r w:rsidRPr="004E7F7B">
        <w:rPr>
          <w:rFonts w:ascii="Times New Roman" w:hAnsi="Times New Roman" w:cs="Times New Roman"/>
        </w:rPr>
        <w:t>•</w:t>
      </w:r>
      <w:r w:rsidRPr="004E7F7B">
        <w:rPr>
          <w:rFonts w:ascii="Times New Roman" w:hAnsi="Times New Roman" w:cs="Times New Roman"/>
          <w:lang w:val="en"/>
        </w:rPr>
        <w:t xml:space="preserve">The conference and media day titled "MEDREG's Supports in Southern Mediterranean Energy Regulatory Reforms", where the future of energy cooperation in the Mediterranean was discussed and the activities and achievements achieved in the last two years were shared with the public, was held in Brussels on 19 September 2019. </w:t>
      </w:r>
    </w:p>
    <w:p w:rsidR="00651F3E" w:rsidRPr="004E7F7B" w:rsidRDefault="00651F3E" w:rsidP="004E7F7B">
      <w:pPr>
        <w:rPr>
          <w:rFonts w:ascii="Times New Roman" w:hAnsi="Times New Roman" w:cs="Times New Roman"/>
        </w:rPr>
      </w:pPr>
      <w:r w:rsidRPr="004E7F7B">
        <w:rPr>
          <w:rFonts w:ascii="Times New Roman" w:hAnsi="Times New Roman" w:cs="Times New Roman"/>
        </w:rPr>
        <w:t>•</w:t>
      </w:r>
      <w:r w:rsidR="00AA7236" w:rsidRPr="004E7F7B">
        <w:rPr>
          <w:rFonts w:ascii="Times New Roman" w:hAnsi="Times New Roman" w:cs="Times New Roman"/>
          <w:lang w:val="en"/>
        </w:rPr>
        <w:t>Our country's practices and experiences were shared within the scope of the training organized for the monitoring of natural gas transmission and distribution activities to the Egyptian Natural Gas Regulatory Authority on September 25, 2019.</w:t>
      </w:r>
      <w:r w:rsidRPr="004E7F7B">
        <w:rPr>
          <w:rFonts w:ascii="Times New Roman" w:hAnsi="Times New Roman" w:cs="Times New Roman"/>
        </w:rPr>
        <w:tab/>
      </w:r>
    </w:p>
    <w:p w:rsidR="000E00E0" w:rsidRPr="004E7F7B" w:rsidRDefault="00651F3E" w:rsidP="004E7F7B">
      <w:pPr>
        <w:rPr>
          <w:rFonts w:ascii="Times New Roman" w:hAnsi="Times New Roman" w:cs="Times New Roman"/>
        </w:rPr>
      </w:pPr>
      <w:r w:rsidRPr="004E7F7B">
        <w:rPr>
          <w:rFonts w:ascii="Times New Roman" w:hAnsi="Times New Roman" w:cs="Times New Roman"/>
        </w:rPr>
        <w:t>•</w:t>
      </w:r>
      <w:r w:rsidR="000E00E0" w:rsidRPr="004E7F7B">
        <w:rPr>
          <w:rFonts w:ascii="Times New Roman" w:hAnsi="Times New Roman" w:cs="Times New Roman"/>
          <w:lang w:val="en"/>
        </w:rPr>
        <w:t>At the 2nd MEDREG Energy Forum held in Brussels on November 6, 2019 under the title "On the Brink of Proactive and Flexible Energy Regulations", natural gas and renewable energy developments in the Mediterranean region were discussed with the participation of approximately 80 energy experts and professionals. was pioneered and supported both as a participant and as a panelist.</w:t>
      </w:r>
      <w:r w:rsidRPr="004E7F7B">
        <w:rPr>
          <w:rFonts w:ascii="Times New Roman" w:hAnsi="Times New Roman" w:cs="Times New Roman"/>
        </w:rPr>
        <w:tab/>
      </w:r>
    </w:p>
    <w:p w:rsidR="000E00E0" w:rsidRPr="004E7F7B" w:rsidRDefault="00651F3E" w:rsidP="004E7F7B">
      <w:pPr>
        <w:rPr>
          <w:rFonts w:ascii="Times New Roman" w:hAnsi="Times New Roman" w:cs="Times New Roman"/>
          <w:color w:val="FF0000"/>
        </w:rPr>
      </w:pPr>
      <w:r w:rsidRPr="00146B4A">
        <w:rPr>
          <w:rFonts w:ascii="Times New Roman" w:hAnsi="Times New Roman" w:cs="Times New Roman"/>
        </w:rPr>
        <w:t>•</w:t>
      </w:r>
      <w:r w:rsidR="000E00E0" w:rsidRPr="00146B4A">
        <w:rPr>
          <w:rFonts w:ascii="Times New Roman" w:hAnsi="Times New Roman" w:cs="Times New Roman"/>
          <w:lang w:val="en"/>
        </w:rPr>
        <w:t xml:space="preserve"> The 1st MEDREG Presidency Meeting was held in Rome on December 10, 2019, where the cooperation between the member countries was handled at the highest level, and the head of the regulatory body of 11 countries in the Mediterranean Region participated in the meeting in addition to the President of EMRA Mustafa YILMAZ.</w:t>
      </w:r>
      <w:r w:rsidRPr="004E7F7B">
        <w:rPr>
          <w:rFonts w:ascii="Times New Roman" w:hAnsi="Times New Roman" w:cs="Times New Roman"/>
          <w:color w:val="FF0000"/>
        </w:rPr>
        <w:tab/>
      </w:r>
    </w:p>
    <w:p w:rsidR="00651F3E" w:rsidRPr="004E7F7B" w:rsidRDefault="000E00E0" w:rsidP="00146B4A">
      <w:pPr>
        <w:rPr>
          <w:color w:val="FF0000"/>
        </w:rPr>
      </w:pPr>
      <w:r w:rsidRPr="004E7F7B">
        <w:rPr>
          <w:lang w:val="en"/>
        </w:rPr>
        <w:t>The activities of the ECRB, of which the institution is an observer member, have been followed up by the staff of the Authority assigned in ECRB working groups.</w:t>
      </w:r>
    </w:p>
    <w:p w:rsidR="00691CB6" w:rsidRPr="004E7F7B" w:rsidRDefault="00691CB6" w:rsidP="004E7F7B">
      <w:pPr>
        <w:pStyle w:val="Balk2"/>
        <w:rPr>
          <w:rFonts w:ascii="Times New Roman" w:hAnsi="Times New Roman" w:cs="Times New Roman"/>
          <w:sz w:val="22"/>
          <w:szCs w:val="22"/>
        </w:rPr>
      </w:pPr>
      <w:bookmarkStart w:id="358" w:name="_Toc48817910"/>
      <w:r w:rsidRPr="004E7F7B">
        <w:rPr>
          <w:rFonts w:ascii="Times New Roman" w:hAnsi="Times New Roman" w:cs="Times New Roman"/>
          <w:sz w:val="22"/>
          <w:szCs w:val="22"/>
        </w:rPr>
        <w:t>12.2 Bilateral Relations</w:t>
      </w:r>
      <w:bookmarkEnd w:id="357"/>
      <w:bookmarkEnd w:id="358"/>
    </w:p>
    <w:p w:rsidR="007A71F4" w:rsidRPr="004E7F7B" w:rsidRDefault="007A71F4" w:rsidP="00146B4A">
      <w:pPr>
        <w:rPr>
          <w:color w:val="FF0000"/>
        </w:rPr>
      </w:pPr>
      <w:r w:rsidRPr="004E7F7B">
        <w:rPr>
          <w:lang w:val="en"/>
        </w:rPr>
        <w:t>Within the scope of a study visit organized by the World Bank, a delegation who came to our country representing the Government of Uzbekistan on February 11-15, 2019 visited our Ag</w:t>
      </w:r>
      <w:r w:rsidR="00BA44C6" w:rsidRPr="004E7F7B">
        <w:rPr>
          <w:lang w:val="en"/>
        </w:rPr>
        <w:t xml:space="preserve">ency on February 13, 2019. The </w:t>
      </w:r>
      <w:r w:rsidRPr="004E7F7B">
        <w:rPr>
          <w:lang w:val="en"/>
        </w:rPr>
        <w:t xml:space="preserve">Uzbek delegation </w:t>
      </w:r>
      <w:r w:rsidR="00BA44C6" w:rsidRPr="004E7F7B">
        <w:rPr>
          <w:lang w:val="en"/>
        </w:rPr>
        <w:t>was informed about Turkey's success in</w:t>
      </w:r>
      <w:r w:rsidRPr="004E7F7B">
        <w:rPr>
          <w:lang w:val="en"/>
        </w:rPr>
        <w:t xml:space="preserve"> the energy sector configuration and development, the basic functions of the Authority, the legal framework, tariff setting process, </w:t>
      </w:r>
      <w:r w:rsidR="003A6CC8" w:rsidRPr="004E7F7B">
        <w:rPr>
          <w:lang w:val="en"/>
        </w:rPr>
        <w:t>electricity generation,</w:t>
      </w:r>
      <w:r w:rsidRPr="004E7F7B">
        <w:rPr>
          <w:lang w:val="en"/>
        </w:rPr>
        <w:t xml:space="preserve"> distribution</w:t>
      </w:r>
      <w:r w:rsidR="003A6CC8" w:rsidRPr="004E7F7B">
        <w:rPr>
          <w:lang w:val="en"/>
        </w:rPr>
        <w:t xml:space="preserve"> and trade. </w:t>
      </w:r>
      <w:r w:rsidRPr="004E7F7B">
        <w:rPr>
          <w:lang w:val="en"/>
        </w:rPr>
        <w:t xml:space="preserve"> </w:t>
      </w:r>
    </w:p>
    <w:p w:rsidR="00F025F4" w:rsidRPr="004E7F7B" w:rsidRDefault="008841E8" w:rsidP="00146B4A">
      <w:pPr>
        <w:rPr>
          <w:color w:val="FF0000"/>
        </w:rPr>
      </w:pPr>
      <w:r w:rsidRPr="004E7F7B">
        <w:rPr>
          <w:lang w:val="en"/>
        </w:rPr>
        <w:t>A delegation consisting of representatives of the Republic of Senegal Government, again by the World Bank,  visited our Institution on July 11, 2019 and received information concerning the restructuring of the energy market and tariffs regulated by EMRA.</w:t>
      </w:r>
    </w:p>
    <w:p w:rsidR="00F025F4" w:rsidRPr="004E7F7B" w:rsidRDefault="0010137A" w:rsidP="00146B4A">
      <w:pPr>
        <w:rPr>
          <w:color w:val="FF0000"/>
        </w:rPr>
      </w:pPr>
      <w:r w:rsidRPr="004E7F7B">
        <w:rPr>
          <w:lang w:val="en"/>
        </w:rPr>
        <w:t>A comprehensive training on renewable energy resources and licensing processes was given to a delegation from Azerbaijan on 9-13 April 2019 within the framework of the cooperation between the Ministry of Energy and Natural Resources and the Ministry of Energy of Azerbaijan. Later, upon the request of the Azerbaijani side, the training within the same scope was repeated in Baku on 11-12 July 2019, and the training was supported by assigning trainers.</w:t>
      </w:r>
      <w:r w:rsidR="00F025F4" w:rsidRPr="004E7F7B">
        <w:rPr>
          <w:color w:val="FF0000"/>
        </w:rPr>
        <w:t xml:space="preserve"> </w:t>
      </w:r>
    </w:p>
    <w:p w:rsidR="00F025F4" w:rsidRPr="004E7F7B" w:rsidRDefault="0010137A" w:rsidP="00146B4A">
      <w:pPr>
        <w:rPr>
          <w:color w:val="FF0000"/>
        </w:rPr>
      </w:pPr>
      <w:r w:rsidRPr="004E7F7B">
        <w:rPr>
          <w:lang w:val="en"/>
        </w:rPr>
        <w:t xml:space="preserve">On 12 July 2019, the President of the Albanian Energy Regulatory Authority (ERE) and the accompanying delegation visited the Istanbul office of our Authority and within the scope of the visit, views were exchanged on the activities that can be carried out within the scope of the cooperation protocol previously signed between our Authority and ERE and possible cooperation areas. </w:t>
      </w:r>
    </w:p>
    <w:p w:rsidR="0010137A" w:rsidRPr="004E7F7B" w:rsidRDefault="0010137A" w:rsidP="00146B4A">
      <w:pPr>
        <w:rPr>
          <w:lang w:val="en"/>
        </w:rPr>
      </w:pPr>
      <w:r w:rsidRPr="004E7F7B">
        <w:rPr>
          <w:lang w:val="en"/>
        </w:rPr>
        <w:t>A visit was made to our Institution by the authorities of China Export and Credit Insurance Agency (SINOSURE) on September 23, 2019. During the visit, information was exchanged about Chinese companies that are currently investing in the energy sector of our country, and the delegation was also informed about the development of our country's energy markets and possible investment opportunities.</w:t>
      </w:r>
    </w:p>
    <w:p w:rsidR="00F025F4" w:rsidRPr="004E7F7B" w:rsidRDefault="0010137A" w:rsidP="00146B4A">
      <w:pPr>
        <w:rPr>
          <w:color w:val="FF0000"/>
        </w:rPr>
      </w:pPr>
      <w:r w:rsidRPr="004E7F7B">
        <w:rPr>
          <w:lang w:val="en"/>
        </w:rPr>
        <w:t>On the other hand, within the scope of bilateral relations, cooperation protocol studies continue with Azerbaijan and Georgia energy regulatory agencies.</w:t>
      </w:r>
    </w:p>
    <w:p w:rsidR="00FE7FEB" w:rsidRPr="004E7F7B" w:rsidRDefault="00FE7FEB" w:rsidP="004E7F7B">
      <w:pPr>
        <w:pStyle w:val="AralkYok"/>
        <w:jc w:val="both"/>
        <w:rPr>
          <w:rFonts w:ascii="Times New Roman" w:hAnsi="Times New Roman" w:cs="Times New Roman"/>
        </w:rPr>
      </w:pPr>
    </w:p>
    <w:p w:rsidR="00FE7FEB" w:rsidRPr="004E7F7B" w:rsidRDefault="00FE7FEB" w:rsidP="004E7F7B">
      <w:pPr>
        <w:pStyle w:val="Balk2"/>
        <w:rPr>
          <w:rFonts w:ascii="Times New Roman" w:hAnsi="Times New Roman" w:cs="Times New Roman"/>
          <w:sz w:val="22"/>
          <w:szCs w:val="22"/>
        </w:rPr>
      </w:pPr>
      <w:bookmarkStart w:id="359" w:name="_Toc48817911"/>
      <w:r w:rsidRPr="004E7F7B">
        <w:rPr>
          <w:rFonts w:ascii="Times New Roman" w:hAnsi="Times New Roman" w:cs="Times New Roman"/>
          <w:sz w:val="22"/>
          <w:szCs w:val="22"/>
        </w:rPr>
        <w:t>1</w:t>
      </w:r>
      <w:r w:rsidR="00FE0469" w:rsidRPr="004E7F7B">
        <w:rPr>
          <w:rFonts w:ascii="Times New Roman" w:hAnsi="Times New Roman" w:cs="Times New Roman"/>
          <w:sz w:val="22"/>
          <w:szCs w:val="22"/>
        </w:rPr>
        <w:t>2.3. Activities within the Scope of Alignment with the EU A</w:t>
      </w:r>
      <w:r w:rsidRPr="004E7F7B">
        <w:rPr>
          <w:rFonts w:ascii="Times New Roman" w:hAnsi="Times New Roman" w:cs="Times New Roman"/>
          <w:sz w:val="22"/>
          <w:szCs w:val="22"/>
        </w:rPr>
        <w:t>cquis</w:t>
      </w:r>
      <w:bookmarkEnd w:id="359"/>
    </w:p>
    <w:p w:rsidR="00F025F4" w:rsidRPr="004E7F7B" w:rsidRDefault="006D0192" w:rsidP="00146B4A">
      <w:pPr>
        <w:rPr>
          <w:color w:val="FF0000"/>
        </w:rPr>
      </w:pPr>
      <w:r w:rsidRPr="004E7F7B">
        <w:rPr>
          <w:lang w:val="en"/>
        </w:rPr>
        <w:t>Turkish Energy Sector Phase-2 Project launched on September 18, 2018 within the scope of The European Union (EU) Pre-accession Assistance (IPA) under the programming of 2013 and of which the Energy and Natural Resources Ministry is the main beneficy has been followed-up by taking part in Board of Directors. Our staff participated in the trainings and study visits to other countries organized within the scope of the project. A meeting was held by World Bank officials on January 23, 2019 in order to exchange information on IPA projects and to evaluate the activities of our Authority regarding these projects.</w:t>
      </w:r>
    </w:p>
    <w:p w:rsidR="00F025F4" w:rsidRPr="004E7F7B" w:rsidRDefault="006D0192" w:rsidP="00146B4A">
      <w:pPr>
        <w:rPr>
          <w:color w:val="FF0000"/>
        </w:rPr>
      </w:pPr>
      <w:r w:rsidRPr="004E7F7B">
        <w:rPr>
          <w:lang w:val="en"/>
        </w:rPr>
        <w:t>The "Perf</w:t>
      </w:r>
      <w:r w:rsidR="004C4F06" w:rsidRPr="004E7F7B">
        <w:rPr>
          <w:lang w:val="en"/>
        </w:rPr>
        <w:t>ormance Based Tariff Regulation</w:t>
      </w:r>
      <w:r w:rsidRPr="004E7F7B">
        <w:rPr>
          <w:lang w:val="en"/>
        </w:rPr>
        <w:t>" project, developed by our institution within the scope of IPA 2015 progr</w:t>
      </w:r>
      <w:r w:rsidR="004C4F06" w:rsidRPr="004E7F7B">
        <w:rPr>
          <w:lang w:val="en"/>
        </w:rPr>
        <w:t>amming, started with the kick-off</w:t>
      </w:r>
      <w:r w:rsidRPr="004E7F7B">
        <w:rPr>
          <w:lang w:val="en"/>
        </w:rPr>
        <w:t xml:space="preserve"> meeting held on April 24, 2019 and is planned to</w:t>
      </w:r>
      <w:r w:rsidR="004C4F06" w:rsidRPr="004E7F7B">
        <w:rPr>
          <w:lang w:val="en"/>
        </w:rPr>
        <w:t xml:space="preserve"> last for 18 months. The inception</w:t>
      </w:r>
      <w:r w:rsidRPr="004E7F7B">
        <w:rPr>
          <w:lang w:val="en"/>
        </w:rPr>
        <w:t xml:space="preserve"> report of the project was published by the consultant firm Hulla &amp; Co Human Dynamics KG, whose contract was signed on May 31, 2019.</w:t>
      </w:r>
      <w:r w:rsidR="00F025F4" w:rsidRPr="004E7F7B">
        <w:rPr>
          <w:color w:val="FF0000"/>
        </w:rPr>
        <w:t xml:space="preserve">  </w:t>
      </w:r>
    </w:p>
    <w:p w:rsidR="00F025F4" w:rsidRPr="004E7F7B" w:rsidRDefault="004C4F06" w:rsidP="00146B4A">
      <w:pPr>
        <w:rPr>
          <w:color w:val="FF0000"/>
        </w:rPr>
      </w:pPr>
      <w:r w:rsidRPr="004E7F7B">
        <w:rPr>
          <w:lang w:val="en"/>
        </w:rPr>
        <w:t>Two new project proposals developed by our Authority within the scope of programming studies for the third period of IPA covering the years 2021-2027 were submitted to the EU Commission.</w:t>
      </w:r>
    </w:p>
    <w:p w:rsidR="0035303E" w:rsidRPr="004E7F7B" w:rsidRDefault="0035303E" w:rsidP="00146B4A">
      <w:pPr>
        <w:rPr>
          <w:lang w:val="en"/>
        </w:rPr>
      </w:pPr>
      <w:r w:rsidRPr="004E7F7B">
        <w:rPr>
          <w:lang w:val="en"/>
        </w:rPr>
        <w:t xml:space="preserve">Contributions were made to the 2019 Progress Report on Turkey prepared by the European Commission assessing the developments recorded by our country towards EU accession. </w:t>
      </w:r>
    </w:p>
    <w:p w:rsidR="00F025F4" w:rsidRPr="004E7F7B" w:rsidRDefault="0035303E" w:rsidP="00146B4A">
      <w:pPr>
        <w:rPr>
          <w:color w:val="FF0000"/>
        </w:rPr>
      </w:pPr>
      <w:r w:rsidRPr="004E7F7B">
        <w:rPr>
          <w:lang w:val="en"/>
        </w:rPr>
        <w:t>Our experts participated in the Subcommittee Meeting No.6 on Energy, Environment, Transport and Trans-European Networks held in Brussels on October 16-17, 2019, and presentations on our electricity and natural gas markets were made.</w:t>
      </w:r>
      <w:r w:rsidR="00F025F4" w:rsidRPr="004E7F7B">
        <w:rPr>
          <w:color w:val="FF0000"/>
        </w:rPr>
        <w:t xml:space="preserve"> </w:t>
      </w:r>
    </w:p>
    <w:p w:rsidR="0035303E" w:rsidRPr="004E7F7B" w:rsidRDefault="0035303E" w:rsidP="00146B4A">
      <w:pPr>
        <w:rPr>
          <w:lang w:val="en"/>
        </w:rPr>
      </w:pPr>
      <w:r w:rsidRPr="004E7F7B">
        <w:rPr>
          <w:lang w:val="en"/>
        </w:rPr>
        <w:t xml:space="preserve">In order to contribute to the work of the EU Coordination Board (ABEK), which was established with the Presidential Circular No. 2019/22 on "Coordination of EU-related Studies" published in the Official Gazette on 17 October 2019 and held its first meeting on 25 November 2019, a detailed information note was prepared on the level of compliance of our electricity and natural gas legislation. </w:t>
      </w:r>
    </w:p>
    <w:p w:rsidR="0035303E" w:rsidRPr="004E7F7B" w:rsidRDefault="0035303E" w:rsidP="00146B4A">
      <w:pPr>
        <w:rPr>
          <w:color w:val="FF0000"/>
        </w:rPr>
      </w:pPr>
      <w:r w:rsidRPr="004E7F7B">
        <w:rPr>
          <w:lang w:val="en"/>
        </w:rPr>
        <w:t>Information notes were prepared regarding the measures in the energy markets within the scope of the preparations for 2020-2022 of the Pre-Accession Economic Reform Program (ERP), which is prepared annually and sent to the European Commission under the coordination of the Presidency Strategy and Budget Directorate within the framework of the status of a candidate country for full membership to the EU.  Our experts participated in preparatory meetings.</w:t>
      </w:r>
    </w:p>
    <w:p w:rsidR="00F025F4" w:rsidRPr="004E7F7B" w:rsidRDefault="0035303E" w:rsidP="00146B4A">
      <w:r w:rsidRPr="004E7F7B">
        <w:rPr>
          <w:lang w:val="en"/>
        </w:rPr>
        <w:t>Our experts participated in the trainings organized by the Luxembourg branch of The European Institute of Public Administration (EIPA)</w:t>
      </w:r>
      <w:r w:rsidR="00464248" w:rsidRPr="004E7F7B">
        <w:rPr>
          <w:lang w:val="en"/>
        </w:rPr>
        <w:t>on 8-9 October 2019 namely”</w:t>
      </w:r>
      <w:r w:rsidRPr="004E7F7B">
        <w:rPr>
          <w:lang w:val="en"/>
        </w:rPr>
        <w:t xml:space="preserve"> Adoption of the Acquis in Turkey and National Coordination of Capacity </w:t>
      </w:r>
      <w:r w:rsidR="00464248" w:rsidRPr="004E7F7B">
        <w:rPr>
          <w:lang w:val="en"/>
        </w:rPr>
        <w:t xml:space="preserve">Development in This Area" and on 19-20 November 2019 </w:t>
      </w:r>
      <w:r w:rsidRPr="004E7F7B">
        <w:rPr>
          <w:lang w:val="en"/>
        </w:rPr>
        <w:t xml:space="preserve"> "EU Accession Policy and Enlargement Negotiations</w:t>
      </w:r>
      <w:r w:rsidR="00464248" w:rsidRPr="004E7F7B">
        <w:rPr>
          <w:lang w:val="en"/>
        </w:rPr>
        <w:t xml:space="preserve">”. </w:t>
      </w:r>
      <w:r w:rsidRPr="004E7F7B">
        <w:rPr>
          <w:lang w:val="en"/>
        </w:rPr>
        <w:t xml:space="preserve"> </w:t>
      </w:r>
    </w:p>
    <w:p w:rsidR="00FE7FEB" w:rsidRPr="004E7F7B" w:rsidRDefault="00FE7FEB" w:rsidP="004E7F7B">
      <w:pPr>
        <w:pStyle w:val="Balk2"/>
        <w:rPr>
          <w:rFonts w:ascii="Times New Roman" w:hAnsi="Times New Roman" w:cs="Times New Roman"/>
          <w:sz w:val="22"/>
          <w:szCs w:val="22"/>
        </w:rPr>
      </w:pPr>
      <w:bookmarkStart w:id="360" w:name="_Toc48817912"/>
      <w:r w:rsidRPr="004E7F7B">
        <w:rPr>
          <w:rFonts w:ascii="Times New Roman" w:hAnsi="Times New Roman" w:cs="Times New Roman"/>
          <w:sz w:val="22"/>
          <w:szCs w:val="22"/>
        </w:rPr>
        <w:t xml:space="preserve">12.4. </w:t>
      </w:r>
      <w:r w:rsidRPr="004E7F7B">
        <w:rPr>
          <w:rFonts w:ascii="Times New Roman" w:hAnsi="Times New Roman" w:cs="Times New Roman"/>
          <w:sz w:val="22"/>
          <w:szCs w:val="22"/>
        </w:rPr>
        <w:tab/>
        <w:t>The Studies in the Areas Falling within the Organization’s Mandate in Which Our Country is a Part of it or Have Relations with</w:t>
      </w:r>
      <w:bookmarkEnd w:id="360"/>
      <w:r w:rsidRPr="004E7F7B">
        <w:rPr>
          <w:rFonts w:ascii="Times New Roman" w:hAnsi="Times New Roman" w:cs="Times New Roman"/>
          <w:sz w:val="22"/>
          <w:szCs w:val="22"/>
        </w:rPr>
        <w:t xml:space="preserve"> </w:t>
      </w:r>
    </w:p>
    <w:p w:rsidR="00FE7FEB" w:rsidRPr="004E7F7B" w:rsidRDefault="00FE7FEB" w:rsidP="00146B4A">
      <w:r w:rsidRPr="004E7F7B">
        <w:t>In the committees, working groups, task forces etc. under BSEC, OECD Economic Regulators Network (OECD-NER), IEA, World Trade Organization, Economic Cooperation Organization (ECO), EMRA staff is assigned in order to represent the Authority and the activities of the mentioned organizations are followed.</w:t>
      </w:r>
    </w:p>
    <w:p w:rsidR="00FE7FEB" w:rsidRPr="004E7F7B" w:rsidRDefault="00FE7FEB" w:rsidP="00146B4A">
      <w:r w:rsidRPr="004E7F7B">
        <w:t>Within the framework of our cooperation with the Economic Cooperation Organization (ECO),which was established in 1985 and which our country is also a founding member of, both the ECO Regional Planning Council Meeting for ECO Secretariat made by the preparatory work on both Turkey and Iran between delegations conducted "Economic Cooperation Organization (ECO) Free Electricity Trading Establishment in the region" has contributed to the oriented projects under study by the MENR.</w:t>
      </w:r>
    </w:p>
    <w:p w:rsidR="00FE7FEB" w:rsidRPr="004E7F7B" w:rsidRDefault="00FE7FEB" w:rsidP="00146B4A">
      <w:r w:rsidRPr="004E7F7B">
        <w:t>Within the scope of TİSA (Services Trade Agreement) negotiations, which were carried out by a group of World Trade Organization (WTO) member countries, coordination with the Ministry of Trade continued and necessary notifications were made to the Ministry in order to contribute to the negotiation of free trade agreements.</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5th Session of the Turkey-Uzbekistan,</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5th Session of the Turkey-Bangladesh,</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27th Term Meeting of Turkey-Romania,</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10th Session of the Turkey-Tajikistan,</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5th Session of the Turkey-Montenegro,</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8th Session of the Turkey-Azerbaijan,</w:t>
      </w:r>
    </w:p>
    <w:p w:rsidR="00052989"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10th Session of the Turkey-Belarus,</w:t>
      </w:r>
    </w:p>
    <w:p w:rsidR="00240B47" w:rsidRPr="004E7F7B" w:rsidRDefault="00052989" w:rsidP="007B4A7D">
      <w:pPr>
        <w:pStyle w:val="ListeParagraf"/>
        <w:numPr>
          <w:ilvl w:val="0"/>
          <w:numId w:val="13"/>
        </w:numPr>
        <w:rPr>
          <w:rFonts w:ascii="Times New Roman" w:hAnsi="Times New Roman" w:cs="Times New Roman"/>
        </w:rPr>
      </w:pPr>
      <w:r w:rsidRPr="004E7F7B">
        <w:rPr>
          <w:rFonts w:ascii="Times New Roman" w:hAnsi="Times New Roman" w:cs="Times New Roman"/>
        </w:rPr>
        <w:t>Turkey-Russia Energy Working Group and the 16th Session of the Meeting created in this context,</w:t>
      </w:r>
    </w:p>
    <w:p w:rsidR="00F31FDA" w:rsidRPr="004E7F7B" w:rsidRDefault="00F31FDA" w:rsidP="004E7F7B">
      <w:pPr>
        <w:rPr>
          <w:rFonts w:ascii="Times New Roman" w:hAnsi="Times New Roman" w:cs="Times New Roman"/>
        </w:rPr>
      </w:pPr>
      <w:r w:rsidRPr="004E7F7B">
        <w:rPr>
          <w:rFonts w:ascii="Times New Roman" w:hAnsi="Times New Roman" w:cs="Times New Roman"/>
        </w:rPr>
        <w:t>Participation in the studies was provided.</w:t>
      </w:r>
    </w:p>
    <w:p w:rsidR="00FE7FEB" w:rsidRPr="004E7F7B" w:rsidRDefault="00FE7FEB" w:rsidP="00146B4A">
      <w:r w:rsidRPr="004E7F7B">
        <w:t xml:space="preserve">At the same time, in accordance with the provisions of Article 12.7 of the WTO Subsidies and Compensatory Measures Agreement to which Turkey is a party, within the scope of investigations conducted by different countries </w:t>
      </w:r>
      <w:r w:rsidRPr="004E7F7B">
        <w:rPr>
          <w:color w:val="FF0000"/>
        </w:rPr>
        <w:t xml:space="preserve"> </w:t>
      </w:r>
      <w:r w:rsidRPr="004E7F7B">
        <w:t>were answered within the framework of interests and institutions involved in the question papers has been answered by the Government of the Republic of Turkey.</w:t>
      </w:r>
    </w:p>
    <w:p w:rsidR="00FE7FEB" w:rsidRPr="004E7F7B" w:rsidRDefault="00FE7FEB" w:rsidP="00146B4A">
      <w:r w:rsidRPr="004E7F7B">
        <w:t xml:space="preserve">Co-chair of the Working Group on the Regulation of Electricity and Gas Markets, which is one of the working groups established within the scope of energy cooperation with Germany under the leadership of the Ministry of Energy and Natural Resources, was deemed appropriate by the authority of the Authority. In the annual plan prepared within the scope of the working group, it was decided to address the issues of market transparency, flexibility and demand side participation mechanisms and the functioning of the natural gas market. In this context, </w:t>
      </w:r>
      <w:r w:rsidR="00F31FDA" w:rsidRPr="004E7F7B">
        <w:t>the Authority officials participated in the technical inspection trip for the natural gas market in Germany between 28 July - 1 August 2019.</w:t>
      </w:r>
    </w:p>
    <w:p w:rsidR="00FE7FEB" w:rsidRPr="004E7F7B" w:rsidRDefault="00FE7FEB" w:rsidP="004E7F7B">
      <w:pPr>
        <w:pStyle w:val="Balk2"/>
        <w:rPr>
          <w:rFonts w:ascii="Times New Roman" w:hAnsi="Times New Roman" w:cs="Times New Roman"/>
          <w:sz w:val="22"/>
          <w:szCs w:val="22"/>
        </w:rPr>
      </w:pPr>
      <w:bookmarkStart w:id="361" w:name="_Toc48817913"/>
      <w:r w:rsidRPr="004E7F7B">
        <w:rPr>
          <w:rFonts w:ascii="Times New Roman" w:hAnsi="Times New Roman" w:cs="Times New Roman"/>
          <w:sz w:val="22"/>
          <w:szCs w:val="22"/>
        </w:rPr>
        <w:t>12.5</w:t>
      </w:r>
      <w:r w:rsidRPr="004E7F7B">
        <w:rPr>
          <w:rFonts w:ascii="Times New Roman" w:hAnsi="Times New Roman" w:cs="Times New Roman"/>
          <w:sz w:val="22"/>
          <w:szCs w:val="22"/>
        </w:rPr>
        <w:tab/>
        <w:t>Monitoring and Reporting of Developments in International Energy Markets</w:t>
      </w:r>
      <w:bookmarkEnd w:id="361"/>
    </w:p>
    <w:p w:rsidR="00FE7FEB" w:rsidRPr="004E7F7B" w:rsidRDefault="00FE7FEB" w:rsidP="00146B4A">
      <w:r w:rsidRPr="004E7F7B">
        <w:t>In 201</w:t>
      </w:r>
      <w:r w:rsidR="00F31FDA" w:rsidRPr="004E7F7B">
        <w:t>9</w:t>
      </w:r>
      <w:r w:rsidRPr="004E7F7B">
        <w:t>, the Company continued compiling important news in the foreign press, which began in 2015, and continu</w:t>
      </w:r>
      <w:r w:rsidR="00F31FDA" w:rsidRPr="004E7F7B">
        <w:t>ed to prepare bulletins. In 2019</w:t>
      </w:r>
      <w:r w:rsidRPr="004E7F7B">
        <w:t>, 1</w:t>
      </w:r>
      <w:r w:rsidR="00F31FDA" w:rsidRPr="004E7F7B">
        <w:t>1</w:t>
      </w:r>
      <w:r w:rsidRPr="004E7F7B">
        <w:t xml:space="preserve"> bulletins were prepared. While compiling the news, attention was paid to follow the idea. The news compiled during the year was classified separately according to their subjects.</w:t>
      </w: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362" w:name="_Toc48817914"/>
      <w:r w:rsidRPr="004E7F7B">
        <w:rPr>
          <w:rFonts w:ascii="Times New Roman" w:hAnsi="Times New Roman" w:cs="Times New Roman"/>
          <w:sz w:val="22"/>
          <w:szCs w:val="22"/>
        </w:rPr>
        <w:t>13. HUMAN RESOURCES AND TRAINING ACTIVITIES</w:t>
      </w:r>
      <w:bookmarkEnd w:id="362"/>
    </w:p>
    <w:p w:rsidR="00FE7FEB" w:rsidRPr="004E7F7B" w:rsidRDefault="00FE7FEB" w:rsidP="004E7F7B">
      <w:pPr>
        <w:pStyle w:val="Balk2"/>
        <w:rPr>
          <w:rFonts w:ascii="Times New Roman" w:hAnsi="Times New Roman" w:cs="Times New Roman"/>
          <w:sz w:val="22"/>
          <w:szCs w:val="22"/>
        </w:rPr>
      </w:pPr>
      <w:bookmarkStart w:id="363" w:name="_Toc48817915"/>
      <w:r w:rsidRPr="004E7F7B">
        <w:rPr>
          <w:rFonts w:ascii="Times New Roman" w:hAnsi="Times New Roman" w:cs="Times New Roman"/>
          <w:sz w:val="22"/>
          <w:szCs w:val="22"/>
        </w:rPr>
        <w:t xml:space="preserve">13.1. </w:t>
      </w:r>
      <w:r w:rsidRPr="004E7F7B">
        <w:rPr>
          <w:rFonts w:ascii="Times New Roman" w:hAnsi="Times New Roman" w:cs="Times New Roman"/>
          <w:sz w:val="22"/>
          <w:szCs w:val="22"/>
        </w:rPr>
        <w:tab/>
        <w:t>Staff of the Authority</w:t>
      </w:r>
      <w:bookmarkEnd w:id="363"/>
      <w:r w:rsidRPr="004E7F7B">
        <w:rPr>
          <w:rFonts w:ascii="Times New Roman" w:hAnsi="Times New Roman" w:cs="Times New Roman"/>
          <w:sz w:val="22"/>
          <w:szCs w:val="22"/>
        </w:rPr>
        <w:t xml:space="preserve"> </w:t>
      </w:r>
    </w:p>
    <w:p w:rsidR="00FE7FEB" w:rsidRPr="004E7F7B" w:rsidRDefault="00FE7FEB" w:rsidP="00146B4A">
      <w:r w:rsidRPr="004E7F7B">
        <w:t>The permanent and main functions required for the Authority’s services are performed by contracted staff employed through administrative service contracts. The President, Board Members and other staff are subject to the provisions of the Law on Social Insurance and General Health Insuranse No: 5434. In accordance with the Supllemnatry Clause 11 added to the Decree Law No. 375 by the Decree Law No:666 published in the Official Gazette dated 02.11.2011 and bis numbered 28103, staff of the Authority appointed on or after 01.15.2012 was subjected to the same wages and financial rights regime with thier equals employed in other public institutions.</w:t>
      </w:r>
    </w:p>
    <w:p w:rsidR="00FE7FEB" w:rsidRPr="004E7F7B" w:rsidRDefault="00FE0469" w:rsidP="004E7F7B">
      <w:pPr>
        <w:pStyle w:val="Balk5"/>
        <w:jc w:val="both"/>
        <w:rPr>
          <w:rFonts w:ascii="Times New Roman" w:hAnsi="Times New Roman" w:cs="Times New Roman"/>
        </w:rPr>
      </w:pPr>
      <w:bookmarkStart w:id="364" w:name="_Toc48818084"/>
      <w:r w:rsidRPr="004E7F7B">
        <w:rPr>
          <w:rFonts w:ascii="Times New Roman" w:hAnsi="Times New Roman" w:cs="Times New Roman"/>
        </w:rPr>
        <w:t>Table 13.1: Information on Staff A</w:t>
      </w:r>
      <w:r w:rsidR="00FE7FEB" w:rsidRPr="004E7F7B">
        <w:rPr>
          <w:rFonts w:ascii="Times New Roman" w:hAnsi="Times New Roman" w:cs="Times New Roman"/>
        </w:rPr>
        <w:t>ssignned in 201</w:t>
      </w:r>
      <w:r w:rsidR="00F31FDA" w:rsidRPr="004E7F7B">
        <w:rPr>
          <w:rFonts w:ascii="Times New Roman" w:hAnsi="Times New Roman" w:cs="Times New Roman"/>
        </w:rPr>
        <w:t>9</w:t>
      </w:r>
      <w:bookmarkEnd w:id="364"/>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05"/>
        <w:gridCol w:w="757"/>
        <w:gridCol w:w="540"/>
        <w:gridCol w:w="733"/>
        <w:gridCol w:w="733"/>
        <w:gridCol w:w="541"/>
        <w:gridCol w:w="548"/>
        <w:gridCol w:w="688"/>
        <w:gridCol w:w="688"/>
        <w:gridCol w:w="736"/>
        <w:gridCol w:w="877"/>
      </w:tblGrid>
      <w:tr w:rsidR="00FE7FEB" w:rsidRPr="004E7F7B" w:rsidTr="00F31FDA">
        <w:trPr>
          <w:trHeight w:val="20"/>
          <w:jc w:val="center"/>
        </w:trPr>
        <w:tc>
          <w:tcPr>
            <w:tcW w:w="142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TITLE OF CADRES</w:t>
            </w:r>
          </w:p>
        </w:tc>
        <w:tc>
          <w:tcPr>
            <w:tcW w:w="40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br/>
              <w:t>NO</w:t>
            </w:r>
          </w:p>
        </w:tc>
        <w:tc>
          <w:tcPr>
            <w:tcW w:w="1646"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EDUCATION</w:t>
            </w:r>
          </w:p>
        </w:tc>
        <w:tc>
          <w:tcPr>
            <w:tcW w:w="73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vAlign w:val="center"/>
            <w:hideMark/>
          </w:tcPr>
          <w:p w:rsidR="00FE7FEB" w:rsidRPr="004E7F7B" w:rsidRDefault="00FE7FEB" w:rsidP="004E7F7B">
            <w:pPr>
              <w:spacing w:after="0"/>
              <w:ind w:right="-157"/>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GENDER</w:t>
            </w:r>
          </w:p>
        </w:tc>
        <w:tc>
          <w:tcPr>
            <w:tcW w:w="801"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ind w:right="-7"/>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 xml:space="preserve">ASSIGNMENT </w:t>
            </w:r>
          </w:p>
          <w:p w:rsidR="00FE7FEB" w:rsidRPr="004E7F7B" w:rsidRDefault="00FE7FEB" w:rsidP="004E7F7B">
            <w:pPr>
              <w:spacing w:after="0"/>
              <w:ind w:right="-7"/>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TYPE</w:t>
            </w:r>
          </w:p>
        </w:tc>
      </w:tr>
      <w:tr w:rsidR="00FE7FEB" w:rsidRPr="004E7F7B" w:rsidTr="00F31FDA">
        <w:trPr>
          <w:trHeight w:val="183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noWrap/>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SECONDARY EDUCATION</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2 YEARS’</w:t>
            </w:r>
          </w:p>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UNIVERSITY</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4 YEARS’</w:t>
            </w:r>
          </w:p>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UNIVERSITY</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MASTERS</w:t>
            </w: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DOKTORATE</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FEMALE</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MEN</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OUTSIDE</w:t>
            </w: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TRANSFER</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Assistant Energy Expert</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color w:val="000000" w:themeColor="text1"/>
              </w:rPr>
            </w:pP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Counsellor to the President</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rPr>
              <w:t>Administrative Officer</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17</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11</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w:t>
            </w: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rPr>
              <w:t>Communication Officer</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Engineer</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9</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8</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tcPr>
          <w:p w:rsidR="00F31FDA" w:rsidRPr="004E7F7B" w:rsidRDefault="00F31FDA" w:rsidP="004E7F7B">
            <w:pPr>
              <w:spacing w:after="0"/>
              <w:rPr>
                <w:rFonts w:ascii="Times New Roman" w:hAnsi="Times New Roman" w:cs="Times New Roman"/>
                <w:color w:val="000000" w:themeColor="text1"/>
              </w:rPr>
            </w:pP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7</w:t>
            </w: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r>
      <w:tr w:rsidR="00F31FDA" w:rsidRPr="004E7F7B" w:rsidTr="00F31FDA">
        <w:trPr>
          <w:trHeight w:val="20"/>
          <w:jc w:val="center"/>
        </w:trPr>
        <w:tc>
          <w:tcPr>
            <w:tcW w:w="14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TOTAL</w:t>
            </w: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31</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16</w:t>
            </w:r>
          </w:p>
        </w:tc>
        <w:tc>
          <w:tcPr>
            <w:tcW w:w="3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13</w:t>
            </w:r>
          </w:p>
        </w:tc>
        <w:tc>
          <w:tcPr>
            <w:tcW w:w="2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w:t>
            </w:r>
          </w:p>
        </w:tc>
        <w:tc>
          <w:tcPr>
            <w:tcW w:w="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15</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16</w:t>
            </w:r>
          </w:p>
        </w:tc>
        <w:tc>
          <w:tcPr>
            <w:tcW w:w="3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24</w:t>
            </w:r>
          </w:p>
        </w:tc>
        <w:tc>
          <w:tcPr>
            <w:tcW w:w="43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31FDA" w:rsidRPr="004E7F7B" w:rsidRDefault="00F31FDA"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7</w:t>
            </w:r>
          </w:p>
        </w:tc>
      </w:tr>
    </w:tbl>
    <w:p w:rsidR="00FE7FEB" w:rsidRPr="004E7F7B" w:rsidRDefault="00FE7FEB" w:rsidP="004E7F7B">
      <w:pPr>
        <w:rPr>
          <w:rFonts w:ascii="Times New Roman" w:hAnsi="Times New Roman" w:cs="Times New Roman"/>
        </w:rPr>
      </w:pPr>
    </w:p>
    <w:p w:rsidR="00FE7FEB" w:rsidRPr="004E7F7B" w:rsidRDefault="00FE7FEB" w:rsidP="004E7F7B">
      <w:pPr>
        <w:rPr>
          <w:rFonts w:ascii="Times New Roman" w:hAnsi="Times New Roman" w:cs="Times New Roman"/>
        </w:rPr>
      </w:pPr>
    </w:p>
    <w:p w:rsidR="00FE7FEB" w:rsidRPr="004E7F7B" w:rsidRDefault="00FE7FEB" w:rsidP="004E7F7B">
      <w:pPr>
        <w:pStyle w:val="Balk5"/>
        <w:jc w:val="both"/>
        <w:rPr>
          <w:rFonts w:ascii="Times New Roman" w:hAnsi="Times New Roman" w:cs="Times New Roman"/>
        </w:rPr>
      </w:pPr>
      <w:bookmarkStart w:id="365" w:name="_Toc512874187"/>
      <w:bookmarkStart w:id="366" w:name="_Toc48818085"/>
      <w:r w:rsidRPr="004E7F7B">
        <w:rPr>
          <w:rFonts w:ascii="Times New Roman" w:hAnsi="Times New Roman" w:cs="Times New Roman"/>
        </w:rPr>
        <w:t>Table 13.2: Inform</w:t>
      </w:r>
      <w:r w:rsidR="00FE0469" w:rsidRPr="004E7F7B">
        <w:rPr>
          <w:rFonts w:ascii="Times New Roman" w:hAnsi="Times New Roman" w:cs="Times New Roman"/>
        </w:rPr>
        <w:t>ation on the Staff who L</w:t>
      </w:r>
      <w:r w:rsidRPr="004E7F7B">
        <w:rPr>
          <w:rFonts w:ascii="Times New Roman" w:hAnsi="Times New Roman" w:cs="Times New Roman"/>
        </w:rPr>
        <w:t>eft the Authority in 201</w:t>
      </w:r>
      <w:bookmarkEnd w:id="365"/>
      <w:r w:rsidR="00F31FDA" w:rsidRPr="004E7F7B">
        <w:rPr>
          <w:rFonts w:ascii="Times New Roman" w:hAnsi="Times New Roman" w:cs="Times New Roman"/>
        </w:rPr>
        <w:t>9</w:t>
      </w:r>
      <w:bookmarkEnd w:id="36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678"/>
        <w:gridCol w:w="616"/>
        <w:gridCol w:w="440"/>
        <w:gridCol w:w="440"/>
        <w:gridCol w:w="440"/>
        <w:gridCol w:w="440"/>
        <w:gridCol w:w="446"/>
        <w:gridCol w:w="599"/>
        <w:gridCol w:w="601"/>
        <w:gridCol w:w="473"/>
        <w:gridCol w:w="473"/>
        <w:gridCol w:w="473"/>
        <w:gridCol w:w="474"/>
        <w:gridCol w:w="474"/>
        <w:gridCol w:w="479"/>
      </w:tblGrid>
      <w:tr w:rsidR="00FE7FEB" w:rsidRPr="004E7F7B" w:rsidTr="00545ED5">
        <w:trPr>
          <w:trHeight w:val="352"/>
        </w:trPr>
        <w:tc>
          <w:tcPr>
            <w:tcW w:w="1411"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tcPr>
          <w:p w:rsidR="00FE7FEB" w:rsidRPr="004E7F7B" w:rsidRDefault="00FE7FEB" w:rsidP="004E7F7B">
            <w:pPr>
              <w:spacing w:after="0"/>
              <w:rPr>
                <w:rFonts w:ascii="Times New Roman" w:hAnsi="Times New Roman" w:cs="Times New Roman"/>
                <w:b/>
                <w:bCs/>
                <w:color w:val="FFFFFF" w:themeColor="background1"/>
              </w:rPr>
            </w:pPr>
          </w:p>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TITLES of CADRES</w:t>
            </w:r>
          </w:p>
        </w:tc>
        <w:tc>
          <w:tcPr>
            <w:tcW w:w="331"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br/>
              <w:t>NO</w:t>
            </w:r>
          </w:p>
        </w:tc>
        <w:tc>
          <w:tcPr>
            <w:tcW w:w="1197" w:type="pct"/>
            <w:gridSpan w:val="5"/>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EDUCATION</w:t>
            </w:r>
          </w:p>
        </w:tc>
        <w:tc>
          <w:tcPr>
            <w:tcW w:w="52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FE7FEB" w:rsidP="004E7F7B">
            <w:pPr>
              <w:spacing w:after="0"/>
              <w:ind w:right="-157"/>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 xml:space="preserve">     GENDER</w:t>
            </w:r>
          </w:p>
        </w:tc>
        <w:tc>
          <w:tcPr>
            <w:tcW w:w="1539" w:type="pct"/>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ind w:right="-157"/>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REASON OF LEAVING</w:t>
            </w:r>
          </w:p>
        </w:tc>
      </w:tr>
      <w:tr w:rsidR="00FE7FEB" w:rsidRPr="004E7F7B" w:rsidTr="00545ED5">
        <w:trPr>
          <w:trHeight w:val="1507"/>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HIGHSCHOOL</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2 YEARS UNIVERSITY</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4 YEARS UNIVERSITY</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MASTERS</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DOKTORATE</w:t>
            </w: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FEMALE</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MEN</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RESIGNED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RETIRED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TRANSFERRED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EXPELLED</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DEEMED RESIGNED</w:t>
            </w: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DEATH</w:t>
            </w: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 xml:space="preserve">Vice President </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Group Head</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Energy Expert</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8</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9</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Assistant Energy Expert</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Lawyer</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Engineer</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Administratve Services Expert</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rPr>
            </w:pPr>
            <w:r w:rsidRPr="004E7F7B">
              <w:rPr>
                <w:rFonts w:ascii="Times New Roman" w:hAnsi="Times New Roman" w:cs="Times New Roman"/>
              </w:rPr>
              <w:t>Administrative Officer</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545ED5" w:rsidRPr="004E7F7B" w:rsidRDefault="00545ED5" w:rsidP="004E7F7B">
            <w:pPr>
              <w:spacing w:after="0"/>
              <w:rPr>
                <w:rFonts w:ascii="Times New Roman" w:hAnsi="Times New Roman" w:cs="Times New Roman"/>
                <w:color w:val="000000" w:themeColor="text1"/>
              </w:rPr>
            </w:pP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p>
        </w:tc>
      </w:tr>
      <w:tr w:rsidR="00545ED5" w:rsidRPr="004E7F7B" w:rsidTr="00DA4735">
        <w:trPr>
          <w:trHeight w:val="397"/>
        </w:trPr>
        <w:tc>
          <w:tcPr>
            <w:tcW w:w="14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bottom"/>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TOTAL</w:t>
            </w:r>
          </w:p>
        </w:tc>
        <w:tc>
          <w:tcPr>
            <w:tcW w:w="33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23</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1</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13</w:t>
            </w:r>
          </w:p>
        </w:tc>
        <w:tc>
          <w:tcPr>
            <w:tcW w:w="23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7</w:t>
            </w:r>
          </w:p>
        </w:tc>
        <w:tc>
          <w:tcPr>
            <w:tcW w:w="24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2</w:t>
            </w:r>
          </w:p>
        </w:tc>
        <w:tc>
          <w:tcPr>
            <w:tcW w:w="26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5</w:t>
            </w:r>
          </w:p>
        </w:tc>
        <w:tc>
          <w:tcPr>
            <w:tcW w:w="26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18</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5</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12</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5</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w:t>
            </w:r>
          </w:p>
        </w:tc>
        <w:tc>
          <w:tcPr>
            <w:tcW w:w="25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1</w:t>
            </w:r>
          </w:p>
        </w:tc>
        <w:tc>
          <w:tcPr>
            <w:tcW w:w="25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rPr>
            </w:pPr>
            <w:r w:rsidRPr="004E7F7B">
              <w:rPr>
                <w:rFonts w:ascii="Times New Roman" w:hAnsi="Times New Roman" w:cs="Times New Roman"/>
                <w:b/>
              </w:rPr>
              <w:t>-</w:t>
            </w:r>
          </w:p>
        </w:tc>
      </w:tr>
    </w:tbl>
    <w:p w:rsidR="00FE7FEB" w:rsidRPr="004E7F7B" w:rsidRDefault="00FE7FEB" w:rsidP="004E7F7B">
      <w:pPr>
        <w:spacing w:after="0"/>
        <w:rPr>
          <w:rFonts w:ascii="Times New Roman" w:hAnsi="Times New Roman" w:cs="Times New Roman"/>
        </w:rPr>
      </w:pPr>
    </w:p>
    <w:p w:rsidR="00FE7FEB" w:rsidRPr="004E7F7B" w:rsidRDefault="00FE7FEB" w:rsidP="00146B4A">
      <w:r w:rsidRPr="004E7F7B">
        <w:t>The names and numbers of cadres in the Authority and informat</w:t>
      </w:r>
      <w:r w:rsidR="00545ED5" w:rsidRPr="004E7F7B">
        <w:t>ion on 509 staff as of the end of 2019</w:t>
      </w:r>
      <w:r w:rsidRPr="004E7F7B">
        <w:t xml:space="preserve"> are shown in Table 13.3.</w:t>
      </w:r>
    </w:p>
    <w:p w:rsidR="00FE7FEB" w:rsidRPr="004E7F7B" w:rsidRDefault="00FE7FEB" w:rsidP="004E7F7B">
      <w:pPr>
        <w:pStyle w:val="Balk5"/>
        <w:jc w:val="both"/>
        <w:rPr>
          <w:rFonts w:ascii="Times New Roman" w:hAnsi="Times New Roman" w:cs="Times New Roman"/>
        </w:rPr>
      </w:pPr>
      <w:bookmarkStart w:id="367" w:name="_Toc48818086"/>
      <w:r w:rsidRPr="004E7F7B">
        <w:rPr>
          <w:rFonts w:ascii="Times New Roman" w:hAnsi="Times New Roman" w:cs="Times New Roman"/>
        </w:rPr>
        <w:t>Table 13.3: Breakdown of Cadres</w:t>
      </w:r>
      <w:bookmarkEnd w:id="36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2958"/>
        <w:gridCol w:w="1045"/>
        <w:gridCol w:w="1314"/>
        <w:gridCol w:w="520"/>
        <w:gridCol w:w="520"/>
        <w:gridCol w:w="520"/>
        <w:gridCol w:w="520"/>
        <w:gridCol w:w="520"/>
        <w:gridCol w:w="528"/>
        <w:gridCol w:w="560"/>
        <w:gridCol w:w="541"/>
      </w:tblGrid>
      <w:tr w:rsidR="00FE7FEB" w:rsidRPr="004E7F7B" w:rsidTr="00545ED5">
        <w:trPr>
          <w:trHeight w:val="20"/>
          <w:tblHeader/>
        </w:trPr>
        <w:tc>
          <w:tcPr>
            <w:tcW w:w="1570"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TITLES OF CADRES</w:t>
            </w:r>
          </w:p>
        </w:tc>
        <w:tc>
          <w:tcPr>
            <w:tcW w:w="480"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TOTAL CADRES</w:t>
            </w:r>
          </w:p>
        </w:tc>
        <w:tc>
          <w:tcPr>
            <w:tcW w:w="570" w:type="pct"/>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NO OF OCCUPIED CADRES</w:t>
            </w:r>
          </w:p>
        </w:tc>
        <w:tc>
          <w:tcPr>
            <w:tcW w:w="1761" w:type="pct"/>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EDUCATIONAL BACKGROUND</w:t>
            </w:r>
          </w:p>
        </w:tc>
        <w:tc>
          <w:tcPr>
            <w:tcW w:w="619"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GENDER</w:t>
            </w:r>
          </w:p>
        </w:tc>
      </w:tr>
      <w:tr w:rsidR="00FE7FEB" w:rsidRPr="004E7F7B" w:rsidTr="00545ED5">
        <w:trPr>
          <w:trHeight w:val="1080"/>
          <w:tblHeader/>
        </w:trPr>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0" w:type="auto"/>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FE7FEB" w:rsidRPr="004E7F7B" w:rsidRDefault="00FE7FEB" w:rsidP="004E7F7B">
            <w:pPr>
              <w:spacing w:after="0"/>
              <w:rPr>
                <w:rFonts w:ascii="Times New Roman" w:hAnsi="Times New Roman" w:cs="Times New Roman"/>
                <w:b/>
                <w:bCs/>
                <w:color w:val="FFFFFF" w:themeColor="background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noWrap/>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PRIMARY SCHOOL</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SECONDARYSCHOOL</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5F5E6A"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PRE-LİCENSE</w:t>
            </w:r>
            <w:r w:rsidR="00FE7FEB" w:rsidRPr="004E7F7B">
              <w:rPr>
                <w:rFonts w:ascii="Times New Roman" w:hAnsi="Times New Roman" w:cs="Times New Roman"/>
                <w:b/>
                <w:bCs/>
                <w:color w:val="FFFFFF" w:themeColor="background1"/>
              </w:rPr>
              <w:t xml:space="preserve"> DEGREE</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BACHELOR’S DEGREE</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MASTERS</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DOKTORATE</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WOMEN</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textDirection w:val="btLr"/>
            <w:vAlign w:val="center"/>
            <w:hideMark/>
          </w:tcPr>
          <w:p w:rsidR="00FE7FEB" w:rsidRPr="004E7F7B" w:rsidRDefault="00FE7FEB" w:rsidP="004E7F7B">
            <w:pPr>
              <w:spacing w:after="0"/>
              <w:rPr>
                <w:rFonts w:ascii="Times New Roman" w:hAnsi="Times New Roman" w:cs="Times New Roman"/>
                <w:b/>
                <w:bCs/>
                <w:color w:val="FFFFFF" w:themeColor="background1"/>
              </w:rPr>
            </w:pPr>
            <w:r w:rsidRPr="004E7F7B">
              <w:rPr>
                <w:rFonts w:ascii="Times New Roman" w:hAnsi="Times New Roman" w:cs="Times New Roman"/>
                <w:b/>
                <w:bCs/>
                <w:color w:val="FFFFFF" w:themeColor="background1"/>
              </w:rPr>
              <w:t>MEN</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bookmarkStart w:id="368" w:name="_Hlk11856869"/>
            <w:bookmarkStart w:id="369" w:name="_Hlk286234746"/>
            <w:r w:rsidRPr="004E7F7B">
              <w:rPr>
                <w:rFonts w:ascii="Times New Roman" w:hAnsi="Times New Roman" w:cs="Times New Roman"/>
                <w:color w:val="000000" w:themeColor="text1"/>
              </w:rPr>
              <w:t>Vice President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Electricity Market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Natural Gas Market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Petroleum Market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LPG Market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Tariffs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Audit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Expropriation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Legal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autoSpaceDE w:val="0"/>
              <w:autoSpaceDN w:val="0"/>
              <w:adjustRightInd w:val="0"/>
              <w:spacing w:after="0" w:line="240" w:lineRule="auto"/>
              <w:rPr>
                <w:rFonts w:ascii="Times New Roman" w:hAnsi="Times New Roman" w:cs="Times New Roman"/>
                <w:color w:val="000000" w:themeColor="text1"/>
              </w:rPr>
            </w:pPr>
            <w:r w:rsidRPr="004E7F7B">
              <w:rPr>
                <w:rFonts w:ascii="Times New Roman" w:hAnsi="Times New Roman" w:cs="Times New Roman"/>
                <w:color w:val="000000" w:themeColor="text1"/>
              </w:rPr>
              <w:t>Head of Strategy Development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Head of Human Resources and Support Services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Head of Information Techonology Department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Advisor to the President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19</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8</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12</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bookmarkStart w:id="370" w:name="_Hlk316290716"/>
            <w:bookmarkStart w:id="371" w:name="_Hlk351368486"/>
            <w:bookmarkStart w:id="372" w:name="_Hlk316290464"/>
            <w:bookmarkEnd w:id="368"/>
            <w:r w:rsidRPr="004E7F7B">
              <w:rPr>
                <w:rFonts w:ascii="Times New Roman" w:hAnsi="Times New Roman" w:cs="Times New Roman"/>
                <w:color w:val="000000" w:themeColor="text1"/>
              </w:rPr>
              <w:t>Group Head</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67</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38</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51</w:t>
            </w:r>
          </w:p>
        </w:tc>
      </w:tr>
      <w:tr w:rsidR="00545ED5" w:rsidRPr="004E7F7B" w:rsidTr="00545ED5">
        <w:trPr>
          <w:trHeight w:val="46"/>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Energy Expert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244</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143</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116</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25</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46</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97</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Assistant Energy Expert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131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58</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56</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19</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39</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Lawyer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25</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23</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19</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22</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bookmarkEnd w:id="370"/>
      <w:bookmarkEnd w:id="371"/>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Press and Public Relations Counsellor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Executive Assistant for the President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Manager for the Special Bureau for the Board</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Deputy Executive Assistant for the President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Deputy</w:t>
            </w:r>
            <w:r w:rsidRPr="004E7F7B">
              <w:rPr>
                <w:rFonts w:ascii="Times New Roman" w:hAnsi="Times New Roman" w:cs="Times New Roman"/>
              </w:rPr>
              <w:t xml:space="preserve"> </w:t>
            </w:r>
            <w:r w:rsidRPr="004E7F7B">
              <w:rPr>
                <w:rFonts w:ascii="Times New Roman" w:hAnsi="Times New Roman" w:cs="Times New Roman"/>
                <w:color w:val="000000" w:themeColor="text1"/>
              </w:rPr>
              <w:t>Manager for the Special Bureau for the Board</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Liason Office Manager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Administrative Services Expert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94</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84</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65</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19</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44</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40</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Analyser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8</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Programmer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Doctor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Nurse</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Defense Expert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Mechanic</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Technician</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Administrative Officer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79</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9</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18</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38</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23</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Communication Officer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20</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14</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Librarian</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Driver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10</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7</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4</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7</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Deliveryman</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Cs/>
                <w:color w:val="000000" w:themeColor="text1"/>
              </w:rPr>
            </w:pPr>
            <w:r w:rsidRPr="004E7F7B">
              <w:rPr>
                <w:rFonts w:ascii="Times New Roman" w:hAnsi="Times New Roman" w:cs="Times New Roman"/>
                <w:bCs/>
                <w:color w:val="000000" w:themeColor="text1"/>
              </w:rPr>
              <w:t>Interpreter-Translator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b/>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Cs/>
                <w:color w:val="000000" w:themeColor="text1"/>
              </w:rPr>
            </w:pPr>
            <w:r w:rsidRPr="004E7F7B">
              <w:rPr>
                <w:rFonts w:ascii="Times New Roman" w:hAnsi="Times New Roman" w:cs="Times New Roman"/>
                <w:bCs/>
                <w:color w:val="000000" w:themeColor="text1"/>
              </w:rPr>
              <w:t>Researcher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b/>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Cs/>
                <w:color w:val="000000" w:themeColor="text1"/>
              </w:rPr>
            </w:pPr>
            <w:r w:rsidRPr="004E7F7B">
              <w:rPr>
                <w:rFonts w:ascii="Times New Roman" w:hAnsi="Times New Roman" w:cs="Times New Roman"/>
                <w:bCs/>
                <w:color w:val="000000" w:themeColor="text1"/>
              </w:rPr>
              <w:t>Engineer</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20</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19</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16</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3</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6</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13</w:t>
            </w: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Cs/>
                <w:color w:val="000000" w:themeColor="text1"/>
              </w:rPr>
            </w:pPr>
            <w:r w:rsidRPr="004E7F7B">
              <w:rPr>
                <w:rFonts w:ascii="Times New Roman" w:hAnsi="Times New Roman" w:cs="Times New Roman"/>
                <w:bCs/>
                <w:color w:val="000000" w:themeColor="text1"/>
              </w:rPr>
              <w:t>Architect</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45ED5" w:rsidRPr="004E7F7B" w:rsidRDefault="00545ED5" w:rsidP="004E7F7B">
            <w:pPr>
              <w:spacing w:after="0"/>
              <w:rPr>
                <w:rFonts w:ascii="Times New Roman" w:hAnsi="Times New Roman" w:cs="Times New Roman"/>
                <w:b/>
                <w:color w:val="000000" w:themeColor="text1"/>
                <w:highlight w:val="yellow"/>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color w:val="000000" w:themeColor="text1"/>
              </w:rPr>
            </w:pP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color w:val="000000" w:themeColor="text1"/>
              </w:rPr>
            </w:pPr>
            <w:r w:rsidRPr="004E7F7B">
              <w:rPr>
                <w:rFonts w:ascii="Times New Roman" w:hAnsi="Times New Roman" w:cs="Times New Roman"/>
                <w:color w:val="000000" w:themeColor="text1"/>
              </w:rPr>
              <w:t>1</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tcPr>
          <w:p w:rsidR="00545ED5" w:rsidRPr="004E7F7B" w:rsidRDefault="00545ED5" w:rsidP="004E7F7B">
            <w:pPr>
              <w:spacing w:after="0"/>
              <w:rPr>
                <w:rFonts w:ascii="Times New Roman" w:hAnsi="Times New Roman" w:cs="Times New Roman"/>
                <w:b/>
                <w:color w:val="000000" w:themeColor="text1"/>
              </w:rPr>
            </w:pPr>
          </w:p>
        </w:tc>
      </w:tr>
      <w:tr w:rsidR="00545ED5" w:rsidRPr="004E7F7B" w:rsidTr="00545ED5">
        <w:trPr>
          <w:trHeight w:val="20"/>
        </w:trPr>
        <w:tc>
          <w:tcPr>
            <w:tcW w:w="1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bCs/>
                <w:color w:val="000000" w:themeColor="text1"/>
              </w:rPr>
            </w:pPr>
            <w:r w:rsidRPr="004E7F7B">
              <w:rPr>
                <w:rFonts w:ascii="Times New Roman" w:hAnsi="Times New Roman" w:cs="Times New Roman"/>
                <w:b/>
                <w:bCs/>
                <w:color w:val="000000" w:themeColor="text1"/>
              </w:rPr>
              <w:t>TOTAL</w:t>
            </w:r>
          </w:p>
        </w:tc>
        <w:tc>
          <w:tcPr>
            <w:tcW w:w="48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756</w:t>
            </w:r>
          </w:p>
        </w:tc>
        <w:tc>
          <w:tcPr>
            <w:tcW w:w="57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509</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17</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19</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380</w:t>
            </w:r>
          </w:p>
        </w:tc>
        <w:tc>
          <w:tcPr>
            <w:tcW w:w="29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84</w:t>
            </w:r>
          </w:p>
        </w:tc>
        <w:tc>
          <w:tcPr>
            <w:tcW w:w="29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8</w:t>
            </w:r>
          </w:p>
        </w:tc>
        <w:tc>
          <w:tcPr>
            <w:tcW w:w="31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207</w:t>
            </w:r>
          </w:p>
        </w:tc>
        <w:tc>
          <w:tcPr>
            <w:tcW w:w="305"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noWrap/>
            <w:vAlign w:val="center"/>
            <w:hideMark/>
          </w:tcPr>
          <w:p w:rsidR="00545ED5" w:rsidRPr="004E7F7B" w:rsidRDefault="00545ED5" w:rsidP="004E7F7B">
            <w:pPr>
              <w:spacing w:after="0"/>
              <w:rPr>
                <w:rFonts w:ascii="Times New Roman" w:hAnsi="Times New Roman" w:cs="Times New Roman"/>
                <w:b/>
                <w:color w:val="000000" w:themeColor="text1"/>
              </w:rPr>
            </w:pPr>
            <w:r w:rsidRPr="004E7F7B">
              <w:rPr>
                <w:rFonts w:ascii="Times New Roman" w:hAnsi="Times New Roman" w:cs="Times New Roman"/>
                <w:b/>
                <w:color w:val="000000" w:themeColor="text1"/>
              </w:rPr>
              <w:t>302</w:t>
            </w:r>
          </w:p>
        </w:tc>
      </w:tr>
    </w:tbl>
    <w:bookmarkEnd w:id="369"/>
    <w:bookmarkEnd w:id="372"/>
    <w:p w:rsidR="00FE7FEB" w:rsidRPr="004E7F7B" w:rsidRDefault="00FE7FEB" w:rsidP="00146B4A">
      <w:pPr>
        <w:rPr>
          <w:b/>
          <w:lang w:val="en-GB"/>
        </w:rPr>
      </w:pPr>
      <w:r w:rsidRPr="004E7F7B">
        <w:rPr>
          <w:lang w:val="en-GB"/>
        </w:rPr>
        <w:t>The changes in the number of employees as per the years is shown in Table 13.4 hereunder.</w:t>
      </w:r>
    </w:p>
    <w:p w:rsidR="00FE7FEB" w:rsidRPr="004E7F7B" w:rsidRDefault="00FE7FEB" w:rsidP="004E7F7B">
      <w:pPr>
        <w:pStyle w:val="Balk5"/>
        <w:jc w:val="both"/>
        <w:rPr>
          <w:rFonts w:ascii="Times New Roman" w:hAnsi="Times New Roman" w:cs="Times New Roman"/>
        </w:rPr>
      </w:pPr>
      <w:bookmarkStart w:id="373" w:name="_Toc48818087"/>
      <w:r w:rsidRPr="004E7F7B">
        <w:rPr>
          <w:rFonts w:ascii="Times New Roman" w:hAnsi="Times New Roman" w:cs="Times New Roman"/>
        </w:rPr>
        <w:t>Tabl</w:t>
      </w:r>
      <w:r w:rsidR="00FE0469" w:rsidRPr="004E7F7B">
        <w:rPr>
          <w:rFonts w:ascii="Times New Roman" w:hAnsi="Times New Roman" w:cs="Times New Roman"/>
        </w:rPr>
        <w:t>e 13.4: Number of Employees by Y</w:t>
      </w:r>
      <w:r w:rsidRPr="004E7F7B">
        <w:rPr>
          <w:rFonts w:ascii="Times New Roman" w:hAnsi="Times New Roman" w:cs="Times New Roman"/>
        </w:rPr>
        <w:t>ears</w:t>
      </w:r>
      <w:bookmarkEnd w:id="373"/>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966"/>
        <w:gridCol w:w="541"/>
        <w:gridCol w:w="541"/>
        <w:gridCol w:w="541"/>
        <w:gridCol w:w="541"/>
        <w:gridCol w:w="541"/>
        <w:gridCol w:w="541"/>
        <w:gridCol w:w="541"/>
        <w:gridCol w:w="541"/>
        <w:gridCol w:w="541"/>
        <w:gridCol w:w="541"/>
        <w:gridCol w:w="541"/>
        <w:gridCol w:w="541"/>
        <w:gridCol w:w="541"/>
        <w:gridCol w:w="541"/>
        <w:gridCol w:w="541"/>
        <w:gridCol w:w="541"/>
      </w:tblGrid>
      <w:tr w:rsidR="00545ED5" w:rsidRPr="004E7F7B" w:rsidTr="00545ED5">
        <w:trPr>
          <w:trHeight w:val="567"/>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line="240" w:lineRule="auto"/>
              <w:rPr>
                <w:rFonts w:ascii="Times New Roman" w:eastAsia="Times New Roman" w:hAnsi="Times New Roman" w:cs="Times New Roman"/>
                <w:b/>
                <w:color w:val="FFFFFF" w:themeColor="background1"/>
              </w:rPr>
            </w:pPr>
            <w:r w:rsidRPr="004E7F7B">
              <w:rPr>
                <w:rFonts w:ascii="Times New Roman" w:eastAsia="Times New Roman" w:hAnsi="Times New Roman" w:cs="Times New Roman"/>
                <w:b/>
                <w:color w:val="FFFFFF" w:themeColor="background1"/>
              </w:rPr>
              <w:t>Year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2009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tcPr>
          <w:p w:rsidR="00545ED5" w:rsidRPr="004E7F7B" w:rsidRDefault="00545ED5" w:rsidP="004E7F7B">
            <w:pPr>
              <w:spacing w:after="0"/>
              <w:rPr>
                <w:rFonts w:ascii="Times New Roman" w:hAnsi="Times New Roman" w:cs="Times New Roman"/>
                <w:color w:val="FFFFFF" w:themeColor="background1"/>
              </w:rPr>
            </w:pPr>
            <w:r w:rsidRPr="004E7F7B">
              <w:rPr>
                <w:rFonts w:ascii="Times New Roman" w:hAnsi="Times New Roman" w:cs="Times New Roman"/>
                <w:color w:val="FFFFFF" w:themeColor="background1"/>
              </w:rPr>
              <w:t>2019</w:t>
            </w:r>
          </w:p>
        </w:tc>
      </w:tr>
      <w:tr w:rsidR="00545ED5" w:rsidRPr="004E7F7B" w:rsidTr="00545ED5">
        <w:trPr>
          <w:trHeight w:val="46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b/>
              </w:rPr>
            </w:pPr>
            <w:r w:rsidRPr="004E7F7B">
              <w:rPr>
                <w:rFonts w:ascii="Times New Roman" w:eastAsia="Times New Roman" w:hAnsi="Times New Roman" w:cs="Times New Roman"/>
                <w:b/>
              </w:rPr>
              <w:t>Number of Employees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259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296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303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313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370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404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430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467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453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436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461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494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482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474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501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545ED5" w:rsidRPr="004E7F7B" w:rsidRDefault="00545ED5" w:rsidP="004E7F7B">
            <w:pPr>
              <w:keepNext/>
              <w:spacing w:after="0" w:line="240" w:lineRule="auto"/>
              <w:rPr>
                <w:rFonts w:ascii="Times New Roman" w:eastAsia="Times New Roman" w:hAnsi="Times New Roman" w:cs="Times New Roman"/>
              </w:rPr>
            </w:pPr>
            <w:r w:rsidRPr="004E7F7B">
              <w:rPr>
                <w:rFonts w:ascii="Times New Roman" w:eastAsia="Times New Roman" w:hAnsi="Times New Roman" w:cs="Times New Roman"/>
              </w:rPr>
              <w:t xml:space="preserve">             509</w:t>
            </w:r>
          </w:p>
        </w:tc>
      </w:tr>
    </w:tbl>
    <w:p w:rsidR="00FE7FEB" w:rsidRPr="004E7F7B" w:rsidRDefault="00FE7FEB" w:rsidP="004E7F7B">
      <w:pPr>
        <w:rPr>
          <w:rFonts w:ascii="Times New Roman" w:hAnsi="Times New Roman" w:cs="Times New Roman"/>
          <w:b/>
          <w:bCs/>
        </w:rPr>
      </w:pPr>
    </w:p>
    <w:p w:rsidR="00FE7FEB" w:rsidRPr="004E7F7B" w:rsidRDefault="00FE7FEB" w:rsidP="004E7F7B">
      <w:pPr>
        <w:pStyle w:val="Balk2"/>
        <w:rPr>
          <w:rFonts w:ascii="Times New Roman" w:hAnsi="Times New Roman" w:cs="Times New Roman"/>
          <w:sz w:val="22"/>
          <w:szCs w:val="22"/>
        </w:rPr>
      </w:pPr>
      <w:bookmarkStart w:id="374" w:name="_Toc48817916"/>
      <w:r w:rsidRPr="004E7F7B">
        <w:rPr>
          <w:rFonts w:ascii="Times New Roman" w:hAnsi="Times New Roman" w:cs="Times New Roman"/>
          <w:sz w:val="22"/>
          <w:szCs w:val="22"/>
        </w:rPr>
        <w:t>13.2. Training Activities</w:t>
      </w:r>
      <w:bookmarkEnd w:id="374"/>
    </w:p>
    <w:p w:rsidR="00FE7FEB" w:rsidRPr="004E7F7B" w:rsidRDefault="00FE7FEB" w:rsidP="00146B4A">
      <w:r w:rsidRPr="004E7F7B">
        <w:t>In this section, information about the training activities for the staff of the Authority and the information about the trainees are given. As it is clear from the tables on the following pages, the Authority allocates significant time and financial resources for training activities.</w:t>
      </w:r>
    </w:p>
    <w:p w:rsidR="00545ED5" w:rsidRPr="004E7F7B" w:rsidRDefault="00545ED5" w:rsidP="004E7F7B">
      <w:pPr>
        <w:rPr>
          <w:rFonts w:ascii="Times New Roman" w:hAnsi="Times New Roman" w:cs="Times New Roman"/>
        </w:rPr>
      </w:pPr>
    </w:p>
    <w:p w:rsidR="00545ED5" w:rsidRPr="004E7F7B" w:rsidRDefault="00545ED5" w:rsidP="004E7F7B">
      <w:pPr>
        <w:rPr>
          <w:rFonts w:ascii="Times New Roman" w:hAnsi="Times New Roman" w:cs="Times New Roman"/>
          <w:b/>
          <w:bCs/>
        </w:rPr>
      </w:pPr>
    </w:p>
    <w:p w:rsidR="00FE7FEB" w:rsidRPr="004E7F7B" w:rsidRDefault="00FE7FEB" w:rsidP="004E7F7B">
      <w:pPr>
        <w:pStyle w:val="Balk3"/>
        <w:rPr>
          <w:rFonts w:ascii="Times New Roman" w:hAnsi="Times New Roman" w:cs="Times New Roman"/>
          <w:sz w:val="22"/>
          <w:szCs w:val="22"/>
        </w:rPr>
      </w:pPr>
      <w:bookmarkStart w:id="375" w:name="_Toc48817917"/>
      <w:r w:rsidRPr="004E7F7B">
        <w:rPr>
          <w:rFonts w:ascii="Times New Roman" w:hAnsi="Times New Roman" w:cs="Times New Roman"/>
          <w:sz w:val="22"/>
          <w:szCs w:val="22"/>
        </w:rPr>
        <w:t>13.2.1. In-service Training Activities</w:t>
      </w:r>
      <w:bookmarkEnd w:id="375"/>
    </w:p>
    <w:p w:rsidR="00FE7FEB" w:rsidRPr="004E7F7B" w:rsidRDefault="0059705E" w:rsidP="004E7F7B">
      <w:pPr>
        <w:pStyle w:val="Balk5"/>
        <w:jc w:val="both"/>
        <w:rPr>
          <w:rFonts w:ascii="Times New Roman" w:hAnsi="Times New Roman" w:cs="Times New Roman"/>
        </w:rPr>
      </w:pPr>
      <w:bookmarkStart w:id="376" w:name="_Toc48818088"/>
      <w:r w:rsidRPr="004E7F7B">
        <w:rPr>
          <w:rFonts w:ascii="Times New Roman" w:hAnsi="Times New Roman" w:cs="Times New Roman"/>
        </w:rPr>
        <w:t>Table 13.5: Time and Budget Spent for Tarianing A</w:t>
      </w:r>
      <w:r w:rsidR="00FE7FEB" w:rsidRPr="004E7F7B">
        <w:rPr>
          <w:rFonts w:ascii="Times New Roman" w:hAnsi="Times New Roman" w:cs="Times New Roman"/>
        </w:rPr>
        <w:t>ctivities in 201</w:t>
      </w:r>
      <w:r w:rsidR="00353F12" w:rsidRPr="004E7F7B">
        <w:rPr>
          <w:rFonts w:ascii="Times New Roman" w:hAnsi="Times New Roman" w:cs="Times New Roman"/>
        </w:rPr>
        <w:t>9</w:t>
      </w:r>
      <w:bookmarkEnd w:id="376"/>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41"/>
        <w:gridCol w:w="3587"/>
        <w:gridCol w:w="1594"/>
      </w:tblGrid>
      <w:tr w:rsidR="00FE7FEB" w:rsidRPr="004E7F7B" w:rsidTr="00D816E6">
        <w:trPr>
          <w:cantSplit/>
          <w:trHeight w:val="20"/>
          <w:tblHead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Trainer Institution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Name of the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No of Participants</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rPr>
                <w:rFonts w:ascii="Times New Roman" w:hAnsi="Times New Roman" w:cs="Times New Roman"/>
                <w:color w:val="FF0000"/>
              </w:rPr>
            </w:pPr>
            <w:r w:rsidRPr="004E7F7B">
              <w:rPr>
                <w:rFonts w:ascii="Times New Roman" w:hAnsi="Times New Roman" w:cs="Times New Roman"/>
              </w:rPr>
              <w:t>PROKED ACADEMY</w:t>
            </w:r>
            <w:r w:rsidR="00353F12" w:rsidRPr="004E7F7B">
              <w:rPr>
                <w:rFonts w:ascii="Times New Roman" w:hAnsi="Times New Roman" w:cs="Times New Roman"/>
              </w:rPr>
              <w:t xml:space="preserve"> </w:t>
            </w:r>
            <w:r w:rsidRPr="004E7F7B">
              <w:rPr>
                <w:rFonts w:ascii="Times New Roman" w:hAnsi="Times New Roman" w:cs="Times New Roman"/>
              </w:rPr>
              <w:t>Project Organization and Corporate Training Consultancy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Thesis Preparation Training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14</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F2033A" w:rsidP="004E7F7B">
            <w:pPr>
              <w:rPr>
                <w:rFonts w:ascii="Times New Roman" w:hAnsi="Times New Roman" w:cs="Times New Roman"/>
                <w:color w:val="FF0000"/>
              </w:rPr>
            </w:pPr>
            <w:r w:rsidRPr="004E7F7B">
              <w:rPr>
                <w:rFonts w:ascii="Times New Roman" w:hAnsi="Times New Roman" w:cs="Times New Roman"/>
              </w:rPr>
              <w:t>Ministry of Energy and Natural Resources General Directorate of Legal Services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92F44" w:rsidP="004E7F7B">
            <w:pPr>
              <w:autoSpaceDE w:val="0"/>
              <w:autoSpaceDN w:val="0"/>
              <w:adjustRightInd w:val="0"/>
              <w:rPr>
                <w:rFonts w:ascii="Times New Roman" w:hAnsi="Times New Roman" w:cs="Times New Roman"/>
              </w:rPr>
            </w:pPr>
            <w:r w:rsidRPr="004E7F7B">
              <w:rPr>
                <w:rFonts w:ascii="Times New Roman" w:hAnsi="Times New Roman" w:cs="Times New Roman"/>
              </w:rPr>
              <w:t>Mediation in Commercial Law</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2</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F2033A" w:rsidP="004E7F7B">
            <w:pPr>
              <w:rPr>
                <w:rFonts w:ascii="Times New Roman" w:hAnsi="Times New Roman" w:cs="Times New Roman"/>
                <w:color w:val="FF0000"/>
              </w:rPr>
            </w:pPr>
            <w:r w:rsidRPr="004E7F7B">
              <w:rPr>
                <w:rFonts w:ascii="Times New Roman" w:hAnsi="Times New Roman" w:cs="Times New Roman"/>
              </w:rPr>
              <w:t>The Research Institute of Banking and Commercial Law</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BD240F" w:rsidP="004E7F7B">
            <w:pPr>
              <w:rPr>
                <w:rFonts w:ascii="Times New Roman" w:hAnsi="Times New Roman" w:cs="Times New Roman"/>
              </w:rPr>
            </w:pPr>
            <w:r w:rsidRPr="004E7F7B">
              <w:rPr>
                <w:rFonts w:ascii="Times New Roman" w:hAnsi="Times New Roman" w:cs="Times New Roman"/>
              </w:rPr>
              <w:t>Commercial Law</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5</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rPr>
                <w:rFonts w:ascii="Times New Roman" w:hAnsi="Times New Roman" w:cs="Times New Roman"/>
                <w:color w:val="FF0000"/>
              </w:rPr>
            </w:pPr>
            <w:r w:rsidRPr="004E7F7B">
              <w:rPr>
                <w:rFonts w:ascii="Times New Roman" w:hAnsi="Times New Roman" w:cs="Times New Roman"/>
              </w:rPr>
              <w:t>Energy Market Regulatory Authority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rPr>
                <w:rFonts w:ascii="Times New Roman" w:hAnsi="Times New Roman" w:cs="Times New Roman"/>
              </w:rPr>
            </w:pPr>
            <w:r w:rsidRPr="004E7F7B">
              <w:rPr>
                <w:rFonts w:ascii="Times New Roman" w:hAnsi="Times New Roman" w:cs="Times New Roman"/>
              </w:rPr>
              <w:t>Information Security Management S</w:t>
            </w:r>
            <w:r w:rsidR="00BD240F" w:rsidRPr="004E7F7B">
              <w:rPr>
                <w:rFonts w:ascii="Times New Roman" w:hAnsi="Times New Roman" w:cs="Times New Roman"/>
              </w:rPr>
              <w:t>ystem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353F12" w:rsidP="004E7F7B">
            <w:pPr>
              <w:rPr>
                <w:rFonts w:ascii="Times New Roman" w:hAnsi="Times New Roman" w:cs="Times New Roman"/>
                <w:color w:val="FF0000"/>
              </w:rPr>
            </w:pPr>
            <w:r w:rsidRPr="004E7F7B">
              <w:rPr>
                <w:rFonts w:ascii="Times New Roman" w:hAnsi="Times New Roman" w:cs="Times New Roman"/>
              </w:rPr>
              <w:t xml:space="preserve">TÜBİTAK-BİLGEM </w:t>
            </w:r>
            <w:r w:rsidR="00B334FD" w:rsidRPr="004E7F7B">
              <w:rPr>
                <w:rFonts w:ascii="Times New Roman" w:hAnsi="Times New Roman" w:cs="Times New Roman"/>
              </w:rPr>
              <w:t>Software Technologies Research Institute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92F44" w:rsidP="004E7F7B">
            <w:pPr>
              <w:rPr>
                <w:rFonts w:ascii="Times New Roman" w:hAnsi="Times New Roman" w:cs="Times New Roman"/>
                <w:color w:val="FF0000"/>
              </w:rPr>
            </w:pPr>
            <w:r w:rsidRPr="004E7F7B">
              <w:rPr>
                <w:rFonts w:ascii="Times New Roman" w:hAnsi="Times New Roman" w:cs="Times New Roman"/>
              </w:rPr>
              <w:t>Open Source GIS Applications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2</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B334FD" w:rsidP="004E7F7B">
            <w:pPr>
              <w:rPr>
                <w:rFonts w:ascii="Times New Roman" w:hAnsi="Times New Roman" w:cs="Times New Roman"/>
                <w:color w:val="FF0000"/>
              </w:rPr>
            </w:pPr>
            <w:r w:rsidRPr="004E7F7B">
              <w:rPr>
                <w:rFonts w:ascii="Times New Roman" w:hAnsi="Times New Roman" w:cs="Times New Roman"/>
              </w:rPr>
              <w:t>Buse Congress</w:t>
            </w:r>
            <w:r w:rsidR="00353F12" w:rsidRPr="004E7F7B">
              <w:rPr>
                <w:rFonts w:ascii="Times New Roman" w:hAnsi="Times New Roman" w:cs="Times New Roman"/>
              </w:rPr>
              <w:t xml:space="preserve">, </w:t>
            </w:r>
            <w:r w:rsidRPr="004E7F7B">
              <w:rPr>
                <w:rFonts w:ascii="Times New Roman" w:hAnsi="Times New Roman" w:cs="Times New Roman"/>
              </w:rPr>
              <w:t>Tourism and Education Trade.Co.Ltd.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rPr>
                <w:rFonts w:ascii="Times New Roman" w:hAnsi="Times New Roman" w:cs="Times New Roman"/>
              </w:rPr>
            </w:pPr>
            <w:r w:rsidRPr="004E7F7B">
              <w:rPr>
                <w:rFonts w:ascii="Times New Roman" w:hAnsi="Times New Roman" w:cs="Times New Roman"/>
              </w:rPr>
              <w:t>Effective Speech and Diction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26</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353F12" w:rsidP="004E7F7B">
            <w:pPr>
              <w:rPr>
                <w:rFonts w:ascii="Times New Roman" w:hAnsi="Times New Roman" w:cs="Times New Roman"/>
                <w:color w:val="FF0000"/>
              </w:rPr>
            </w:pPr>
            <w:r w:rsidRPr="004E7F7B">
              <w:rPr>
                <w:rFonts w:ascii="Times New Roman" w:hAnsi="Times New Roman" w:cs="Times New Roman"/>
              </w:rPr>
              <w:t xml:space="preserve">Pınar </w:t>
            </w:r>
            <w:r w:rsidR="00B334FD" w:rsidRPr="004E7F7B">
              <w:rPr>
                <w:rFonts w:ascii="Times New Roman" w:hAnsi="Times New Roman" w:cs="Times New Roman"/>
              </w:rPr>
              <w:t>First Aid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rPr>
                <w:rFonts w:ascii="Times New Roman" w:hAnsi="Times New Roman" w:cs="Times New Roman"/>
              </w:rPr>
            </w:pPr>
            <w:r w:rsidRPr="004E7F7B">
              <w:rPr>
                <w:rFonts w:ascii="Times New Roman" w:hAnsi="Times New Roman" w:cs="Times New Roman"/>
              </w:rPr>
              <w:t>Central Basic First Aid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59</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Energy Market Regulatory Authority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bCs/>
                <w:iCs/>
              </w:rPr>
            </w:pPr>
            <w:r w:rsidRPr="004E7F7B">
              <w:rPr>
                <w:rFonts w:ascii="Times New Roman" w:hAnsi="Times New Roman" w:cs="Times New Roman"/>
                <w:bCs/>
                <w:iCs/>
              </w:rPr>
              <w:t>Basic Occupational Health and Safety Training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B334FD"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Informatics Association of Turkey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92F44" w:rsidRPr="004E7F7B" w:rsidRDefault="00F92F44" w:rsidP="004E7F7B">
            <w:pPr>
              <w:autoSpaceDE w:val="0"/>
              <w:autoSpaceDN w:val="0"/>
              <w:adjustRightInd w:val="0"/>
              <w:rPr>
                <w:rFonts w:ascii="Times New Roman" w:hAnsi="Times New Roman" w:cs="Times New Roman"/>
                <w:bCs/>
              </w:rPr>
            </w:pPr>
            <w:r w:rsidRPr="004E7F7B">
              <w:rPr>
                <w:rFonts w:ascii="Times New Roman" w:hAnsi="Times New Roman" w:cs="Times New Roman"/>
                <w:bCs/>
              </w:rPr>
              <w:t xml:space="preserve">IT Platform </w:t>
            </w:r>
          </w:p>
          <w:p w:rsidR="00353F12" w:rsidRPr="004E7F7B" w:rsidRDefault="00F92F44" w:rsidP="004E7F7B">
            <w:pPr>
              <w:autoSpaceDE w:val="0"/>
              <w:autoSpaceDN w:val="0"/>
              <w:adjustRightInd w:val="0"/>
              <w:rPr>
                <w:rFonts w:ascii="Times New Roman" w:hAnsi="Times New Roman" w:cs="Times New Roman"/>
                <w:bCs/>
                <w:color w:val="FF0000"/>
              </w:rPr>
            </w:pPr>
            <w:r w:rsidRPr="004E7F7B">
              <w:rPr>
                <w:rFonts w:ascii="Times New Roman" w:hAnsi="Times New Roman" w:cs="Times New Roman"/>
                <w:bCs/>
              </w:rPr>
              <w:t xml:space="preserve">IT Center Managers Seminar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4</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Energy Market Regulatory Authority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bCs/>
              </w:rPr>
            </w:pPr>
            <w:r w:rsidRPr="004E7F7B">
              <w:rPr>
                <w:rFonts w:ascii="Times New Roman" w:hAnsi="Times New Roman" w:cs="Times New Roman"/>
                <w:bCs/>
              </w:rPr>
              <w:t>Technical Review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38</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353F12"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UGETAM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2033A" w:rsidP="004E7F7B">
            <w:pPr>
              <w:autoSpaceDE w:val="0"/>
              <w:autoSpaceDN w:val="0"/>
              <w:adjustRightInd w:val="0"/>
              <w:rPr>
                <w:rFonts w:ascii="Times New Roman" w:hAnsi="Times New Roman" w:cs="Times New Roman"/>
                <w:bCs/>
              </w:rPr>
            </w:pPr>
            <w:r w:rsidRPr="004E7F7B">
              <w:rPr>
                <w:rFonts w:ascii="Times New Roman" w:hAnsi="Times New Roman" w:cs="Times New Roman"/>
                <w:bCs/>
              </w:rPr>
              <w:t>Natural Gas and Energy Systems Information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58</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B334FD" w:rsidP="004E7F7B">
            <w:pPr>
              <w:rPr>
                <w:rFonts w:ascii="Times New Roman" w:hAnsi="Times New Roman" w:cs="Times New Roman"/>
                <w:color w:val="FF0000"/>
              </w:rPr>
            </w:pPr>
            <w:r w:rsidRPr="004E7F7B">
              <w:rPr>
                <w:rFonts w:ascii="Times New Roman" w:hAnsi="Times New Roman" w:cs="Times New Roman"/>
              </w:rPr>
              <w:t>Project Organization Corporate Training Consultancy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F2033A" w:rsidP="004E7F7B">
            <w:pPr>
              <w:rPr>
                <w:rFonts w:ascii="Times New Roman" w:hAnsi="Times New Roman" w:cs="Times New Roman"/>
              </w:rPr>
            </w:pPr>
            <w:r w:rsidRPr="004E7F7B">
              <w:rPr>
                <w:rFonts w:ascii="Times New Roman" w:hAnsi="Times New Roman" w:cs="Times New Roman"/>
              </w:rPr>
              <w:t>Communication and Behavior Skills Training for Executive Assistants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40</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B334FD" w:rsidP="004E7F7B">
            <w:pPr>
              <w:rPr>
                <w:rFonts w:ascii="Times New Roman" w:hAnsi="Times New Roman" w:cs="Times New Roman"/>
                <w:color w:val="FF0000"/>
              </w:rPr>
            </w:pPr>
            <w:r w:rsidRPr="004E7F7B">
              <w:rPr>
                <w:rFonts w:ascii="Times New Roman" w:hAnsi="Times New Roman" w:cs="Times New Roman"/>
              </w:rPr>
              <w:t>Energy Market Regulatory Authority Preparatory Training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B334FD" w:rsidP="004E7F7B">
            <w:pPr>
              <w:rPr>
                <w:rFonts w:ascii="Times New Roman" w:hAnsi="Times New Roman" w:cs="Times New Roman"/>
              </w:rPr>
            </w:pPr>
            <w:r w:rsidRPr="004E7F7B">
              <w:rPr>
                <w:rFonts w:ascii="Times New Roman" w:hAnsi="Times New Roman" w:cs="Times New Roman"/>
              </w:rPr>
              <w:t>Preparatory Training Program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25</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B334FD" w:rsidP="004E7F7B">
            <w:pPr>
              <w:rPr>
                <w:rFonts w:ascii="Times New Roman" w:hAnsi="Times New Roman" w:cs="Times New Roman"/>
                <w:color w:val="FF0000"/>
              </w:rPr>
            </w:pPr>
            <w:r w:rsidRPr="004E7F7B">
              <w:rPr>
                <w:rFonts w:ascii="Times New Roman" w:hAnsi="Times New Roman" w:cs="Times New Roman"/>
              </w:rPr>
              <w:t>Ankara Consultancy Representation Publishing Education Tourism Management and Trade Inc.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 xml:space="preserve">TDV-SABEL SCHULE </w:t>
            </w:r>
            <w:r w:rsidR="00B334FD" w:rsidRPr="004E7F7B">
              <w:rPr>
                <w:rFonts w:ascii="Times New Roman" w:hAnsi="Times New Roman" w:cs="Times New Roman"/>
              </w:rPr>
              <w:t>Education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1</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353F12" w:rsidP="004E7F7B">
            <w:pPr>
              <w:rPr>
                <w:rFonts w:ascii="Times New Roman" w:hAnsi="Times New Roman" w:cs="Times New Roman"/>
                <w:color w:val="FF0000"/>
              </w:rPr>
            </w:pPr>
            <w:r w:rsidRPr="004E7F7B">
              <w:rPr>
                <w:rFonts w:ascii="Times New Roman" w:hAnsi="Times New Roman" w:cs="Times New Roman"/>
              </w:rPr>
              <w:t xml:space="preserve">Yıldırım Beyazıt </w:t>
            </w:r>
            <w:r w:rsidR="00F92F44" w:rsidRPr="004E7F7B">
              <w:rPr>
                <w:rFonts w:ascii="Times New Roman" w:hAnsi="Times New Roman" w:cs="Times New Roman"/>
              </w:rPr>
              <w:t xml:space="preserve">University Directorate of Revolving Fund </w:t>
            </w:r>
            <w:r w:rsidR="00F92F44" w:rsidRPr="004E7F7B">
              <w:rPr>
                <w:rFonts w:ascii="Times New Roman" w:hAnsi="Times New Roman" w:cs="Times New Roman"/>
              </w:rPr>
              <w:tab/>
              <w:t>faculty of political Sciences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92F44" w:rsidP="004E7F7B">
            <w:pPr>
              <w:rPr>
                <w:rFonts w:ascii="Times New Roman" w:hAnsi="Times New Roman" w:cs="Times New Roman"/>
              </w:rPr>
            </w:pPr>
            <w:r w:rsidRPr="004E7F7B">
              <w:rPr>
                <w:rFonts w:ascii="Times New Roman" w:hAnsi="Times New Roman" w:cs="Times New Roman"/>
              </w:rPr>
              <w:t>EMRA</w:t>
            </w:r>
            <w:r w:rsidR="00353F12" w:rsidRPr="004E7F7B">
              <w:rPr>
                <w:rFonts w:ascii="Times New Roman" w:hAnsi="Times New Roman" w:cs="Times New Roman"/>
              </w:rPr>
              <w:t xml:space="preserve"> </w:t>
            </w:r>
            <w:r w:rsidRPr="004E7F7B">
              <w:rPr>
                <w:rFonts w:ascii="Times New Roman" w:hAnsi="Times New Roman" w:cs="Times New Roman"/>
              </w:rPr>
              <w:t>Title Change Exam Fee for Engineer Staff</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4</w:t>
            </w:r>
          </w:p>
        </w:tc>
      </w:tr>
      <w:tr w:rsidR="00353F12" w:rsidRPr="004E7F7B" w:rsidTr="00DA4735">
        <w:trPr>
          <w:cantSplit/>
          <w:trHeight w:val="2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53F12" w:rsidRPr="004E7F7B" w:rsidRDefault="00F92F44" w:rsidP="004E7F7B">
            <w:pPr>
              <w:autoSpaceDE w:val="0"/>
              <w:autoSpaceDN w:val="0"/>
              <w:adjustRightInd w:val="0"/>
              <w:rPr>
                <w:rFonts w:ascii="Times New Roman" w:hAnsi="Times New Roman" w:cs="Times New Roman"/>
                <w:color w:val="FF0000"/>
              </w:rPr>
            </w:pPr>
            <w:r w:rsidRPr="004E7F7B">
              <w:rPr>
                <w:rFonts w:ascii="Times New Roman" w:hAnsi="Times New Roman" w:cs="Times New Roman"/>
              </w:rPr>
              <w:t>Ankara University European Communities Research and Application Center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53F12" w:rsidRPr="004E7F7B" w:rsidRDefault="00F92F44" w:rsidP="004E7F7B">
            <w:pPr>
              <w:autoSpaceDE w:val="0"/>
              <w:autoSpaceDN w:val="0"/>
              <w:adjustRightInd w:val="0"/>
              <w:rPr>
                <w:rFonts w:ascii="Times New Roman" w:hAnsi="Times New Roman" w:cs="Times New Roman"/>
                <w:bCs/>
              </w:rPr>
            </w:pPr>
            <w:r w:rsidRPr="004E7F7B">
              <w:rPr>
                <w:rFonts w:ascii="Times New Roman" w:hAnsi="Times New Roman" w:cs="Times New Roman"/>
                <w:bCs/>
              </w:rPr>
              <w:t>EU Basic Education Program Course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3F12" w:rsidRPr="004E7F7B" w:rsidRDefault="00353F12" w:rsidP="004E7F7B">
            <w:pPr>
              <w:rPr>
                <w:rFonts w:ascii="Times New Roman" w:hAnsi="Times New Roman" w:cs="Times New Roman"/>
              </w:rPr>
            </w:pPr>
            <w:r w:rsidRPr="004E7F7B">
              <w:rPr>
                <w:rFonts w:ascii="Times New Roman" w:hAnsi="Times New Roman" w:cs="Times New Roman"/>
              </w:rPr>
              <w:t>1</w:t>
            </w:r>
          </w:p>
        </w:tc>
      </w:tr>
    </w:tbl>
    <w:p w:rsidR="00FE7FEB" w:rsidRPr="004E7F7B" w:rsidRDefault="00FE7FEB" w:rsidP="004E7F7B">
      <w:pPr>
        <w:rPr>
          <w:rFonts w:ascii="Times New Roman" w:hAnsi="Times New Roman" w:cs="Times New Roman"/>
        </w:rPr>
      </w:pPr>
    </w:p>
    <w:p w:rsidR="00FE7FEB" w:rsidRPr="004E7F7B" w:rsidRDefault="00FE7FEB" w:rsidP="004E7F7B">
      <w:pPr>
        <w:pStyle w:val="Balk3"/>
        <w:rPr>
          <w:rFonts w:ascii="Times New Roman" w:hAnsi="Times New Roman" w:cs="Times New Roman"/>
          <w:sz w:val="22"/>
          <w:szCs w:val="22"/>
        </w:rPr>
      </w:pPr>
      <w:bookmarkStart w:id="377" w:name="_Toc48817918"/>
      <w:r w:rsidRPr="004E7F7B">
        <w:rPr>
          <w:rFonts w:ascii="Times New Roman" w:hAnsi="Times New Roman" w:cs="Times New Roman"/>
          <w:sz w:val="22"/>
          <w:szCs w:val="22"/>
        </w:rPr>
        <w:t>13.2.2. Other Training Activities</w:t>
      </w:r>
      <w:bookmarkEnd w:id="377"/>
      <w:r w:rsidRPr="004E7F7B">
        <w:rPr>
          <w:rFonts w:ascii="Times New Roman" w:hAnsi="Times New Roman" w:cs="Times New Roman"/>
          <w:sz w:val="22"/>
          <w:szCs w:val="22"/>
        </w:rPr>
        <w:t xml:space="preserve"> </w:t>
      </w:r>
    </w:p>
    <w:p w:rsidR="00FE7FEB" w:rsidRPr="004E7F7B" w:rsidRDefault="00FE7FEB" w:rsidP="00146B4A">
      <w:pPr>
        <w:rPr>
          <w:lang w:val="en-GB"/>
        </w:rPr>
      </w:pPr>
      <w:r w:rsidRPr="004E7F7B">
        <w:rPr>
          <w:lang w:val="en-GB"/>
        </w:rPr>
        <w:t>Each year, the Institution sends a certain number of staff to the short-term trainings aimed at increasing knowledge and etiquette and long-term trainings to carry out masters studies, taking into consideration the year of service and foreign language criteria in the framework of the relevant legislation. Furthermore, in order to ensure that developments in the world energy market can be monitored more closely, Authority’s personnel are encouraged to participate in trainings aimed at raising the level of foreign language knowledge. Information on the work done in this contex</w:t>
      </w:r>
      <w:r w:rsidR="00D90686" w:rsidRPr="004E7F7B">
        <w:rPr>
          <w:lang w:val="en-GB"/>
        </w:rPr>
        <w:t>t is given in the tables below.</w:t>
      </w:r>
    </w:p>
    <w:p w:rsidR="00FE7FEB" w:rsidRPr="004E7F7B" w:rsidRDefault="00FE7FEB" w:rsidP="004E7F7B">
      <w:pPr>
        <w:pStyle w:val="Balk5"/>
        <w:jc w:val="both"/>
        <w:rPr>
          <w:rFonts w:ascii="Times New Roman" w:hAnsi="Times New Roman" w:cs="Times New Roman"/>
        </w:rPr>
      </w:pPr>
      <w:bookmarkStart w:id="378" w:name="_Toc48818089"/>
      <w:r w:rsidRPr="004E7F7B">
        <w:rPr>
          <w:rFonts w:ascii="Times New Roman" w:hAnsi="Times New Roman" w:cs="Times New Roman"/>
        </w:rPr>
        <w:t>Table 13.6: Oversees Trainings in 201</w:t>
      </w:r>
      <w:r w:rsidR="00353F12" w:rsidRPr="004E7F7B">
        <w:rPr>
          <w:rFonts w:ascii="Times New Roman" w:hAnsi="Times New Roman" w:cs="Times New Roman"/>
        </w:rPr>
        <w:t>9</w:t>
      </w:r>
      <w:bookmarkEnd w:id="378"/>
    </w:p>
    <w:tbl>
      <w:tblPr>
        <w:tblW w:w="9317" w:type="dxa"/>
        <w:tblInd w:w="55" w:type="dxa"/>
        <w:tblCellMar>
          <w:left w:w="70" w:type="dxa"/>
          <w:right w:w="70" w:type="dxa"/>
        </w:tblCellMar>
        <w:tblLook w:val="04A0" w:firstRow="1" w:lastRow="0" w:firstColumn="1" w:lastColumn="0" w:noHBand="0" w:noVBand="1"/>
      </w:tblPr>
      <w:tblGrid>
        <w:gridCol w:w="3262"/>
        <w:gridCol w:w="3307"/>
        <w:gridCol w:w="2748"/>
      </w:tblGrid>
      <w:tr w:rsidR="0068770B" w:rsidRPr="004E7F7B" w:rsidTr="0068770B">
        <w:trPr>
          <w:trHeight w:val="780"/>
        </w:trPr>
        <w:tc>
          <w:tcPr>
            <w:tcW w:w="3262" w:type="dxa"/>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68770B" w:rsidRPr="004E7F7B" w:rsidRDefault="0068770B" w:rsidP="004E7F7B">
            <w:pPr>
              <w:spacing w:after="0" w:line="240" w:lineRule="auto"/>
              <w:rPr>
                <w:rFonts w:ascii="Times New Roman" w:eastAsia="Times New Roman" w:hAnsi="Times New Roman" w:cs="Times New Roman"/>
                <w:b/>
                <w:bCs/>
                <w:noProof w:val="0"/>
                <w:color w:val="FFFFFF"/>
                <w:lang w:val="tr-TR" w:eastAsia="tr-TR"/>
              </w:rPr>
            </w:pPr>
            <w:r w:rsidRPr="004E7F7B">
              <w:rPr>
                <w:rFonts w:ascii="Times New Roman" w:eastAsia="Times New Roman" w:hAnsi="Times New Roman" w:cs="Times New Roman"/>
                <w:b/>
                <w:bCs/>
                <w:noProof w:val="0"/>
                <w:color w:val="FFFFFF"/>
                <w:lang w:eastAsia="tr-TR"/>
              </w:rPr>
              <w:t>Category of the Training</w:t>
            </w:r>
          </w:p>
        </w:tc>
        <w:tc>
          <w:tcPr>
            <w:tcW w:w="3307" w:type="dxa"/>
            <w:tcBorders>
              <w:top w:val="single" w:sz="8" w:space="0" w:color="D9D9D9"/>
              <w:left w:val="nil"/>
              <w:bottom w:val="single" w:sz="8" w:space="0" w:color="D9D9D9"/>
              <w:right w:val="single" w:sz="8" w:space="0" w:color="D9D9D9"/>
            </w:tcBorders>
            <w:shd w:val="clear" w:color="000000" w:fill="6E9ECA"/>
            <w:vAlign w:val="center"/>
            <w:hideMark/>
          </w:tcPr>
          <w:p w:rsidR="0068770B" w:rsidRPr="004E7F7B" w:rsidRDefault="0068770B" w:rsidP="004E7F7B">
            <w:pPr>
              <w:spacing w:after="0" w:line="240" w:lineRule="auto"/>
              <w:rPr>
                <w:rFonts w:ascii="Times New Roman" w:eastAsia="Times New Roman" w:hAnsi="Times New Roman" w:cs="Times New Roman"/>
                <w:b/>
                <w:bCs/>
                <w:noProof w:val="0"/>
                <w:color w:val="FFFFFF"/>
                <w:lang w:val="tr-TR" w:eastAsia="tr-TR"/>
              </w:rPr>
            </w:pPr>
            <w:r w:rsidRPr="004E7F7B">
              <w:rPr>
                <w:rFonts w:ascii="Times New Roman" w:eastAsia="Times New Roman" w:hAnsi="Times New Roman" w:cs="Times New Roman"/>
                <w:b/>
                <w:bCs/>
                <w:noProof w:val="0"/>
                <w:color w:val="FFFFFF"/>
                <w:lang w:eastAsia="tr-TR"/>
              </w:rPr>
              <w:t>Name of the Training</w:t>
            </w:r>
          </w:p>
        </w:tc>
        <w:tc>
          <w:tcPr>
            <w:tcW w:w="2748" w:type="dxa"/>
            <w:tcBorders>
              <w:top w:val="single" w:sz="8" w:space="0" w:color="D9D9D9"/>
              <w:left w:val="nil"/>
              <w:bottom w:val="single" w:sz="8" w:space="0" w:color="D9D9D9"/>
              <w:right w:val="single" w:sz="8" w:space="0" w:color="D9D9D9"/>
            </w:tcBorders>
            <w:shd w:val="clear" w:color="000000" w:fill="6E9ECA"/>
            <w:vAlign w:val="center"/>
            <w:hideMark/>
          </w:tcPr>
          <w:p w:rsidR="0068770B" w:rsidRPr="004E7F7B" w:rsidRDefault="0068770B" w:rsidP="004E7F7B">
            <w:pPr>
              <w:spacing w:after="0" w:line="240" w:lineRule="auto"/>
              <w:rPr>
                <w:rFonts w:ascii="Times New Roman" w:eastAsia="Times New Roman" w:hAnsi="Times New Roman" w:cs="Times New Roman"/>
                <w:b/>
                <w:bCs/>
                <w:noProof w:val="0"/>
                <w:color w:val="FFFFFF"/>
                <w:lang w:val="tr-TR" w:eastAsia="tr-TR"/>
              </w:rPr>
            </w:pPr>
            <w:r w:rsidRPr="004E7F7B">
              <w:rPr>
                <w:rFonts w:ascii="Times New Roman" w:eastAsia="Times New Roman" w:hAnsi="Times New Roman" w:cs="Times New Roman"/>
                <w:b/>
                <w:bCs/>
                <w:noProof w:val="0"/>
                <w:color w:val="FFFFFF"/>
                <w:lang w:eastAsia="tr-TR"/>
              </w:rPr>
              <w:t>No of Participants</w:t>
            </w:r>
          </w:p>
        </w:tc>
      </w:tr>
      <w:tr w:rsidR="0068770B" w:rsidRPr="004E7F7B" w:rsidTr="0068770B">
        <w:trPr>
          <w:trHeight w:val="575"/>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Power System Basics for Non-Engineers</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2</w:t>
            </w:r>
          </w:p>
        </w:tc>
      </w:tr>
      <w:tr w:rsidR="0068770B" w:rsidRPr="004E7F7B" w:rsidTr="0068770B">
        <w:trPr>
          <w:trHeight w:val="677"/>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32nd World LPG Form and European Congress</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w:t>
            </w:r>
          </w:p>
        </w:tc>
      </w:tr>
      <w:tr w:rsidR="0068770B" w:rsidRPr="004E7F7B" w:rsidTr="0068770B">
        <w:trPr>
          <w:trHeight w:val="818"/>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17. ERRA Summer School: Introduction To Energy Regulation</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14</w:t>
            </w:r>
          </w:p>
        </w:tc>
      </w:tr>
      <w:tr w:rsidR="0068770B" w:rsidRPr="004E7F7B" w:rsidTr="0068770B">
        <w:trPr>
          <w:trHeight w:val="409"/>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System Flexibility Challange</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14</w:t>
            </w:r>
          </w:p>
        </w:tc>
      </w:tr>
      <w:tr w:rsidR="0068770B" w:rsidRPr="004E7F7B" w:rsidTr="0068770B">
        <w:trPr>
          <w:trHeight w:val="614"/>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Energy Regulation Summer School</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2</w:t>
            </w:r>
          </w:p>
        </w:tc>
      </w:tr>
      <w:tr w:rsidR="0068770B" w:rsidRPr="004E7F7B" w:rsidTr="0068770B">
        <w:trPr>
          <w:trHeight w:val="626"/>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Renewable Support Mechanisms: Tenders</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w:t>
            </w:r>
          </w:p>
        </w:tc>
      </w:tr>
      <w:tr w:rsidR="0068770B" w:rsidRPr="004E7F7B" w:rsidTr="0068770B">
        <w:trPr>
          <w:trHeight w:val="537"/>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ERRA and MEDREG</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Energy Services Regulation Summer School</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w:t>
            </w:r>
          </w:p>
        </w:tc>
      </w:tr>
      <w:tr w:rsidR="0068770B" w:rsidRPr="004E7F7B" w:rsidTr="0068770B">
        <w:trPr>
          <w:trHeight w:val="498"/>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Baku Energy Summer School</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Gas Transmission Tariff Setting</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1</w:t>
            </w:r>
          </w:p>
        </w:tc>
      </w:tr>
      <w:tr w:rsidR="0068770B" w:rsidRPr="004E7F7B" w:rsidTr="0068770B">
        <w:trPr>
          <w:trHeight w:val="1227"/>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Overseas Master Training of Corporate Staff within the Quota of the Council of Ministers</w:t>
            </w:r>
          </w:p>
        </w:tc>
        <w:tc>
          <w:tcPr>
            <w:tcW w:w="3307"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 xml:space="preserve">9th Training Course: Price Regulation and Tariffs </w:t>
            </w:r>
          </w:p>
        </w:tc>
        <w:tc>
          <w:tcPr>
            <w:tcW w:w="2748" w:type="dxa"/>
            <w:tcBorders>
              <w:top w:val="nil"/>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4</w:t>
            </w:r>
          </w:p>
        </w:tc>
      </w:tr>
      <w:tr w:rsidR="0068770B" w:rsidRPr="004E7F7B" w:rsidTr="0068770B">
        <w:trPr>
          <w:trHeight w:val="268"/>
        </w:trPr>
        <w:tc>
          <w:tcPr>
            <w:tcW w:w="3262" w:type="dxa"/>
            <w:tcBorders>
              <w:top w:val="nil"/>
              <w:left w:val="single" w:sz="8" w:space="0" w:color="D9D9D9"/>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hAnsi="Times New Roman" w:cs="Times New Roman"/>
                <w:b/>
              </w:rPr>
              <w:t>Total Cost</w:t>
            </w:r>
          </w:p>
        </w:tc>
        <w:tc>
          <w:tcPr>
            <w:tcW w:w="6055" w:type="dxa"/>
            <w:gridSpan w:val="2"/>
            <w:tcBorders>
              <w:top w:val="single" w:sz="8" w:space="0" w:color="D9D9D9"/>
              <w:left w:val="nil"/>
              <w:bottom w:val="single" w:sz="8" w:space="0" w:color="D9D9D9"/>
              <w:right w:val="single" w:sz="8" w:space="0" w:color="D9D9D9"/>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FF0000"/>
                <w:lang w:val="tr-TR" w:eastAsia="tr-TR"/>
              </w:rPr>
            </w:pPr>
            <w:r w:rsidRPr="004E7F7B">
              <w:rPr>
                <w:rFonts w:ascii="Times New Roman" w:hAnsi="Times New Roman" w:cs="Times New Roman"/>
                <w:b/>
              </w:rPr>
              <w:t>254.572,77 TL</w:t>
            </w:r>
            <w:r w:rsidRPr="004E7F7B">
              <w:rPr>
                <w:rFonts w:ascii="Times New Roman" w:eastAsia="Times New Roman" w:hAnsi="Times New Roman" w:cs="Times New Roman"/>
                <w:noProof w:val="0"/>
                <w:color w:val="FF0000"/>
                <w:lang w:eastAsia="tr-TR"/>
              </w:rPr>
              <w:t> </w:t>
            </w:r>
          </w:p>
        </w:tc>
      </w:tr>
    </w:tbl>
    <w:p w:rsidR="00FE7FEB" w:rsidRPr="004E7F7B" w:rsidRDefault="00FE7FEB" w:rsidP="004E7F7B">
      <w:pPr>
        <w:rPr>
          <w:rFonts w:ascii="Times New Roman" w:hAnsi="Times New Roman" w:cs="Times New Roman"/>
        </w:rPr>
      </w:pPr>
    </w:p>
    <w:p w:rsidR="00353F12" w:rsidRPr="004E7F7B" w:rsidRDefault="00353F12" w:rsidP="004E7F7B">
      <w:pPr>
        <w:rPr>
          <w:rFonts w:ascii="Times New Roman" w:hAnsi="Times New Roman" w:cs="Times New Roman"/>
        </w:rPr>
      </w:pPr>
    </w:p>
    <w:p w:rsidR="00FE7FEB" w:rsidRPr="004E7F7B" w:rsidRDefault="00FE7FEB" w:rsidP="004E7F7B">
      <w:pPr>
        <w:pStyle w:val="Balk5"/>
        <w:jc w:val="both"/>
        <w:rPr>
          <w:rFonts w:ascii="Times New Roman" w:hAnsi="Times New Roman" w:cs="Times New Roman"/>
        </w:rPr>
      </w:pPr>
      <w:bookmarkStart w:id="379" w:name="_Toc48818090"/>
      <w:r w:rsidRPr="004E7F7B">
        <w:rPr>
          <w:rFonts w:ascii="Times New Roman" w:hAnsi="Times New Roman" w:cs="Times New Roman"/>
        </w:rPr>
        <w:t>Table 13.7: Foreign Language Trainings in 2017</w:t>
      </w:r>
      <w:bookmarkEnd w:id="379"/>
    </w:p>
    <w:tbl>
      <w:tblPr>
        <w:tblW w:w="9391" w:type="dxa"/>
        <w:tblInd w:w="55" w:type="dxa"/>
        <w:tblCellMar>
          <w:left w:w="70" w:type="dxa"/>
          <w:right w:w="70" w:type="dxa"/>
        </w:tblCellMar>
        <w:tblLook w:val="04A0" w:firstRow="1" w:lastRow="0" w:firstColumn="1" w:lastColumn="0" w:noHBand="0" w:noVBand="1"/>
      </w:tblPr>
      <w:tblGrid>
        <w:gridCol w:w="3665"/>
        <w:gridCol w:w="3231"/>
        <w:gridCol w:w="2495"/>
      </w:tblGrid>
      <w:tr w:rsidR="00D90686" w:rsidRPr="004E7F7B" w:rsidTr="00D90686">
        <w:trPr>
          <w:trHeight w:val="599"/>
        </w:trPr>
        <w:tc>
          <w:tcPr>
            <w:tcW w:w="3665" w:type="dxa"/>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D90686" w:rsidRPr="004E7F7B" w:rsidRDefault="00D90686" w:rsidP="004E7F7B">
            <w:pPr>
              <w:spacing w:after="0" w:line="240" w:lineRule="auto"/>
              <w:rPr>
                <w:rFonts w:ascii="Times New Roman" w:eastAsia="Times New Roman" w:hAnsi="Times New Roman" w:cs="Times New Roman"/>
                <w:noProof w:val="0"/>
                <w:color w:val="FFFFFF"/>
                <w:lang w:val="tr-TR" w:eastAsia="tr-TR"/>
              </w:rPr>
            </w:pPr>
            <w:r w:rsidRPr="004E7F7B">
              <w:rPr>
                <w:rFonts w:ascii="Times New Roman" w:eastAsia="Times New Roman" w:hAnsi="Times New Roman" w:cs="Times New Roman"/>
                <w:noProof w:val="0"/>
                <w:color w:val="FFFFFF"/>
                <w:lang w:eastAsia="tr-TR"/>
              </w:rPr>
              <w:t>Eğitim Veren Kurum Veya Kuruluş</w:t>
            </w:r>
          </w:p>
        </w:tc>
        <w:tc>
          <w:tcPr>
            <w:tcW w:w="3231" w:type="dxa"/>
            <w:tcBorders>
              <w:top w:val="single" w:sz="8" w:space="0" w:color="BFBFBF"/>
              <w:left w:val="nil"/>
              <w:bottom w:val="single" w:sz="8" w:space="0" w:color="BFBFBF"/>
              <w:right w:val="single" w:sz="8" w:space="0" w:color="BFBFBF"/>
            </w:tcBorders>
            <w:shd w:val="clear" w:color="000000" w:fill="6E9ECA"/>
            <w:vAlign w:val="center"/>
            <w:hideMark/>
          </w:tcPr>
          <w:p w:rsidR="00D90686" w:rsidRPr="004E7F7B" w:rsidRDefault="00D90686" w:rsidP="004E7F7B">
            <w:pPr>
              <w:spacing w:after="0" w:line="240" w:lineRule="auto"/>
              <w:rPr>
                <w:rFonts w:ascii="Times New Roman" w:eastAsia="Times New Roman" w:hAnsi="Times New Roman" w:cs="Times New Roman"/>
                <w:noProof w:val="0"/>
                <w:color w:val="FFFFFF"/>
                <w:lang w:val="tr-TR" w:eastAsia="tr-TR"/>
              </w:rPr>
            </w:pPr>
            <w:r w:rsidRPr="004E7F7B">
              <w:rPr>
                <w:rFonts w:ascii="Times New Roman" w:eastAsia="Times New Roman" w:hAnsi="Times New Roman" w:cs="Times New Roman"/>
                <w:noProof w:val="0"/>
                <w:color w:val="FFFFFF"/>
                <w:lang w:eastAsia="tr-TR"/>
              </w:rPr>
              <w:t>Eğitimin Adı</w:t>
            </w:r>
          </w:p>
        </w:tc>
        <w:tc>
          <w:tcPr>
            <w:tcW w:w="2495" w:type="dxa"/>
            <w:tcBorders>
              <w:top w:val="single" w:sz="8" w:space="0" w:color="BFBFBF"/>
              <w:left w:val="nil"/>
              <w:bottom w:val="single" w:sz="8" w:space="0" w:color="BFBFBF"/>
              <w:right w:val="single" w:sz="8" w:space="0" w:color="BFBFBF"/>
            </w:tcBorders>
            <w:shd w:val="clear" w:color="000000" w:fill="6E9ECA"/>
            <w:vAlign w:val="center"/>
            <w:hideMark/>
          </w:tcPr>
          <w:p w:rsidR="00D90686" w:rsidRPr="004E7F7B" w:rsidRDefault="00D90686" w:rsidP="004E7F7B">
            <w:pPr>
              <w:spacing w:after="0" w:line="240" w:lineRule="auto"/>
              <w:rPr>
                <w:rFonts w:ascii="Times New Roman" w:eastAsia="Times New Roman" w:hAnsi="Times New Roman" w:cs="Times New Roman"/>
                <w:noProof w:val="0"/>
                <w:color w:val="FFFFFF"/>
                <w:lang w:val="tr-TR" w:eastAsia="tr-TR"/>
              </w:rPr>
            </w:pPr>
            <w:r w:rsidRPr="004E7F7B">
              <w:rPr>
                <w:rFonts w:ascii="Times New Roman" w:eastAsia="Times New Roman" w:hAnsi="Times New Roman" w:cs="Times New Roman"/>
                <w:noProof w:val="0"/>
                <w:color w:val="FFFFFF"/>
                <w:lang w:eastAsia="tr-TR"/>
              </w:rPr>
              <w:t>Katılan Kişi Sayısı</w:t>
            </w:r>
          </w:p>
        </w:tc>
      </w:tr>
      <w:tr w:rsidR="0068770B" w:rsidRPr="004E7F7B" w:rsidTr="00D90686">
        <w:trPr>
          <w:trHeight w:val="717"/>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bCs/>
                <w:noProof w:val="0"/>
                <w:color w:val="000000"/>
                <w:lang w:eastAsia="tr-TR"/>
              </w:rPr>
              <w:t>Colorful Ideas Computing and Education</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bCs/>
              </w:rPr>
            </w:pPr>
            <w:r w:rsidRPr="004E7F7B">
              <w:rPr>
                <w:rFonts w:ascii="Times New Roman" w:hAnsi="Times New Roman" w:cs="Times New Roman"/>
                <w:bCs/>
              </w:rPr>
              <w:t>1</w:t>
            </w:r>
          </w:p>
        </w:tc>
      </w:tr>
      <w:tr w:rsidR="0068770B" w:rsidRPr="004E7F7B" w:rsidTr="00D90686">
        <w:trPr>
          <w:trHeight w:val="480"/>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YDS Time Special Education</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4</w:t>
            </w:r>
          </w:p>
        </w:tc>
      </w:tr>
      <w:tr w:rsidR="0068770B" w:rsidRPr="004E7F7B" w:rsidTr="00D90686">
        <w:trPr>
          <w:trHeight w:val="835"/>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Private Doctor Ferit Fethi Foreign Language Course</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D90686">
        <w:trPr>
          <w:trHeight w:val="480"/>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Private Akın YDS Language Course</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D90686">
        <w:trPr>
          <w:trHeight w:val="480"/>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METU Foreign Language Course</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D90686">
        <w:trPr>
          <w:trHeight w:val="1192"/>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Ministry of National Education Private Ankara Active English Language Course</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D90686">
        <w:trPr>
          <w:trHeight w:val="1428"/>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Private Suat Gürcan Rıdvan Gürbüz Moda Language Academy Foreign Language Course</w:t>
            </w:r>
          </w:p>
        </w:tc>
        <w:tc>
          <w:tcPr>
            <w:tcW w:w="3231"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English Language Training</w:t>
            </w:r>
          </w:p>
        </w:tc>
        <w:tc>
          <w:tcPr>
            <w:tcW w:w="2495" w:type="dxa"/>
            <w:tcBorders>
              <w:top w:val="nil"/>
              <w:left w:val="nil"/>
              <w:bottom w:val="single" w:sz="8" w:space="0" w:color="BFBFBF"/>
              <w:right w:val="single" w:sz="8" w:space="0" w:color="BFBFBF"/>
            </w:tcBorders>
            <w:shd w:val="clear" w:color="auto" w:fill="auto"/>
            <w:vAlign w:val="center"/>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8</w:t>
            </w:r>
          </w:p>
        </w:tc>
      </w:tr>
      <w:tr w:rsidR="00D90686" w:rsidRPr="004E7F7B" w:rsidTr="00D90686">
        <w:trPr>
          <w:trHeight w:val="124"/>
        </w:trPr>
        <w:tc>
          <w:tcPr>
            <w:tcW w:w="3665" w:type="dxa"/>
            <w:tcBorders>
              <w:top w:val="nil"/>
              <w:left w:val="single" w:sz="8" w:space="0" w:color="BFBFBF"/>
              <w:bottom w:val="single" w:sz="8" w:space="0" w:color="BFBFBF"/>
              <w:right w:val="single" w:sz="8" w:space="0" w:color="BFBFBF"/>
            </w:tcBorders>
            <w:shd w:val="clear" w:color="auto" w:fill="auto"/>
            <w:vAlign w:val="center"/>
            <w:hideMark/>
          </w:tcPr>
          <w:p w:rsidR="00D90686" w:rsidRPr="004E7F7B" w:rsidRDefault="00D90686"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eastAsia="Times New Roman" w:hAnsi="Times New Roman" w:cs="Times New Roman"/>
                <w:noProof w:val="0"/>
                <w:color w:val="000000"/>
                <w:lang w:eastAsia="tr-TR"/>
              </w:rPr>
              <w:t> </w:t>
            </w:r>
            <w:r w:rsidRPr="004E7F7B">
              <w:rPr>
                <w:rFonts w:ascii="Times New Roman" w:hAnsi="Times New Roman" w:cs="Times New Roman"/>
                <w:b/>
              </w:rPr>
              <w:t>Total Cost</w:t>
            </w:r>
          </w:p>
        </w:tc>
        <w:tc>
          <w:tcPr>
            <w:tcW w:w="5726" w:type="dxa"/>
            <w:gridSpan w:val="2"/>
            <w:tcBorders>
              <w:top w:val="single" w:sz="8" w:space="0" w:color="BFBFBF"/>
              <w:left w:val="nil"/>
              <w:bottom w:val="single" w:sz="8" w:space="0" w:color="BFBFBF"/>
              <w:right w:val="single" w:sz="8" w:space="0" w:color="BFBFBF"/>
            </w:tcBorders>
            <w:shd w:val="clear" w:color="auto" w:fill="auto"/>
            <w:vAlign w:val="center"/>
            <w:hideMark/>
          </w:tcPr>
          <w:p w:rsidR="00D90686" w:rsidRPr="004E7F7B" w:rsidRDefault="00D90686" w:rsidP="004E7F7B">
            <w:pPr>
              <w:spacing w:after="0" w:line="240" w:lineRule="auto"/>
              <w:rPr>
                <w:rFonts w:ascii="Times New Roman" w:eastAsia="Times New Roman" w:hAnsi="Times New Roman" w:cs="Times New Roman"/>
                <w:noProof w:val="0"/>
                <w:color w:val="000000"/>
                <w:lang w:val="tr-TR" w:eastAsia="tr-TR"/>
              </w:rPr>
            </w:pPr>
            <w:r w:rsidRPr="004E7F7B">
              <w:rPr>
                <w:rFonts w:ascii="Times New Roman" w:hAnsi="Times New Roman" w:cs="Times New Roman"/>
                <w:b/>
              </w:rPr>
              <w:t>19.173,32 TL</w:t>
            </w:r>
            <w:r w:rsidRPr="004E7F7B">
              <w:rPr>
                <w:rFonts w:ascii="Times New Roman" w:eastAsia="Times New Roman" w:hAnsi="Times New Roman" w:cs="Times New Roman"/>
                <w:noProof w:val="0"/>
                <w:color w:val="000000"/>
                <w:lang w:eastAsia="tr-TR"/>
              </w:rPr>
              <w:t> </w:t>
            </w:r>
          </w:p>
        </w:tc>
      </w:tr>
    </w:tbl>
    <w:p w:rsidR="00D90686" w:rsidRPr="004E7F7B" w:rsidRDefault="00D90686" w:rsidP="004E7F7B">
      <w:pPr>
        <w:rPr>
          <w:rFonts w:ascii="Times New Roman" w:hAnsi="Times New Roman" w:cs="Times New Roman"/>
        </w:rPr>
      </w:pPr>
    </w:p>
    <w:p w:rsidR="00FE7FEB" w:rsidRPr="004E7F7B" w:rsidRDefault="00FE7FEB" w:rsidP="00146B4A">
      <w:r w:rsidRPr="004E7F7B">
        <w:t>Undergraduates from different universities do internship in the authortity. In this context, the number of internship in 2018 and the periods of internship are given in the table below.</w:t>
      </w:r>
    </w:p>
    <w:p w:rsidR="00FE7FEB" w:rsidRPr="004E7F7B" w:rsidRDefault="00FE7FEB" w:rsidP="004E7F7B">
      <w:pPr>
        <w:pStyle w:val="Balk5"/>
        <w:jc w:val="both"/>
        <w:rPr>
          <w:rFonts w:ascii="Times New Roman" w:hAnsi="Times New Roman" w:cs="Times New Roman"/>
        </w:rPr>
      </w:pPr>
      <w:bookmarkStart w:id="380" w:name="_Toc48818091"/>
      <w:r w:rsidRPr="004E7F7B">
        <w:rPr>
          <w:rFonts w:ascii="Times New Roman" w:hAnsi="Times New Roman" w:cs="Times New Roman"/>
        </w:rPr>
        <w:t>Table 13.8: Information on the Interns in 201</w:t>
      </w:r>
      <w:r w:rsidR="00677877" w:rsidRPr="004E7F7B">
        <w:rPr>
          <w:rFonts w:ascii="Times New Roman" w:hAnsi="Times New Roman" w:cs="Times New Roman"/>
        </w:rPr>
        <w:t>9</w:t>
      </w:r>
      <w:bookmarkEnd w:id="380"/>
    </w:p>
    <w:tbl>
      <w:tblPr>
        <w:tblW w:w="3616" w:type="pct"/>
        <w:tblInd w:w="132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4"/>
        <w:gridCol w:w="2078"/>
        <w:gridCol w:w="2167"/>
      </w:tblGrid>
      <w:tr w:rsidR="00FE7FEB" w:rsidRPr="004E7F7B" w:rsidTr="00216EDE">
        <w:trPr>
          <w:trHeight w:val="238"/>
          <w:tblHeader/>
        </w:trPr>
        <w:tc>
          <w:tcPr>
            <w:tcW w:w="1950"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Name of the University</w:t>
            </w:r>
          </w:p>
        </w:tc>
        <w:tc>
          <w:tcPr>
            <w:tcW w:w="305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Number of Interns</w:t>
            </w:r>
          </w:p>
        </w:tc>
      </w:tr>
      <w:tr w:rsidR="00FE7FEB" w:rsidRPr="004E7F7B" w:rsidTr="00216EDE">
        <w:trPr>
          <w:trHeight w:val="238"/>
          <w:tblHead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rPr>
                <w:rFonts w:ascii="Times New Roman" w:hAnsi="Times New Roman" w:cs="Times New Roman"/>
                <w:b/>
                <w:color w:val="FFFFFF" w:themeColor="background1"/>
              </w:rPr>
            </w:pP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Compulsory Internship</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rPr>
                <w:rFonts w:ascii="Times New Roman" w:hAnsi="Times New Roman" w:cs="Times New Roman"/>
                <w:b/>
                <w:color w:val="FFFFFF" w:themeColor="background1"/>
              </w:rPr>
            </w:pPr>
            <w:r w:rsidRPr="004E7F7B">
              <w:rPr>
                <w:rFonts w:ascii="Times New Roman" w:hAnsi="Times New Roman" w:cs="Times New Roman"/>
                <w:b/>
                <w:color w:val="FFFFFF" w:themeColor="background1"/>
              </w:rPr>
              <w:t>Appreciation Training</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Ankara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9</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Atılım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7</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Başkent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Bilkent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Celal Bayar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Çankaya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Galatasaray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Gazi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Hacettepe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Karabük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2</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Karadeniz Technical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Karamanoğlu Mehmet Bey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Kastamonu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Kırıkkale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2</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Kocaeli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4</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8</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KTO Karatay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3</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Munzur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Necmettin Erbakan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Middle East Technical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5</w:t>
            </w: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10</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color w:val="000000"/>
              </w:rPr>
            </w:pPr>
            <w:r w:rsidRPr="004E7F7B">
              <w:rPr>
                <w:rFonts w:ascii="Times New Roman" w:hAnsi="Times New Roman" w:cs="Times New Roman"/>
                <w:color w:val="000000"/>
              </w:rPr>
              <w:t xml:space="preserve">Recep Tayip Erdoğan </w:t>
            </w:r>
            <w:r w:rsidRPr="004E7F7B">
              <w:rPr>
                <w:rFonts w:ascii="Times New Roman" w:hAnsi="Times New Roman" w:cs="Times New Roman"/>
              </w:rPr>
              <w:t>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Selçuk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2</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Süleyman Demirel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TOBB ETÜ</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1</w:t>
            </w:r>
          </w:p>
        </w:tc>
      </w:tr>
      <w:tr w:rsidR="0068770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Yıldırım Beyazıt University</w:t>
            </w:r>
          </w:p>
        </w:tc>
        <w:tc>
          <w:tcPr>
            <w:tcW w:w="14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68770B" w:rsidRPr="004E7F7B" w:rsidRDefault="0068770B" w:rsidP="004E7F7B">
            <w:pPr>
              <w:rPr>
                <w:rFonts w:ascii="Times New Roman" w:hAnsi="Times New Roman" w:cs="Times New Roman"/>
              </w:rPr>
            </w:pPr>
          </w:p>
        </w:tc>
        <w:tc>
          <w:tcPr>
            <w:tcW w:w="15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68770B" w:rsidRPr="004E7F7B" w:rsidRDefault="0068770B" w:rsidP="004E7F7B">
            <w:pPr>
              <w:rPr>
                <w:rFonts w:ascii="Times New Roman" w:hAnsi="Times New Roman" w:cs="Times New Roman"/>
              </w:rPr>
            </w:pPr>
            <w:r w:rsidRPr="004E7F7B">
              <w:rPr>
                <w:rFonts w:ascii="Times New Roman" w:hAnsi="Times New Roman" w:cs="Times New Roman"/>
              </w:rPr>
              <w:t>2</w:t>
            </w:r>
          </w:p>
        </w:tc>
      </w:tr>
      <w:tr w:rsidR="00FE7FEB" w:rsidRPr="004E7F7B" w:rsidTr="00216EDE">
        <w:trPr>
          <w:trHeight w:val="238"/>
        </w:trPr>
        <w:tc>
          <w:tcPr>
            <w:tcW w:w="19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4E7F7B" w:rsidRDefault="00FE7FEB" w:rsidP="004E7F7B">
            <w:pPr>
              <w:rPr>
                <w:rFonts w:ascii="Times New Roman" w:hAnsi="Times New Roman" w:cs="Times New Roman"/>
                <w:b/>
              </w:rPr>
            </w:pPr>
            <w:r w:rsidRPr="004E7F7B">
              <w:rPr>
                <w:rFonts w:ascii="Times New Roman" w:hAnsi="Times New Roman" w:cs="Times New Roman"/>
                <w:b/>
              </w:rPr>
              <w:t>TOTAL</w:t>
            </w:r>
          </w:p>
        </w:tc>
        <w:tc>
          <w:tcPr>
            <w:tcW w:w="305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FE7FEB" w:rsidRPr="004E7F7B" w:rsidRDefault="00A91A76" w:rsidP="004E7F7B">
            <w:pPr>
              <w:rPr>
                <w:rFonts w:ascii="Times New Roman" w:hAnsi="Times New Roman" w:cs="Times New Roman"/>
                <w:b/>
              </w:rPr>
            </w:pPr>
            <w:r w:rsidRPr="004E7F7B">
              <w:rPr>
                <w:rFonts w:ascii="Times New Roman" w:hAnsi="Times New Roman" w:cs="Times New Roman"/>
                <w:b/>
              </w:rPr>
              <w:t>98</w:t>
            </w:r>
          </w:p>
        </w:tc>
      </w:tr>
    </w:tbl>
    <w:p w:rsidR="00FE7FEB" w:rsidRPr="004E7F7B" w:rsidRDefault="00FE7FEB" w:rsidP="004E7F7B">
      <w:pPr>
        <w:rPr>
          <w:rFonts w:ascii="Times New Roman" w:hAnsi="Times New Roman" w:cs="Times New Roman"/>
          <w:b/>
          <w:bCs/>
        </w:rPr>
      </w:pPr>
      <w:r w:rsidRPr="004E7F7B">
        <w:rPr>
          <w:rFonts w:ascii="Times New Roman" w:hAnsi="Times New Roman" w:cs="Times New Roman"/>
          <w:b/>
          <w:bCs/>
        </w:rPr>
        <w:tab/>
      </w:r>
      <w:r w:rsidRPr="004E7F7B">
        <w:rPr>
          <w:rFonts w:ascii="Times New Roman" w:hAnsi="Times New Roman" w:cs="Times New Roman"/>
          <w:b/>
          <w:bCs/>
        </w:rPr>
        <w:tab/>
      </w:r>
      <w:r w:rsidRPr="004E7F7B">
        <w:rPr>
          <w:rFonts w:ascii="Times New Roman" w:hAnsi="Times New Roman" w:cs="Times New Roman"/>
          <w:b/>
          <w:bCs/>
        </w:rPr>
        <w:tab/>
      </w:r>
    </w:p>
    <w:p w:rsidR="00FE7FEB" w:rsidRPr="004E7F7B" w:rsidRDefault="00FE7FEB" w:rsidP="004E7F7B">
      <w:pPr>
        <w:rPr>
          <w:rFonts w:ascii="Times New Roman" w:hAnsi="Times New Roman" w:cs="Times New Roman"/>
        </w:rPr>
      </w:pPr>
      <w:r w:rsidRPr="004E7F7B">
        <w:rPr>
          <w:rFonts w:ascii="Times New Roman" w:hAnsi="Times New Roman" w:cs="Times New Roman"/>
          <w:b/>
          <w:bCs/>
        </w:rPr>
        <w:tab/>
      </w:r>
      <w:r w:rsidRPr="004E7F7B">
        <w:rPr>
          <w:rFonts w:ascii="Times New Roman" w:hAnsi="Times New Roman" w:cs="Times New Roman"/>
        </w:rPr>
        <w:t>*</w:t>
      </w:r>
      <w:r w:rsidR="00A91A76" w:rsidRPr="004E7F7B">
        <w:rPr>
          <w:rFonts w:ascii="Times New Roman" w:hAnsi="Times New Roman" w:cs="Times New Roman"/>
        </w:rPr>
        <w:t xml:space="preserve"> </w:t>
      </w:r>
      <w:r w:rsidR="00A91A76" w:rsidRPr="00146B4A">
        <w:t>3 energy experts from our institution have been sent abroad for graduate education and the education fee of these personnel is covered by our institution.</w:t>
      </w:r>
    </w:p>
    <w:p w:rsidR="00FE7FEB" w:rsidRPr="004E7F7B" w:rsidRDefault="00FE7FEB" w:rsidP="004E7F7B">
      <w:pPr>
        <w:rPr>
          <w:rFonts w:ascii="Times New Roman" w:hAnsi="Times New Roman" w:cs="Times New Roman"/>
          <w:b/>
          <w:bCs/>
        </w:rPr>
      </w:pPr>
    </w:p>
    <w:p w:rsidR="00902D3B" w:rsidRPr="004E7F7B" w:rsidRDefault="00902D3B" w:rsidP="004E7F7B">
      <w:pPr>
        <w:rPr>
          <w:rFonts w:ascii="Times New Roman" w:eastAsiaTheme="majorEastAsia" w:hAnsi="Times New Roman" w:cs="Times New Roman"/>
          <w:b/>
        </w:rPr>
      </w:pPr>
      <w:r w:rsidRPr="004E7F7B">
        <w:rPr>
          <w:rFonts w:ascii="Times New Roman" w:hAnsi="Times New Roman" w:cs="Times New Roman"/>
        </w:rPr>
        <w:br w:type="page"/>
      </w:r>
    </w:p>
    <w:p w:rsidR="00FE7FEB" w:rsidRPr="004E7F7B" w:rsidRDefault="00FE7FEB" w:rsidP="004E7F7B">
      <w:pPr>
        <w:pStyle w:val="Balk1"/>
        <w:rPr>
          <w:rFonts w:ascii="Times New Roman" w:hAnsi="Times New Roman" w:cs="Times New Roman"/>
          <w:sz w:val="22"/>
          <w:szCs w:val="22"/>
        </w:rPr>
      </w:pPr>
      <w:bookmarkStart w:id="381" w:name="_Toc48817919"/>
      <w:r w:rsidRPr="004E7F7B">
        <w:rPr>
          <w:rFonts w:ascii="Times New Roman" w:hAnsi="Times New Roman" w:cs="Times New Roman"/>
          <w:sz w:val="22"/>
          <w:szCs w:val="22"/>
        </w:rPr>
        <w:t>14. FINANCIAL INFORMATION</w:t>
      </w:r>
      <w:bookmarkEnd w:id="381"/>
    </w:p>
    <w:p w:rsidR="00FE7FEB" w:rsidRPr="004E7F7B" w:rsidRDefault="00FE7FEB" w:rsidP="00146B4A">
      <w:pPr>
        <w:rPr>
          <w:b/>
          <w:bCs/>
        </w:rPr>
      </w:pPr>
      <w:r w:rsidRPr="004E7F7B">
        <w:t>The income of the Authority constitutes the budget of the Authority. The income of the Authority should meet the expenses. The income surplus should be transferred to the general budget by the end of March of the following year. In this context, income surpluses transferred from institutional resources to Ministry of Finance to be registered as income to general budget, according to 4628 and 5018 numbered Laws, have shown in the table hereunder;</w:t>
      </w:r>
    </w:p>
    <w:p w:rsidR="00FE7FEB" w:rsidRPr="004E7F7B" w:rsidRDefault="00FE7FEB" w:rsidP="004E7F7B">
      <w:pPr>
        <w:pStyle w:val="Balk5"/>
        <w:jc w:val="both"/>
        <w:rPr>
          <w:rFonts w:ascii="Times New Roman" w:hAnsi="Times New Roman" w:cs="Times New Roman"/>
        </w:rPr>
      </w:pPr>
      <w:r w:rsidRPr="004E7F7B">
        <w:rPr>
          <w:rFonts w:ascii="Times New Roman" w:hAnsi="Times New Roman" w:cs="Times New Roman"/>
        </w:rPr>
        <w:t xml:space="preserve">   </w:t>
      </w:r>
      <w:bookmarkStart w:id="382" w:name="_Toc48818092"/>
      <w:r w:rsidRPr="004E7F7B">
        <w:rPr>
          <w:rFonts w:ascii="Times New Roman" w:hAnsi="Times New Roman" w:cs="Times New Roman"/>
        </w:rPr>
        <w:t>Table 14.1: Income Surplus Transferred to Ministry of Finance by years (TL)</w:t>
      </w:r>
      <w:bookmarkEnd w:id="382"/>
    </w:p>
    <w:tbl>
      <w:tblPr>
        <w:tblW w:w="504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51"/>
        <w:gridCol w:w="2269"/>
        <w:gridCol w:w="2269"/>
        <w:gridCol w:w="2519"/>
        <w:gridCol w:w="214"/>
      </w:tblGrid>
      <w:tr w:rsidR="00FE7FEB" w:rsidRPr="004E7F7B" w:rsidTr="00902D3B">
        <w:trPr>
          <w:trHeight w:val="17"/>
          <w:tblHeader/>
        </w:trPr>
        <w:tc>
          <w:tcPr>
            <w:tcW w:w="4889"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hAnsi="Times New Roman" w:cs="Times New Roman"/>
                <w:b/>
                <w:bCs/>
                <w:color w:val="FFFFFF" w:themeColor="background1"/>
              </w:rPr>
              <w:t>Table 14.1: Income Surplus Transferred to Ministry of Finance by years (TL)</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color w:val="FFFFFF" w:themeColor="background1"/>
                <w:lang w:eastAsia="tr-TR"/>
              </w:rPr>
            </w:pPr>
          </w:p>
        </w:tc>
      </w:tr>
      <w:tr w:rsidR="00FE7FEB" w:rsidRPr="004E7F7B" w:rsidTr="00902D3B">
        <w:trPr>
          <w:trHeight w:val="437"/>
          <w:tblHeader/>
        </w:trPr>
        <w:tc>
          <w:tcPr>
            <w:tcW w:w="1222"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Years</w:t>
            </w:r>
          </w:p>
        </w:tc>
        <w:tc>
          <w:tcPr>
            <w:tcW w:w="117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 xml:space="preserve">Quarterly Transferred Surplus                                                                                                                                   </w:t>
            </w:r>
          </w:p>
        </w:tc>
        <w:tc>
          <w:tcPr>
            <w:tcW w:w="117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 xml:space="preserve">Transferred Surplus by Year End                     </w:t>
            </w:r>
          </w:p>
        </w:tc>
        <w:tc>
          <w:tcPr>
            <w:tcW w:w="1309" w:type="pct"/>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rsidR="00FE7FEB" w:rsidRPr="004E7F7B" w:rsidRDefault="00FE7FEB" w:rsidP="004E7F7B">
            <w:pPr>
              <w:spacing w:after="0" w:line="240" w:lineRule="auto"/>
              <w:rPr>
                <w:rFonts w:ascii="Times New Roman" w:eastAsia="Times New Roman" w:hAnsi="Times New Roman" w:cs="Times New Roman"/>
                <w:b/>
                <w:bCs/>
                <w:color w:val="FFFFFF" w:themeColor="background1"/>
                <w:lang w:eastAsia="tr-TR"/>
              </w:rPr>
            </w:pPr>
            <w:r w:rsidRPr="004E7F7B">
              <w:rPr>
                <w:rFonts w:ascii="Times New Roman" w:eastAsia="Times New Roman" w:hAnsi="Times New Roman" w:cs="Times New Roman"/>
                <w:b/>
                <w:bCs/>
                <w:color w:val="FFFFFF" w:themeColor="background1"/>
                <w:lang w:eastAsia="tr-TR"/>
              </w:rPr>
              <w:t>Total</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color w:val="FFFFFF" w:themeColor="background1"/>
                <w:lang w:eastAsia="tr-TR"/>
              </w:rPr>
            </w:pPr>
          </w:p>
        </w:tc>
      </w:tr>
      <w:tr w:rsidR="00FE7FEB" w:rsidRPr="004E7F7B" w:rsidTr="00902D3B">
        <w:trPr>
          <w:trHeight w:val="437"/>
          <w:tblHeader/>
        </w:trPr>
        <w:tc>
          <w:tcPr>
            <w:tcW w:w="1222"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themeColor="background1"/>
                <w:lang w:eastAsia="tr-TR"/>
              </w:rPr>
            </w:pPr>
          </w:p>
        </w:tc>
        <w:tc>
          <w:tcPr>
            <w:tcW w:w="117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themeColor="background1"/>
                <w:lang w:eastAsia="tr-TR"/>
              </w:rPr>
            </w:pPr>
          </w:p>
        </w:tc>
        <w:tc>
          <w:tcPr>
            <w:tcW w:w="117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themeColor="background1"/>
                <w:lang w:eastAsia="tr-TR"/>
              </w:rPr>
            </w:pPr>
          </w:p>
        </w:tc>
        <w:tc>
          <w:tcPr>
            <w:tcW w:w="1309" w:type="pct"/>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rPr>
                <w:rFonts w:ascii="Times New Roman" w:eastAsia="Times New Roman" w:hAnsi="Times New Roman" w:cs="Times New Roman"/>
                <w:b/>
                <w:bCs/>
                <w:color w:val="FFFFFF" w:themeColor="background1"/>
                <w:lang w:eastAsia="tr-TR"/>
              </w:rPr>
            </w:pPr>
          </w:p>
        </w:tc>
        <w:tc>
          <w:tcPr>
            <w:tcW w:w="111" w:type="pct"/>
            <w:tcBorders>
              <w:top w:val="nil"/>
              <w:left w:val="nil"/>
              <w:bottom w:val="nil"/>
              <w:right w:val="nil"/>
            </w:tcBorders>
            <w:vAlign w:val="center"/>
            <w:hideMark/>
          </w:tcPr>
          <w:p w:rsidR="00FE7FEB" w:rsidRPr="004E7F7B" w:rsidRDefault="00FE7FEB" w:rsidP="004E7F7B">
            <w:pPr>
              <w:spacing w:after="0"/>
              <w:rPr>
                <w:rFonts w:ascii="Times New Roman" w:hAnsi="Times New Roman" w:cs="Times New Roman"/>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2001</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22.306,00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22.306,00</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2002</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0</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2003</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17.992.437,17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17.992.437,17</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2004</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39.891.979,98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39.891.979,98</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2005</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91.351.575,70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91.351.575,70</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118.872.511,00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10.213.361,85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129.085.872,85</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2007</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26.316.184,86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43.563.569,34</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69.879.754,20</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2008</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6.500.000,00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27.507.108,75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34.007.108,75</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2009</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10.000.000,00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25.560.370,79</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35.560.370,79</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18.000.000,00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47.907.651,22</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65.907.651,22</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2011</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27.500.000,00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27.474.743,68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54.974.743,68</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2012</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42.500.000,00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40.174.832,05</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82.674.832,05</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2013</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51.370.000,00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46.559.157,90</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97.929.157,90</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2014</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27.933.000,00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15.266.784,26</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43.199.784,26</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2015</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47.480.000,00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15.928.305,88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63.408.305,88</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36.500.000,00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29.518.976,87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66.018.976,87</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2017</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18.896.300,00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34.157.312,38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53.053.612,38</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FE7FEB"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2018</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47.485.800,00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color w:val="000000" w:themeColor="text1"/>
                <w:lang w:eastAsia="tr-TR"/>
              </w:rPr>
              <w:t>49.604.977,77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97.090.777,77</w:t>
            </w:r>
          </w:p>
        </w:tc>
        <w:tc>
          <w:tcPr>
            <w:tcW w:w="111" w:type="pct"/>
            <w:tcBorders>
              <w:top w:val="nil"/>
              <w:left w:val="nil"/>
              <w:bottom w:val="nil"/>
              <w:right w:val="nil"/>
            </w:tcBorders>
            <w:vAlign w:val="center"/>
            <w:hideMark/>
          </w:tcPr>
          <w:p w:rsidR="00FE7FEB" w:rsidRPr="004E7F7B" w:rsidRDefault="00FE7FEB" w:rsidP="004E7F7B">
            <w:pPr>
              <w:rPr>
                <w:rFonts w:ascii="Times New Roman" w:eastAsia="Times New Roman" w:hAnsi="Times New Roman" w:cs="Times New Roman"/>
                <w:b/>
                <w:bCs/>
                <w:lang w:eastAsia="tr-TR"/>
              </w:rPr>
            </w:pPr>
          </w:p>
        </w:tc>
      </w:tr>
      <w:tr w:rsidR="00A91A76" w:rsidRPr="004E7F7B" w:rsidTr="00677877">
        <w:trPr>
          <w:trHeight w:val="240"/>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91A76" w:rsidRPr="004E7F7B" w:rsidRDefault="00A91A76" w:rsidP="004E7F7B">
            <w:pPr>
              <w:spacing w:after="0" w:line="240" w:lineRule="auto"/>
              <w:rPr>
                <w:rFonts w:ascii="Times New Roman" w:eastAsia="Times New Roman" w:hAnsi="Times New Roman" w:cs="Times New Roman"/>
                <w:b/>
                <w:bCs/>
                <w:color w:val="000000" w:themeColor="text1"/>
                <w:lang w:eastAsia="tr-TR"/>
              </w:rPr>
            </w:pPr>
            <w:r w:rsidRPr="004E7F7B">
              <w:rPr>
                <w:rFonts w:ascii="Times New Roman" w:eastAsia="Times New Roman" w:hAnsi="Times New Roman" w:cs="Times New Roman"/>
                <w:b/>
                <w:bCs/>
                <w:color w:val="000000" w:themeColor="text1"/>
                <w:lang w:eastAsia="tr-TR"/>
              </w:rPr>
              <w:t>2019</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91A76" w:rsidRPr="004E7F7B" w:rsidRDefault="00A91A76" w:rsidP="004E7F7B">
            <w:pPr>
              <w:spacing w:after="0" w:line="240" w:lineRule="auto"/>
              <w:rPr>
                <w:rFonts w:ascii="Times New Roman" w:eastAsia="Times New Roman" w:hAnsi="Times New Roman" w:cs="Times New Roman"/>
                <w:color w:val="000000" w:themeColor="text1"/>
                <w:lang w:eastAsia="tr-TR"/>
              </w:rPr>
            </w:pPr>
            <w:r w:rsidRPr="004E7F7B">
              <w:rPr>
                <w:rFonts w:ascii="Times New Roman" w:eastAsia="Times New Roman" w:hAnsi="Times New Roman" w:cs="Times New Roman"/>
                <w:color w:val="000000" w:themeColor="text1"/>
                <w:lang w:eastAsia="tr-TR"/>
              </w:rPr>
              <w:t>26.003.160,00</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91A76" w:rsidRPr="004E7F7B" w:rsidRDefault="00A91A76" w:rsidP="004E7F7B">
            <w:pPr>
              <w:spacing w:after="0" w:line="240" w:lineRule="auto"/>
              <w:rPr>
                <w:rFonts w:ascii="Times New Roman" w:eastAsia="Times New Roman" w:hAnsi="Times New Roman" w:cs="Times New Roman"/>
                <w:color w:val="000000" w:themeColor="text1"/>
                <w:lang w:eastAsia="tr-TR"/>
              </w:rPr>
            </w:pPr>
            <w:r w:rsidRPr="004E7F7B">
              <w:rPr>
                <w:rFonts w:ascii="Times New Roman" w:eastAsia="Times New Roman" w:hAnsi="Times New Roman" w:cs="Times New Roman"/>
                <w:color w:val="000000" w:themeColor="text1"/>
                <w:lang w:eastAsia="tr-TR"/>
              </w:rPr>
              <w:t>48.027.983,78</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91A76" w:rsidRPr="004E7F7B" w:rsidRDefault="00A91A76" w:rsidP="004E7F7B">
            <w:pPr>
              <w:spacing w:after="0" w:line="240" w:lineRule="auto"/>
              <w:rPr>
                <w:rFonts w:ascii="Times New Roman" w:eastAsia="Times New Roman" w:hAnsi="Times New Roman" w:cs="Times New Roman"/>
                <w:b/>
                <w:bCs/>
                <w:color w:val="000000" w:themeColor="text1"/>
                <w:lang w:eastAsia="tr-TR"/>
              </w:rPr>
            </w:pPr>
            <w:r w:rsidRPr="004E7F7B">
              <w:rPr>
                <w:rFonts w:ascii="Times New Roman" w:eastAsia="Times New Roman" w:hAnsi="Times New Roman" w:cs="Times New Roman"/>
                <w:b/>
                <w:bCs/>
                <w:color w:val="000000" w:themeColor="text1"/>
                <w:lang w:eastAsia="tr-TR"/>
              </w:rPr>
              <w:t>74.031.143,78</w:t>
            </w:r>
          </w:p>
        </w:tc>
        <w:tc>
          <w:tcPr>
            <w:tcW w:w="111" w:type="pct"/>
            <w:tcBorders>
              <w:top w:val="nil"/>
              <w:left w:val="nil"/>
              <w:bottom w:val="nil"/>
              <w:right w:val="nil"/>
            </w:tcBorders>
            <w:vAlign w:val="center"/>
          </w:tcPr>
          <w:p w:rsidR="00A91A76" w:rsidRPr="004E7F7B" w:rsidRDefault="00A91A76" w:rsidP="004E7F7B">
            <w:pPr>
              <w:rPr>
                <w:rFonts w:ascii="Times New Roman" w:eastAsia="Times New Roman" w:hAnsi="Times New Roman" w:cs="Times New Roman"/>
                <w:b/>
                <w:bCs/>
                <w:lang w:eastAsia="tr-TR"/>
              </w:rPr>
            </w:pPr>
          </w:p>
        </w:tc>
      </w:tr>
      <w:tr w:rsidR="00A91A76" w:rsidRPr="004E7F7B" w:rsidTr="00A91A76">
        <w:trPr>
          <w:trHeight w:val="17"/>
        </w:trPr>
        <w:tc>
          <w:tcPr>
            <w:tcW w:w="122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91A76" w:rsidRPr="004E7F7B" w:rsidRDefault="00A91A76"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color w:val="000000" w:themeColor="text1"/>
                <w:lang w:eastAsia="tr-TR"/>
              </w:rPr>
              <w:t>Toplam</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91A76" w:rsidRPr="004E7F7B" w:rsidRDefault="00A91A76" w:rsidP="004E7F7B">
            <w:pPr>
              <w:spacing w:after="0" w:line="240" w:lineRule="auto"/>
              <w:rPr>
                <w:rFonts w:ascii="Times New Roman" w:eastAsia="Times New Roman" w:hAnsi="Times New Roman" w:cs="Times New Roman"/>
                <w:b/>
                <w:bCs/>
                <w:color w:val="000000" w:themeColor="text1"/>
                <w:lang w:eastAsia="tr-TR"/>
              </w:rPr>
            </w:pPr>
            <w:r w:rsidRPr="004E7F7B">
              <w:rPr>
                <w:rFonts w:ascii="Times New Roman" w:eastAsia="Times New Roman" w:hAnsi="Times New Roman" w:cs="Times New Roman"/>
                <w:b/>
                <w:bCs/>
                <w:color w:val="000000" w:themeColor="text1"/>
                <w:lang w:eastAsia="tr-TR"/>
              </w:rPr>
              <w:t>505.356.955,86</w:t>
            </w:r>
          </w:p>
        </w:tc>
        <w:tc>
          <w:tcPr>
            <w:tcW w:w="11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91A76" w:rsidRPr="004E7F7B" w:rsidRDefault="00A91A76" w:rsidP="004E7F7B">
            <w:pPr>
              <w:spacing w:after="0" w:line="240" w:lineRule="auto"/>
              <w:rPr>
                <w:rFonts w:ascii="Times New Roman" w:eastAsia="Times New Roman" w:hAnsi="Times New Roman" w:cs="Times New Roman"/>
                <w:b/>
                <w:bCs/>
                <w:color w:val="000000" w:themeColor="text1"/>
                <w:lang w:eastAsia="tr-TR"/>
              </w:rPr>
            </w:pPr>
            <w:r w:rsidRPr="004E7F7B">
              <w:rPr>
                <w:rFonts w:ascii="Times New Roman" w:eastAsia="Times New Roman" w:hAnsi="Times New Roman" w:cs="Times New Roman"/>
                <w:b/>
                <w:bCs/>
                <w:color w:val="000000" w:themeColor="text1"/>
                <w:lang w:eastAsia="tr-TR"/>
              </w:rPr>
              <w:t>610.723.435,37</w:t>
            </w:r>
          </w:p>
        </w:tc>
        <w:tc>
          <w:tcPr>
            <w:tcW w:w="13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91A76" w:rsidRPr="004E7F7B" w:rsidRDefault="00A91A76" w:rsidP="004E7F7B">
            <w:pPr>
              <w:spacing w:after="0" w:line="240" w:lineRule="auto"/>
              <w:rPr>
                <w:rFonts w:ascii="Times New Roman" w:eastAsia="Times New Roman" w:hAnsi="Times New Roman" w:cs="Times New Roman"/>
                <w:b/>
                <w:bCs/>
                <w:color w:val="000000" w:themeColor="text1"/>
                <w:lang w:eastAsia="tr-TR"/>
              </w:rPr>
            </w:pPr>
            <w:r w:rsidRPr="004E7F7B">
              <w:rPr>
                <w:rFonts w:ascii="Times New Roman" w:eastAsia="Times New Roman" w:hAnsi="Times New Roman" w:cs="Times New Roman"/>
                <w:b/>
                <w:bCs/>
                <w:color w:val="000000" w:themeColor="text1"/>
                <w:lang w:eastAsia="tr-TR"/>
              </w:rPr>
              <w:t>1.116.080.391,23</w:t>
            </w:r>
          </w:p>
        </w:tc>
        <w:tc>
          <w:tcPr>
            <w:tcW w:w="111" w:type="pct"/>
            <w:tcBorders>
              <w:top w:val="nil"/>
              <w:left w:val="nil"/>
              <w:bottom w:val="nil"/>
              <w:right w:val="nil"/>
            </w:tcBorders>
            <w:vAlign w:val="center"/>
            <w:hideMark/>
          </w:tcPr>
          <w:p w:rsidR="00A91A76" w:rsidRPr="004E7F7B" w:rsidRDefault="00A91A76" w:rsidP="004E7F7B">
            <w:pPr>
              <w:rPr>
                <w:rFonts w:ascii="Times New Roman" w:eastAsia="Times New Roman" w:hAnsi="Times New Roman" w:cs="Times New Roman"/>
                <w:b/>
                <w:bCs/>
                <w:lang w:eastAsia="tr-TR"/>
              </w:rPr>
            </w:pPr>
          </w:p>
        </w:tc>
      </w:tr>
    </w:tbl>
    <w:p w:rsidR="00FE7FEB" w:rsidRPr="004E7F7B" w:rsidRDefault="00FE7FEB" w:rsidP="004E7F7B">
      <w:pPr>
        <w:ind w:left="2124" w:firstLine="708"/>
        <w:rPr>
          <w:rFonts w:ascii="Times New Roman" w:hAnsi="Times New Roman" w:cs="Times New Roman"/>
        </w:rPr>
      </w:pPr>
    </w:p>
    <w:p w:rsidR="00FE7FEB" w:rsidRPr="004E7F7B" w:rsidRDefault="00A91A76" w:rsidP="004E7F7B">
      <w:pPr>
        <w:pStyle w:val="Balk2"/>
        <w:rPr>
          <w:rFonts w:ascii="Times New Roman" w:hAnsi="Times New Roman" w:cs="Times New Roman"/>
          <w:sz w:val="22"/>
          <w:szCs w:val="22"/>
        </w:rPr>
      </w:pPr>
      <w:bookmarkStart w:id="383" w:name="_Toc48817920"/>
      <w:r w:rsidRPr="004E7F7B">
        <w:rPr>
          <w:rFonts w:ascii="Times New Roman" w:hAnsi="Times New Roman" w:cs="Times New Roman"/>
          <w:sz w:val="22"/>
          <w:szCs w:val="22"/>
        </w:rPr>
        <w:t>14.1. 2019</w:t>
      </w:r>
      <w:r w:rsidR="00FE7FEB" w:rsidRPr="004E7F7B">
        <w:rPr>
          <w:rFonts w:ascii="Times New Roman" w:hAnsi="Times New Roman" w:cs="Times New Roman"/>
          <w:sz w:val="22"/>
          <w:szCs w:val="22"/>
        </w:rPr>
        <w:t xml:space="preserve"> Budget Implementation Results</w:t>
      </w:r>
      <w:bookmarkEnd w:id="383"/>
      <w:r w:rsidR="00FE7FEB" w:rsidRPr="004E7F7B">
        <w:rPr>
          <w:rFonts w:ascii="Times New Roman" w:hAnsi="Times New Roman" w:cs="Times New Roman"/>
          <w:sz w:val="22"/>
          <w:szCs w:val="22"/>
        </w:rPr>
        <w:t xml:space="preserve"> </w:t>
      </w:r>
    </w:p>
    <w:p w:rsidR="00FE7FEB" w:rsidRPr="004E7F7B" w:rsidRDefault="00A91A76" w:rsidP="00146B4A">
      <w:r w:rsidRPr="004E7F7B">
        <w:t>2019</w:t>
      </w:r>
      <w:r w:rsidR="00FE7FEB" w:rsidRPr="004E7F7B">
        <w:t xml:space="preserve"> budget of the Authority was accepted in the Turkish Grand National Assembly became effective as of 01.01.201</w:t>
      </w:r>
      <w:r w:rsidRPr="004E7F7B">
        <w:t>9</w:t>
      </w:r>
      <w:r w:rsidR="00FE7FEB" w:rsidRPr="004E7F7B">
        <w:t xml:space="preserve"> upon publication in the O</w:t>
      </w:r>
      <w:r w:rsidRPr="004E7F7B">
        <w:t>fficial Gazette dated 31.12.2018 and bis numbered 30642</w:t>
      </w:r>
      <w:r w:rsidR="00FE7FEB" w:rsidRPr="004E7F7B">
        <w:t xml:space="preserve">. </w:t>
      </w:r>
    </w:p>
    <w:p w:rsidR="00FE7FEB" w:rsidRPr="004E7F7B" w:rsidRDefault="00FE7FEB" w:rsidP="004E7F7B">
      <w:pPr>
        <w:pStyle w:val="Balk3"/>
        <w:rPr>
          <w:rFonts w:ascii="Times New Roman" w:hAnsi="Times New Roman" w:cs="Times New Roman"/>
          <w:sz w:val="22"/>
          <w:szCs w:val="22"/>
        </w:rPr>
      </w:pPr>
      <w:bookmarkStart w:id="384" w:name="_Toc48817921"/>
      <w:r w:rsidRPr="004E7F7B">
        <w:rPr>
          <w:rFonts w:ascii="Times New Roman" w:hAnsi="Times New Roman" w:cs="Times New Roman"/>
          <w:sz w:val="22"/>
          <w:szCs w:val="22"/>
        </w:rPr>
        <w:t>14.1.1. Income Budget</w:t>
      </w:r>
      <w:bookmarkEnd w:id="384"/>
    </w:p>
    <w:p w:rsidR="00FE7FEB" w:rsidRPr="004E7F7B" w:rsidRDefault="00FE7FEB" w:rsidP="00146B4A">
      <w:r w:rsidRPr="004E7F7B">
        <w:t>The budget income for 201</w:t>
      </w:r>
      <w:r w:rsidR="00A91A76" w:rsidRPr="004E7F7B">
        <w:t>9</w:t>
      </w:r>
      <w:r w:rsidRPr="004E7F7B">
        <w:t xml:space="preserve"> was projected to be </w:t>
      </w:r>
      <w:r w:rsidR="00A91A76" w:rsidRPr="004E7F7B">
        <w:t>307.522.000 TL</w:t>
      </w:r>
      <w:r w:rsidRPr="004E7F7B">
        <w:t xml:space="preserve"> </w:t>
      </w:r>
      <w:r w:rsidR="00A91A76" w:rsidRPr="004E7F7B">
        <w:t xml:space="preserve">375.731.264,27 TL </w:t>
      </w:r>
      <w:r w:rsidRPr="004E7F7B">
        <w:t xml:space="preserve">income was obtained. The rate of realization of income budget was </w:t>
      </w:r>
      <w:r w:rsidR="00A91A76" w:rsidRPr="004E7F7B">
        <w:t>% 122,18</w:t>
      </w:r>
      <w:r w:rsidRPr="004E7F7B">
        <w:t xml:space="preserve">. The income of the Authority consists of the following elements stated in Article 10 of the Law No: 4628: </w:t>
      </w:r>
    </w:p>
    <w:p w:rsidR="00FE7FEB" w:rsidRPr="004E7F7B" w:rsidRDefault="00FE7FEB" w:rsidP="004E7F7B">
      <w:pPr>
        <w:ind w:firstLine="708"/>
        <w:rPr>
          <w:rFonts w:ascii="Times New Roman" w:hAnsi="Times New Roman" w:cs="Times New Roman"/>
        </w:rPr>
      </w:pPr>
      <w:r w:rsidRPr="004E7F7B">
        <w:rPr>
          <w:rFonts w:ascii="Times New Roman" w:hAnsi="Times New Roman" w:cs="Times New Roman"/>
        </w:rPr>
        <w:t xml:space="preserve">• License (annual license, granting, renewal, modification and getting a copy of the license), certificate, approval, permission and visa transaction fees. </w:t>
      </w:r>
    </w:p>
    <w:p w:rsidR="00FE7FEB" w:rsidRPr="004E7F7B" w:rsidRDefault="00FE7FEB" w:rsidP="004E7F7B">
      <w:pPr>
        <w:ind w:firstLine="708"/>
        <w:rPr>
          <w:rFonts w:ascii="Times New Roman" w:hAnsi="Times New Roman" w:cs="Times New Roman"/>
        </w:rPr>
      </w:pPr>
      <w:r w:rsidRPr="004E7F7B">
        <w:rPr>
          <w:rFonts w:ascii="Times New Roman" w:hAnsi="Times New Roman" w:cs="Times New Roman"/>
        </w:rPr>
        <w:t xml:space="preserve">• Contribution fee. </w:t>
      </w:r>
    </w:p>
    <w:p w:rsidR="00FE7FEB" w:rsidRPr="004E7F7B" w:rsidRDefault="00FE7FEB" w:rsidP="00146B4A">
      <w:r w:rsidRPr="004E7F7B">
        <w:t xml:space="preserve">There is no contribution fee in the electricity market, the payer of the contribution fee in the natural gas market are the legal persons holding licenses and certificates. Contribution fee is calculated by multiplying the contribution fee rate determined by the Authority not exceeding 0,2‰ of the net sale proceeds amounts in the revenue tables to be prepared by the payer pertaining to the annual activity period. </w:t>
      </w:r>
    </w:p>
    <w:p w:rsidR="00FE7FEB" w:rsidRPr="004E7F7B" w:rsidRDefault="00FE7FEB" w:rsidP="00146B4A">
      <w:r w:rsidRPr="004E7F7B">
        <w:t>The payers of the contribution fee in the petroleum market are the real or legal persons holding refining, processing, distributor, transmission, transportation, bunker, storage, vendorship and lube oil production licenses. Joint license holders pay the contribution fee according to their total net sale.</w:t>
      </w:r>
    </w:p>
    <w:p w:rsidR="00FE7FEB" w:rsidRPr="004E7F7B" w:rsidRDefault="00FE7FEB" w:rsidP="00146B4A">
      <w:r w:rsidRPr="004E7F7B">
        <w:t xml:space="preserve">The payers of the contribution fee in the LPG market are the real or legal persons holding petroleum market refining undertaking, LPG market distribution, LPG market auto gas vendorship licenses. The license or joint license holders operating in the LPG market pay the contribution fee according to their total net liquid fuel or LPG sale. </w:t>
      </w:r>
    </w:p>
    <w:p w:rsidR="00FE7FEB" w:rsidRPr="004E7F7B" w:rsidRDefault="00FE7FEB" w:rsidP="00146B4A">
      <w:r w:rsidRPr="004E7F7B">
        <w:t xml:space="preserve">However, contribution fee pertaining to petroleum and LPG markets are determined by the Board not exceeding 1‰ of the amount of net sale in the license holders’ annual revenue tables and not exceeding two million USD. </w:t>
      </w:r>
    </w:p>
    <w:p w:rsidR="00FE7FEB" w:rsidRPr="004E7F7B" w:rsidRDefault="00FE7FEB" w:rsidP="00146B4A">
      <w:r w:rsidRPr="004E7F7B">
        <w:t xml:space="preserve">On the other hand; </w:t>
      </w:r>
    </w:p>
    <w:p w:rsidR="00FE7FEB" w:rsidRPr="004E7F7B" w:rsidRDefault="00FE7FEB" w:rsidP="004E7F7B">
      <w:pPr>
        <w:rPr>
          <w:rFonts w:ascii="Times New Roman" w:hAnsi="Times New Roman" w:cs="Times New Roman"/>
        </w:rPr>
      </w:pPr>
      <w:r w:rsidRPr="004E7F7B">
        <w:rPr>
          <w:rFonts w:ascii="Times New Roman" w:hAnsi="Times New Roman" w:cs="Times New Roman"/>
        </w:rPr>
        <w:t xml:space="preserve">• Transmission surcharge at a rate of maximum 1% of the electricity market transmission tariff. </w:t>
      </w:r>
    </w:p>
    <w:p w:rsidR="00FE7FEB" w:rsidRPr="004E7F7B" w:rsidRDefault="00FE7FEB" w:rsidP="004E7F7B">
      <w:pPr>
        <w:rPr>
          <w:rFonts w:ascii="Times New Roman" w:hAnsi="Times New Roman" w:cs="Times New Roman"/>
        </w:rPr>
      </w:pPr>
      <w:r w:rsidRPr="004E7F7B">
        <w:rPr>
          <w:rFonts w:ascii="Times New Roman" w:hAnsi="Times New Roman" w:cs="Times New Roman"/>
        </w:rPr>
        <w:t xml:space="preserve">• 25% of the administrative fines imposed by the Board pertaining to the electricity market </w:t>
      </w:r>
    </w:p>
    <w:p w:rsidR="00FE7FEB" w:rsidRPr="004E7F7B" w:rsidRDefault="00FE7FEB" w:rsidP="004E7F7B">
      <w:pPr>
        <w:rPr>
          <w:rFonts w:ascii="Times New Roman" w:hAnsi="Times New Roman" w:cs="Times New Roman"/>
        </w:rPr>
      </w:pPr>
      <w:r w:rsidRPr="004E7F7B">
        <w:rPr>
          <w:rFonts w:ascii="Times New Roman" w:hAnsi="Times New Roman" w:cs="Times New Roman"/>
        </w:rPr>
        <w:t xml:space="preserve">• Publication revenues and other revenues, </w:t>
      </w:r>
    </w:p>
    <w:p w:rsidR="00FE7FEB" w:rsidRPr="004E7F7B" w:rsidRDefault="00FE7FEB" w:rsidP="004E7F7B">
      <w:pPr>
        <w:rPr>
          <w:rFonts w:ascii="Times New Roman" w:hAnsi="Times New Roman" w:cs="Times New Roman"/>
        </w:rPr>
      </w:pPr>
      <w:r w:rsidRPr="004E7F7B">
        <w:rPr>
          <w:rFonts w:ascii="Times New Roman" w:hAnsi="Times New Roman" w:cs="Times New Roman"/>
        </w:rPr>
        <w:t xml:space="preserve">• Grants to be provided by the international organizations or institutions to be used in the financing of the preliminary studies and project studies pertaining to market development provided that the details are announced to the public. </w:t>
      </w:r>
    </w:p>
    <w:p w:rsidR="00FE7FEB" w:rsidRPr="004E7F7B" w:rsidRDefault="00FE7FEB" w:rsidP="00146B4A">
      <w:r w:rsidRPr="004E7F7B">
        <w:t>The fees to be applied in 201</w:t>
      </w:r>
      <w:r w:rsidR="00A91A76" w:rsidRPr="004E7F7B">
        <w:t>9</w:t>
      </w:r>
      <w:r w:rsidRPr="004E7F7B">
        <w:t xml:space="preserve"> regarding the abovementioned revenue items was determined by Board Decision.</w:t>
      </w:r>
    </w:p>
    <w:p w:rsidR="00FE7FEB" w:rsidRPr="004E7F7B" w:rsidRDefault="00FE7FEB" w:rsidP="004E7F7B">
      <w:pPr>
        <w:pStyle w:val="Balk3"/>
        <w:rPr>
          <w:rFonts w:ascii="Times New Roman" w:hAnsi="Times New Roman" w:cs="Times New Roman"/>
          <w:sz w:val="22"/>
          <w:szCs w:val="22"/>
        </w:rPr>
      </w:pPr>
      <w:bookmarkStart w:id="385" w:name="_Toc48817922"/>
      <w:r w:rsidRPr="004E7F7B">
        <w:rPr>
          <w:rFonts w:ascii="Times New Roman" w:hAnsi="Times New Roman" w:cs="Times New Roman"/>
          <w:sz w:val="22"/>
          <w:szCs w:val="22"/>
        </w:rPr>
        <w:t>14.1.2. Expenditure Budget</w:t>
      </w:r>
      <w:bookmarkEnd w:id="385"/>
      <w:r w:rsidRPr="004E7F7B">
        <w:rPr>
          <w:rFonts w:ascii="Times New Roman" w:hAnsi="Times New Roman" w:cs="Times New Roman"/>
          <w:sz w:val="22"/>
          <w:szCs w:val="22"/>
        </w:rPr>
        <w:t xml:space="preserve"> </w:t>
      </w:r>
    </w:p>
    <w:p w:rsidR="005F0CC7" w:rsidRPr="004E7F7B" w:rsidRDefault="00D37B92" w:rsidP="00146B4A">
      <w:r w:rsidRPr="004E7F7B">
        <w:t>2019</w:t>
      </w:r>
      <w:r w:rsidR="00FE7FEB" w:rsidRPr="004E7F7B">
        <w:t xml:space="preserve"> expenditure budget of the Authority was projected to be </w:t>
      </w:r>
      <w:r w:rsidRPr="004E7F7B">
        <w:t>307.522.000 TL, but with the revisions made during the year, the budget increased to 411,714,838.78 TL. 375.731.264,27 TL</w:t>
      </w:r>
      <w:r w:rsidR="00FE7FEB" w:rsidRPr="004E7F7B">
        <w:t xml:space="preserve"> of the total appropriation was spent and the remaining </w:t>
      </w:r>
      <w:r w:rsidRPr="004E7F7B">
        <w:t xml:space="preserve">35.983.574,51 </w:t>
      </w:r>
      <w:r w:rsidR="00FE7FEB" w:rsidRPr="004E7F7B">
        <w:t>TL was cancelled at the end of the year. Thus expenditure bud</w:t>
      </w:r>
      <w:r w:rsidRPr="004E7F7B">
        <w:t>get realization rate was % 91,26</w:t>
      </w:r>
      <w:r w:rsidR="00FE7FEB" w:rsidRPr="004E7F7B">
        <w:t xml:space="preserve">. In the following tables, the balance sheet of </w:t>
      </w:r>
      <w:r w:rsidRPr="004E7F7B">
        <w:t>the Authority for the years 2017-2018-2019</w:t>
      </w:r>
      <w:r w:rsidR="00FE7FEB" w:rsidRPr="004E7F7B">
        <w:t xml:space="preserve"> and the comperative results of activities are shown.</w:t>
      </w:r>
    </w:p>
    <w:p w:rsidR="005F0CC7" w:rsidRPr="004E7F7B" w:rsidRDefault="005F0CC7" w:rsidP="004E7F7B">
      <w:pPr>
        <w:rPr>
          <w:rFonts w:ascii="Times New Roman" w:hAnsi="Times New Roman" w:cs="Times New Roman"/>
          <w:b/>
          <w:bCs/>
        </w:rPr>
      </w:pPr>
    </w:p>
    <w:p w:rsidR="006E6FF4" w:rsidRPr="004E7F7B" w:rsidRDefault="006E6FF4" w:rsidP="004E7F7B">
      <w:pPr>
        <w:rPr>
          <w:rFonts w:ascii="Times New Roman" w:hAnsi="Times New Roman" w:cs="Times New Roman"/>
          <w:b/>
          <w:bCs/>
        </w:rPr>
        <w:sectPr w:rsidR="006E6FF4" w:rsidRPr="004E7F7B" w:rsidSect="005F0CC7">
          <w:footerReference w:type="default" r:id="rId38"/>
          <w:pgSz w:w="12240" w:h="15840"/>
          <w:pgMar w:top="1417" w:right="1417" w:bottom="1417" w:left="1417" w:header="708" w:footer="708" w:gutter="0"/>
          <w:pgNumType w:start="0"/>
          <w:cols w:space="708"/>
          <w:titlePg/>
          <w:docGrid w:linePitch="360"/>
        </w:sectPr>
      </w:pPr>
    </w:p>
    <w:p w:rsidR="00D37B92" w:rsidRPr="004E7F7B" w:rsidRDefault="00D37B92" w:rsidP="004E7F7B">
      <w:pPr>
        <w:rPr>
          <w:rFonts w:ascii="Times New Roman" w:hAnsi="Times New Roman" w:cs="Times New Roman"/>
          <w:b/>
          <w:bCs/>
        </w:rPr>
      </w:pPr>
    </w:p>
    <w:p w:rsidR="005F0CC7" w:rsidRPr="004E7F7B" w:rsidRDefault="005F0CC7" w:rsidP="004E7F7B">
      <w:pPr>
        <w:rPr>
          <w:rFonts w:ascii="Times New Roman" w:hAnsi="Times New Roman" w:cs="Times New Roman"/>
          <w:b/>
          <w:bCs/>
        </w:rPr>
      </w:pPr>
    </w:p>
    <w:p w:rsidR="00FE7FEB" w:rsidRPr="004E7F7B" w:rsidRDefault="00FE7FEB" w:rsidP="004E7F7B">
      <w:pPr>
        <w:rPr>
          <w:rFonts w:ascii="Times New Roman" w:hAnsi="Times New Roman" w:cs="Times New Roman"/>
          <w:b/>
          <w:bCs/>
          <w:highlight w:val="yellow"/>
        </w:rPr>
      </w:pPr>
      <w:r w:rsidRPr="004E7F7B">
        <w:rPr>
          <w:rFonts w:ascii="Times New Roman" w:hAnsi="Times New Roman" w:cs="Times New Roman"/>
          <w:b/>
          <w:bCs/>
        </w:rPr>
        <w:t>ENERGY MARKET REGULATORY AUTHORITY ACTIVITY RESULTS (TL)</w:t>
      </w:r>
    </w:p>
    <w:tbl>
      <w:tblPr>
        <w:tblW w:w="5000" w:type="pct"/>
        <w:tblCellMar>
          <w:left w:w="70" w:type="dxa"/>
          <w:right w:w="70" w:type="dxa"/>
        </w:tblCellMar>
        <w:tblLook w:val="04A0" w:firstRow="1" w:lastRow="0" w:firstColumn="1" w:lastColumn="0" w:noHBand="0" w:noVBand="1"/>
      </w:tblPr>
      <w:tblGrid>
        <w:gridCol w:w="387"/>
        <w:gridCol w:w="304"/>
        <w:gridCol w:w="304"/>
        <w:gridCol w:w="3218"/>
        <w:gridCol w:w="1168"/>
        <w:gridCol w:w="1168"/>
        <w:gridCol w:w="1168"/>
        <w:gridCol w:w="144"/>
        <w:gridCol w:w="411"/>
        <w:gridCol w:w="329"/>
        <w:gridCol w:w="328"/>
        <w:gridCol w:w="328"/>
        <w:gridCol w:w="328"/>
        <w:gridCol w:w="3392"/>
        <w:gridCol w:w="1168"/>
        <w:gridCol w:w="1168"/>
        <w:gridCol w:w="1168"/>
      </w:tblGrid>
      <w:tr w:rsidR="00CB6F35" w:rsidRPr="004E7F7B" w:rsidTr="004032AC">
        <w:trPr>
          <w:trHeight w:val="20"/>
        </w:trPr>
        <w:tc>
          <w:tcPr>
            <w:tcW w:w="1372" w:type="pct"/>
            <w:gridSpan w:val="4"/>
            <w:tcBorders>
              <w:top w:val="single" w:sz="8" w:space="0" w:color="auto"/>
              <w:left w:val="single" w:sz="8" w:space="0" w:color="auto"/>
              <w:bottom w:val="single" w:sz="8"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TYPE OF EXPENSE</w:t>
            </w:r>
          </w:p>
        </w:tc>
        <w:tc>
          <w:tcPr>
            <w:tcW w:w="308"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31.12.2017</w:t>
            </w:r>
          </w:p>
        </w:tc>
        <w:tc>
          <w:tcPr>
            <w:tcW w:w="308"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31.12.2018</w:t>
            </w:r>
          </w:p>
        </w:tc>
        <w:tc>
          <w:tcPr>
            <w:tcW w:w="308"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31.12.2019</w:t>
            </w:r>
          </w:p>
        </w:tc>
        <w:tc>
          <w:tcPr>
            <w:tcW w:w="44" w:type="pct"/>
            <w:noWrap/>
            <w:vAlign w:val="bottom"/>
            <w:hideMark/>
          </w:tcPr>
          <w:p w:rsidR="00CB6F35" w:rsidRPr="004E7F7B" w:rsidRDefault="00CB6F35" w:rsidP="004E7F7B">
            <w:pPr>
              <w:rPr>
                <w:rFonts w:ascii="Times New Roman" w:eastAsia="Times New Roman" w:hAnsi="Times New Roman" w:cs="Times New Roman"/>
                <w:b/>
                <w:bCs/>
                <w:lang w:eastAsia="tr-TR"/>
              </w:rPr>
            </w:pPr>
          </w:p>
        </w:tc>
        <w:tc>
          <w:tcPr>
            <w:tcW w:w="506" w:type="pct"/>
            <w:gridSpan w:val="5"/>
            <w:tcBorders>
              <w:top w:val="single" w:sz="8" w:space="0" w:color="auto"/>
              <w:left w:val="single" w:sz="8" w:space="0" w:color="auto"/>
              <w:bottom w:val="single" w:sz="8"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TYPE OF INCOME</w:t>
            </w:r>
          </w:p>
        </w:tc>
        <w:tc>
          <w:tcPr>
            <w:tcW w:w="1021" w:type="pct"/>
            <w:tcBorders>
              <w:top w:val="single" w:sz="8" w:space="0" w:color="auto"/>
              <w:left w:val="nil"/>
              <w:bottom w:val="single" w:sz="8"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377"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31.12.2017</w:t>
            </w:r>
          </w:p>
        </w:tc>
        <w:tc>
          <w:tcPr>
            <w:tcW w:w="377"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31.12.2018</w:t>
            </w:r>
          </w:p>
        </w:tc>
        <w:tc>
          <w:tcPr>
            <w:tcW w:w="377" w:type="pct"/>
            <w:tcBorders>
              <w:top w:val="single" w:sz="8" w:space="0" w:color="auto"/>
              <w:left w:val="nil"/>
              <w:bottom w:val="single" w:sz="8"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31.12.2019</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Staff Expenses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47.980.412,78</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62.790.649,06</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75.954.632,37</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Enterprice and O</w:t>
            </w:r>
            <w:r w:rsidR="004032AC" w:rsidRPr="004E7F7B">
              <w:rPr>
                <w:rFonts w:ascii="Times New Roman" w:hAnsi="Times New Roman" w:cs="Times New Roman"/>
                <w:b/>
                <w:bCs/>
              </w:rPr>
              <w:t>wnership</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223.500.679,46</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253.965.397,99</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334.698.865,48</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Social Security Institutions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5.255.587,67</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7.568.961,93</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9.595.839,72</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Sale of goods and services</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51.085,00</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140,00</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150,00</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Procurement of Goods and Services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105.178.197,13</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86.107.872,01</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87.005.030,62</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Permission for Use or Operation of G</w:t>
            </w:r>
            <w:r w:rsidR="004032AC" w:rsidRPr="004E7F7B">
              <w:rPr>
                <w:rFonts w:ascii="Times New Roman" w:hAnsi="Times New Roman" w:cs="Times New Roman"/>
                <w:b/>
                <w:bCs/>
              </w:rPr>
              <w:t>oods</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223.449.594,46</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253.965.257,99</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334.698.715,48</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630 </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Procurement of consumption goods equipment</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2.279.574,71</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2.431.863,40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2.901.247,61</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Electricity market licensing</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47.019.926,48</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50.800.763,90</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58.828.667,88</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Transportation allowances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978.799,22</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1.352.961,87</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1.844.850,52</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Natural gas market licensing and certification</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46.434.957,19</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50.952.608,34</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62.460.412,47</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04</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Duty allowances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1.675.785,57</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1.411.142,94</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1.655.139,07</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Petroleum market licensing</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104.953.460,18</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124.885.657,04</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177.400.581,39</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Procurement of service</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97.359.091,66</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78.410.153,32</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79.337.631,91</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LPG market licensing</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25.041.250,61</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27.326.228,71</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36.009.053,74</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06</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Representation and publicity</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117.674,63</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82.954,50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86.901,43</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Other</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62.853.776,51</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62.343.169,95</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63.695.375,14</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07</w:t>
            </w:r>
          </w:p>
        </w:tc>
        <w:tc>
          <w:tcPr>
            <w:tcW w:w="1058" w:type="pct"/>
            <w:tcBorders>
              <w:top w:val="nil"/>
              <w:left w:val="nil"/>
              <w:bottom w:val="single" w:sz="4" w:space="0" w:color="auto"/>
              <w:right w:val="nil"/>
            </w:tcBorders>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Movable, intangible right procurement, repair and maintenance</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2.767.271,34</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2.418.795,98</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1.095.716,08</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Interest R</w:t>
            </w:r>
            <w:r w:rsidR="004032AC" w:rsidRPr="004E7F7B">
              <w:rPr>
                <w:rFonts w:ascii="Times New Roman" w:hAnsi="Times New Roman" w:cs="Times New Roman"/>
                <w:b/>
                <w:bCs/>
              </w:rPr>
              <w:t>evenues</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5.053.822,18</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5.095.579,70</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3.567.778,12</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08</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Immovable goods maintenance and repair</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83.544,00</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Deposit rates</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5.053.822,18</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5.095.579,70</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3.567.778,12</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Health care and funeral</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Fees Collected from Persons and I</w:t>
            </w:r>
            <w:r w:rsidR="004032AC" w:rsidRPr="004E7F7B">
              <w:rPr>
                <w:rFonts w:ascii="Times New Roman" w:hAnsi="Times New Roman" w:cs="Times New Roman"/>
                <w:b/>
                <w:bCs/>
              </w:rPr>
              <w:t>nstitutions</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34.558.808,21</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41.641.708,29</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53.052.082,83</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04</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noWrap/>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Interest E</w:t>
            </w:r>
            <w:r w:rsidR="004032AC" w:rsidRPr="004E7F7B">
              <w:rPr>
                <w:rFonts w:ascii="Times New Roman" w:hAnsi="Times New Roman" w:cs="Times New Roman"/>
                <w:b/>
                <w:bCs/>
              </w:rPr>
              <w:t>xpenses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02</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96"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w:t>
            </w:r>
          </w:p>
        </w:tc>
        <w:tc>
          <w:tcPr>
            <w:tcW w:w="1021"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Other fees (TEİAŞ)</w:t>
            </w:r>
          </w:p>
        </w:tc>
        <w:tc>
          <w:tcPr>
            <w:tcW w:w="377"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34.558.808,21</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41.641.708,29</w:t>
            </w:r>
          </w:p>
        </w:tc>
        <w:tc>
          <w:tcPr>
            <w:tcW w:w="377"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53.052.082,83</w:t>
            </w:r>
          </w:p>
        </w:tc>
      </w:tr>
      <w:tr w:rsidR="00CB6F35"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noWrap/>
            <w:vAlign w:val="bottom"/>
            <w:hideMark/>
          </w:tcPr>
          <w:p w:rsidR="00CB6F35"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Current T</w:t>
            </w:r>
            <w:r w:rsidR="00CB6F35" w:rsidRPr="004E7F7B">
              <w:rPr>
                <w:rFonts w:ascii="Times New Roman" w:hAnsi="Times New Roman" w:cs="Times New Roman"/>
                <w:b/>
                <w:bCs/>
              </w:rPr>
              <w:t>ransfers</w:t>
            </w:r>
          </w:p>
        </w:tc>
        <w:tc>
          <w:tcPr>
            <w:tcW w:w="308"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56.712.518,61</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102.147.546,62</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78.964.202,78</w:t>
            </w:r>
          </w:p>
        </w:tc>
        <w:tc>
          <w:tcPr>
            <w:tcW w:w="44" w:type="pct"/>
            <w:noWrap/>
            <w:vAlign w:val="bottom"/>
            <w:hideMark/>
          </w:tcPr>
          <w:p w:rsidR="00CB6F35" w:rsidRPr="004E7F7B" w:rsidRDefault="00CB6F35"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96"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4" w:space="0" w:color="auto"/>
              <w:right w:val="nil"/>
            </w:tcBorders>
            <w:noWrap/>
            <w:vAlign w:val="bottom"/>
            <w:hideMark/>
          </w:tcPr>
          <w:p w:rsidR="00CB6F35"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Other R</w:t>
            </w:r>
            <w:r w:rsidR="00CB6F35" w:rsidRPr="004E7F7B">
              <w:rPr>
                <w:rFonts w:ascii="Times New Roman" w:hAnsi="Times New Roman" w:cs="Times New Roman"/>
                <w:b/>
                <w:bCs/>
              </w:rPr>
              <w:t>evenues</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23.241.146,12</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15.605.881,96</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7.075.514,19</w:t>
            </w:r>
          </w:p>
        </w:tc>
      </w:tr>
      <w:tr w:rsidR="00CB6F35"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nil"/>
              <w:bottom w:val="single" w:sz="4" w:space="0" w:color="auto"/>
              <w:right w:val="nil"/>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58" w:type="pct"/>
            <w:tcBorders>
              <w:top w:val="nil"/>
              <w:left w:val="nil"/>
              <w:bottom w:val="single" w:sz="4" w:space="0" w:color="auto"/>
              <w:right w:val="nil"/>
            </w:tcBorders>
            <w:noWrap/>
            <w:vAlign w:val="bottom"/>
          </w:tcPr>
          <w:p w:rsidR="00CB6F35" w:rsidRPr="004E7F7B" w:rsidRDefault="00CB6F35" w:rsidP="004E7F7B">
            <w:pPr>
              <w:spacing w:after="0" w:line="240" w:lineRule="auto"/>
              <w:rPr>
                <w:rFonts w:ascii="Times New Roman" w:hAnsi="Times New Roman" w:cs="Times New Roman"/>
                <w:b/>
                <w:bCs/>
              </w:rPr>
            </w:pPr>
          </w:p>
        </w:tc>
        <w:tc>
          <w:tcPr>
            <w:tcW w:w="308"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p>
        </w:tc>
        <w:tc>
          <w:tcPr>
            <w:tcW w:w="308"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p>
        </w:tc>
        <w:tc>
          <w:tcPr>
            <w:tcW w:w="308"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p>
        </w:tc>
        <w:tc>
          <w:tcPr>
            <w:tcW w:w="44" w:type="pct"/>
            <w:noWrap/>
            <w:vAlign w:val="bottom"/>
          </w:tcPr>
          <w:p w:rsidR="00CB6F35" w:rsidRPr="004E7F7B" w:rsidRDefault="00CB6F35" w:rsidP="004E7F7B">
            <w:pPr>
              <w:rPr>
                <w:rFonts w:ascii="Times New Roman" w:eastAsia="Times New Roman" w:hAnsi="Times New Roman" w:cs="Times New Roman"/>
                <w:b/>
                <w:bCs/>
                <w:lang w:eastAsia="tr-TR"/>
              </w:rPr>
            </w:pPr>
          </w:p>
        </w:tc>
        <w:tc>
          <w:tcPr>
            <w:tcW w:w="123"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96"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06</w:t>
            </w:r>
          </w:p>
        </w:tc>
        <w:tc>
          <w:tcPr>
            <w:tcW w:w="1021" w:type="pct"/>
            <w:tcBorders>
              <w:top w:val="nil"/>
              <w:left w:val="nil"/>
              <w:bottom w:val="single" w:sz="4" w:space="0" w:color="auto"/>
              <w:right w:val="nil"/>
            </w:tcBorders>
            <w:noWrap/>
            <w:vAlign w:val="bottom"/>
          </w:tcPr>
          <w:p w:rsidR="00CB6F35" w:rsidRPr="004E7F7B" w:rsidRDefault="00CB6F35" w:rsidP="004E7F7B">
            <w:pPr>
              <w:spacing w:after="0" w:line="240" w:lineRule="auto"/>
              <w:rPr>
                <w:rFonts w:ascii="Times New Roman" w:hAnsi="Times New Roman" w:cs="Times New Roman"/>
                <w:b/>
                <w:bCs/>
              </w:rPr>
            </w:pPr>
          </w:p>
          <w:p w:rsidR="00CB6F35" w:rsidRPr="004E7F7B" w:rsidRDefault="00CB6F35" w:rsidP="004E7F7B">
            <w:pPr>
              <w:spacing w:after="0" w:line="240" w:lineRule="auto"/>
              <w:rPr>
                <w:rFonts w:ascii="Times New Roman" w:hAnsi="Times New Roman" w:cs="Times New Roman"/>
                <w:b/>
                <w:bCs/>
              </w:rPr>
            </w:pPr>
            <w:r w:rsidRPr="004E7F7B">
              <w:rPr>
                <w:rFonts w:ascii="Times New Roman" w:hAnsi="Times New Roman" w:cs="Times New Roman"/>
                <w:b/>
                <w:bCs/>
              </w:rPr>
              <w:t>W</w:t>
            </w:r>
            <w:r w:rsidR="001C7D06" w:rsidRPr="004E7F7B">
              <w:rPr>
                <w:rFonts w:ascii="Times New Roman" w:hAnsi="Times New Roman" w:cs="Times New Roman"/>
                <w:b/>
                <w:bCs/>
              </w:rPr>
              <w:t>ill be Taken from P</w:t>
            </w:r>
            <w:r w:rsidRPr="004E7F7B">
              <w:rPr>
                <w:rFonts w:ascii="Times New Roman" w:hAnsi="Times New Roman" w:cs="Times New Roman"/>
                <w:b/>
                <w:bCs/>
              </w:rPr>
              <w:t>eople</w:t>
            </w:r>
          </w:p>
        </w:tc>
        <w:tc>
          <w:tcPr>
            <w:tcW w:w="377" w:type="pct"/>
            <w:tcBorders>
              <w:top w:val="nil"/>
              <w:left w:val="single" w:sz="8" w:space="0" w:color="auto"/>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77"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77" w:type="pct"/>
            <w:tcBorders>
              <w:top w:val="nil"/>
              <w:left w:val="nil"/>
              <w:bottom w:val="single" w:sz="4" w:space="0" w:color="auto"/>
              <w:right w:val="single" w:sz="8" w:space="0" w:color="auto"/>
            </w:tcBorders>
            <w:noWrap/>
            <w:vAlign w:val="bottom"/>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201.623,53</w:t>
            </w:r>
          </w:p>
        </w:tc>
      </w:tr>
      <w:tr w:rsidR="00CB6F35"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1058"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Duty losses</w:t>
            </w:r>
          </w:p>
        </w:tc>
        <w:tc>
          <w:tcPr>
            <w:tcW w:w="308"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44"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09</w:t>
            </w:r>
          </w:p>
        </w:tc>
        <w:tc>
          <w:tcPr>
            <w:tcW w:w="96"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01</w:t>
            </w:r>
          </w:p>
        </w:tc>
        <w:tc>
          <w:tcPr>
            <w:tcW w:w="96"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w:t>
            </w:r>
          </w:p>
        </w:tc>
        <w:tc>
          <w:tcPr>
            <w:tcW w:w="1021" w:type="pct"/>
            <w:tcBorders>
              <w:top w:val="nil"/>
              <w:left w:val="nil"/>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Other various revenues not defined above</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23.241.146,12</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15.605.881,96</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6.873.890,66</w:t>
            </w:r>
          </w:p>
        </w:tc>
      </w:tr>
      <w:tr w:rsidR="00CB6F35"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03</w:t>
            </w:r>
          </w:p>
        </w:tc>
        <w:tc>
          <w:tcPr>
            <w:tcW w:w="1058" w:type="pct"/>
            <w:tcBorders>
              <w:top w:val="nil"/>
              <w:left w:val="nil"/>
              <w:bottom w:val="single" w:sz="4" w:space="0" w:color="auto"/>
              <w:right w:val="nil"/>
            </w:tcBorders>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Transfers to non-profit organizations</w:t>
            </w:r>
          </w:p>
        </w:tc>
        <w:tc>
          <w:tcPr>
            <w:tcW w:w="308"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3.384.457,79</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4.721.416,76</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4.607.697,24</w:t>
            </w:r>
          </w:p>
        </w:tc>
        <w:tc>
          <w:tcPr>
            <w:tcW w:w="44"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123" w:type="pct"/>
            <w:tcBorders>
              <w:top w:val="nil"/>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600</w:t>
            </w:r>
          </w:p>
        </w:tc>
        <w:tc>
          <w:tcPr>
            <w:tcW w:w="96" w:type="pct"/>
            <w:tcBorders>
              <w:top w:val="nil"/>
              <w:left w:val="nil"/>
              <w:bottom w:val="single" w:sz="8"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w:t>
            </w:r>
          </w:p>
        </w:tc>
        <w:tc>
          <w:tcPr>
            <w:tcW w:w="96" w:type="pct"/>
            <w:tcBorders>
              <w:top w:val="nil"/>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21" w:type="pct"/>
            <w:tcBorders>
              <w:top w:val="nil"/>
              <w:left w:val="nil"/>
              <w:bottom w:val="single" w:sz="8" w:space="0" w:color="auto"/>
              <w:right w:val="nil"/>
            </w:tcBorders>
            <w:noWrap/>
            <w:vAlign w:val="bottom"/>
            <w:hideMark/>
          </w:tcPr>
          <w:p w:rsidR="00CB6F35"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Revenues from Changes in Value and A</w:t>
            </w:r>
            <w:r w:rsidR="00CB6F35" w:rsidRPr="004E7F7B">
              <w:rPr>
                <w:rFonts w:ascii="Times New Roman" w:hAnsi="Times New Roman" w:cs="Times New Roman"/>
                <w:b/>
                <w:bCs/>
              </w:rPr>
              <w:t>mount</w:t>
            </w:r>
          </w:p>
        </w:tc>
        <w:tc>
          <w:tcPr>
            <w:tcW w:w="377" w:type="pct"/>
            <w:tcBorders>
              <w:top w:val="nil"/>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77" w:type="pct"/>
            <w:tcBorders>
              <w:top w:val="nil"/>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77" w:type="pct"/>
            <w:tcBorders>
              <w:top w:val="nil"/>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06</w:t>
            </w:r>
          </w:p>
        </w:tc>
        <w:tc>
          <w:tcPr>
            <w:tcW w:w="1058"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Transfers to foreign countries</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241.395,00</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295.301,67</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273.361,66</w:t>
            </w:r>
          </w:p>
        </w:tc>
        <w:tc>
          <w:tcPr>
            <w:tcW w:w="44" w:type="pct"/>
            <w:noWrap/>
            <w:vAlign w:val="bottom"/>
            <w:hideMark/>
          </w:tcPr>
          <w:p w:rsidR="004032AC" w:rsidRPr="004E7F7B" w:rsidRDefault="004032AC" w:rsidP="004E7F7B">
            <w:pPr>
              <w:rPr>
                <w:rFonts w:ascii="Times New Roman" w:eastAsia="Times New Roman" w:hAnsi="Times New Roman" w:cs="Times New Roman"/>
                <w:lang w:eastAsia="tr-TR"/>
              </w:rPr>
            </w:pPr>
          </w:p>
        </w:tc>
        <w:tc>
          <w:tcPr>
            <w:tcW w:w="123"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1021"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r>
      <w:tr w:rsidR="00CB6F35"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05</w:t>
            </w:r>
          </w:p>
        </w:tc>
        <w:tc>
          <w:tcPr>
            <w:tcW w:w="96"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08</w:t>
            </w:r>
          </w:p>
        </w:tc>
        <w:tc>
          <w:tcPr>
            <w:tcW w:w="1058"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Shares allocated from the income</w:t>
            </w:r>
          </w:p>
        </w:tc>
        <w:tc>
          <w:tcPr>
            <w:tcW w:w="308"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33.053,44</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40.050,42</w:t>
            </w:r>
          </w:p>
        </w:tc>
        <w:tc>
          <w:tcPr>
            <w:tcW w:w="308"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52.000,10</w:t>
            </w:r>
          </w:p>
        </w:tc>
        <w:tc>
          <w:tcPr>
            <w:tcW w:w="44"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1528" w:type="pct"/>
            <w:gridSpan w:val="6"/>
            <w:tcBorders>
              <w:top w:val="single" w:sz="8" w:space="0" w:color="auto"/>
              <w:left w:val="single" w:sz="8" w:space="0" w:color="auto"/>
              <w:bottom w:val="single" w:sz="8"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TOTAL INCOME (B)</w:t>
            </w:r>
          </w:p>
        </w:tc>
        <w:tc>
          <w:tcPr>
            <w:tcW w:w="377" w:type="pct"/>
            <w:tcBorders>
              <w:top w:val="single" w:sz="8" w:space="0" w:color="auto"/>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286.354.455,97</w:t>
            </w:r>
          </w:p>
        </w:tc>
        <w:tc>
          <w:tcPr>
            <w:tcW w:w="377"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316.308.567,94</w:t>
            </w:r>
          </w:p>
        </w:tc>
        <w:tc>
          <w:tcPr>
            <w:tcW w:w="377"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398.394.240,62</w:t>
            </w:r>
          </w:p>
        </w:tc>
      </w:tr>
      <w:tr w:rsidR="004032AC" w:rsidRPr="004E7F7B" w:rsidTr="004032AC">
        <w:trPr>
          <w:trHeight w:val="20"/>
        </w:trPr>
        <w:tc>
          <w:tcPr>
            <w:tcW w:w="123"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4"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p>
        </w:tc>
        <w:tc>
          <w:tcPr>
            <w:tcW w:w="96"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4" w:space="0" w:color="auto"/>
              <w:right w:val="nil"/>
            </w:tcBorders>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Expenses Stemming form the Rejection and R</w:t>
            </w:r>
            <w:r w:rsidR="004032AC" w:rsidRPr="004E7F7B">
              <w:rPr>
                <w:rFonts w:ascii="Times New Roman" w:hAnsi="Times New Roman" w:cs="Times New Roman"/>
                <w:b/>
                <w:bCs/>
              </w:rPr>
              <w:t>eturn of the</w:t>
            </w:r>
            <w:r w:rsidRPr="004E7F7B">
              <w:rPr>
                <w:rFonts w:ascii="Times New Roman" w:hAnsi="Times New Roman" w:cs="Times New Roman"/>
                <w:b/>
                <w:bCs/>
              </w:rPr>
              <w:t xml:space="preserve"> I</w:t>
            </w:r>
            <w:r w:rsidR="004032AC" w:rsidRPr="004E7F7B">
              <w:rPr>
                <w:rFonts w:ascii="Times New Roman" w:hAnsi="Times New Roman" w:cs="Times New Roman"/>
                <w:b/>
                <w:bCs/>
              </w:rPr>
              <w:t>ncome</w:t>
            </w:r>
          </w:p>
        </w:tc>
        <w:tc>
          <w:tcPr>
            <w:tcW w:w="308" w:type="pct"/>
            <w:tcBorders>
              <w:top w:val="nil"/>
              <w:left w:val="single" w:sz="8" w:space="0" w:color="auto"/>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53.053.612,38</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97.090.777,77</w:t>
            </w:r>
          </w:p>
        </w:tc>
        <w:tc>
          <w:tcPr>
            <w:tcW w:w="308" w:type="pct"/>
            <w:tcBorders>
              <w:top w:val="nil"/>
              <w:left w:val="nil"/>
              <w:bottom w:val="single" w:sz="4"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74.031.143,78</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23"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96" w:type="pct"/>
            <w:noWrap/>
            <w:vAlign w:val="bottom"/>
            <w:hideMark/>
          </w:tcPr>
          <w:p w:rsidR="004032AC" w:rsidRPr="004E7F7B" w:rsidRDefault="004032AC" w:rsidP="004E7F7B">
            <w:pPr>
              <w:spacing w:after="0"/>
              <w:rPr>
                <w:rFonts w:ascii="Times New Roman" w:hAnsi="Times New Roman" w:cs="Times New Roman"/>
                <w:lang w:eastAsia="tr-TR"/>
              </w:rPr>
            </w:pPr>
          </w:p>
        </w:tc>
        <w:tc>
          <w:tcPr>
            <w:tcW w:w="1021"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c>
          <w:tcPr>
            <w:tcW w:w="377" w:type="pct"/>
            <w:noWrap/>
            <w:vAlign w:val="bottom"/>
            <w:hideMark/>
          </w:tcPr>
          <w:p w:rsidR="004032AC" w:rsidRPr="004E7F7B" w:rsidRDefault="004032AC" w:rsidP="004E7F7B">
            <w:pPr>
              <w:spacing w:after="0"/>
              <w:rPr>
                <w:rFonts w:ascii="Times New Roman" w:hAnsi="Times New Roman" w:cs="Times New Roman"/>
                <w:lang w:eastAsia="tr-TR"/>
              </w:rPr>
            </w:pPr>
          </w:p>
        </w:tc>
      </w:tr>
      <w:tr w:rsidR="00CB6F35" w:rsidRPr="004E7F7B" w:rsidTr="004032AC">
        <w:trPr>
          <w:trHeight w:val="20"/>
        </w:trPr>
        <w:tc>
          <w:tcPr>
            <w:tcW w:w="123" w:type="pct"/>
            <w:tcBorders>
              <w:top w:val="nil"/>
              <w:left w:val="single" w:sz="8" w:space="0" w:color="auto"/>
              <w:bottom w:val="single" w:sz="8"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w:t>
            </w:r>
          </w:p>
        </w:tc>
        <w:tc>
          <w:tcPr>
            <w:tcW w:w="96" w:type="pct"/>
            <w:tcBorders>
              <w:top w:val="nil"/>
              <w:left w:val="nil"/>
              <w:bottom w:val="single" w:sz="8" w:space="0" w:color="auto"/>
              <w:right w:val="nil"/>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w:t>
            </w:r>
          </w:p>
        </w:tc>
        <w:tc>
          <w:tcPr>
            <w:tcW w:w="96" w:type="pct"/>
            <w:tcBorders>
              <w:top w:val="nil"/>
              <w:left w:val="single" w:sz="8" w:space="0" w:color="auto"/>
              <w:bottom w:val="single" w:sz="8"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58" w:type="pct"/>
            <w:tcBorders>
              <w:top w:val="nil"/>
              <w:left w:val="nil"/>
              <w:bottom w:val="single" w:sz="8" w:space="0" w:color="auto"/>
              <w:right w:val="nil"/>
            </w:tcBorders>
            <w:noWrap/>
            <w:vAlign w:val="bottom"/>
            <w:hideMark/>
          </w:tcPr>
          <w:p w:rsidR="004032AC"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Depreciation E</w:t>
            </w:r>
            <w:r w:rsidR="004032AC" w:rsidRPr="004E7F7B">
              <w:rPr>
                <w:rFonts w:ascii="Times New Roman" w:hAnsi="Times New Roman" w:cs="Times New Roman"/>
                <w:b/>
                <w:bCs/>
              </w:rPr>
              <w:t>xpenses</w:t>
            </w:r>
          </w:p>
        </w:tc>
        <w:tc>
          <w:tcPr>
            <w:tcW w:w="308" w:type="pct"/>
            <w:tcBorders>
              <w:top w:val="nil"/>
              <w:left w:val="single" w:sz="8" w:space="0" w:color="auto"/>
              <w:bottom w:val="single" w:sz="8"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4.861.146,64</w:t>
            </w:r>
          </w:p>
        </w:tc>
        <w:tc>
          <w:tcPr>
            <w:tcW w:w="308" w:type="pct"/>
            <w:tcBorders>
              <w:top w:val="nil"/>
              <w:left w:val="nil"/>
              <w:bottom w:val="single" w:sz="8"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308" w:type="pct"/>
            <w:tcBorders>
              <w:top w:val="nil"/>
              <w:left w:val="nil"/>
              <w:bottom w:val="single" w:sz="8" w:space="0" w:color="auto"/>
              <w:right w:val="single" w:sz="8" w:space="0" w:color="auto"/>
            </w:tcBorders>
            <w:noWrap/>
            <w:vAlign w:val="bottom"/>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4" w:type="pct"/>
            <w:noWrap/>
            <w:vAlign w:val="bottom"/>
            <w:hideMark/>
          </w:tcPr>
          <w:p w:rsidR="004032AC" w:rsidRPr="004E7F7B" w:rsidRDefault="004032AC" w:rsidP="004E7F7B">
            <w:pPr>
              <w:rPr>
                <w:rFonts w:ascii="Times New Roman" w:eastAsia="Times New Roman" w:hAnsi="Times New Roman" w:cs="Times New Roman"/>
                <w:b/>
                <w:bCs/>
                <w:lang w:eastAsia="tr-TR"/>
              </w:rPr>
            </w:pPr>
          </w:p>
        </w:tc>
        <w:tc>
          <w:tcPr>
            <w:tcW w:w="1528" w:type="pct"/>
            <w:gridSpan w:val="6"/>
            <w:tcBorders>
              <w:top w:val="single" w:sz="8" w:space="0" w:color="auto"/>
              <w:left w:val="single" w:sz="8" w:space="0" w:color="auto"/>
              <w:bottom w:val="single" w:sz="8" w:space="0" w:color="auto"/>
              <w:right w:val="nil"/>
            </w:tcBorders>
            <w:noWrap/>
            <w:vAlign w:val="center"/>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TYPES OF DISCOUNTS AND RETURNS</w:t>
            </w:r>
          </w:p>
        </w:tc>
        <w:tc>
          <w:tcPr>
            <w:tcW w:w="377" w:type="pct"/>
            <w:tcBorders>
              <w:top w:val="single" w:sz="8" w:space="0" w:color="auto"/>
              <w:left w:val="nil"/>
              <w:bottom w:val="single" w:sz="8" w:space="0" w:color="auto"/>
              <w:right w:val="single" w:sz="8" w:space="0" w:color="auto"/>
            </w:tcBorders>
            <w:noWrap/>
            <w:vAlign w:val="center"/>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31.12.2016</w:t>
            </w:r>
          </w:p>
        </w:tc>
        <w:tc>
          <w:tcPr>
            <w:tcW w:w="377" w:type="pct"/>
            <w:tcBorders>
              <w:top w:val="single" w:sz="8" w:space="0" w:color="auto"/>
              <w:left w:val="nil"/>
              <w:bottom w:val="single" w:sz="8" w:space="0" w:color="auto"/>
              <w:right w:val="single" w:sz="8" w:space="0" w:color="auto"/>
            </w:tcBorders>
            <w:noWrap/>
            <w:vAlign w:val="center"/>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31.12.2017</w:t>
            </w:r>
          </w:p>
        </w:tc>
        <w:tc>
          <w:tcPr>
            <w:tcW w:w="377" w:type="pct"/>
            <w:tcBorders>
              <w:top w:val="single" w:sz="8" w:space="0" w:color="auto"/>
              <w:left w:val="nil"/>
              <w:bottom w:val="single" w:sz="8" w:space="0" w:color="auto"/>
              <w:right w:val="single" w:sz="8" w:space="0" w:color="auto"/>
            </w:tcBorders>
            <w:noWrap/>
            <w:vAlign w:val="center"/>
            <w:hideMark/>
          </w:tcPr>
          <w:p w:rsidR="004032AC" w:rsidRPr="004E7F7B" w:rsidRDefault="004032AC"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31.12.2018</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b/>
                <w:bCs/>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nil"/>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nil"/>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96" w:type="pct"/>
            <w:tcBorders>
              <w:top w:val="nil"/>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96" w:type="pct"/>
            <w:tcBorders>
              <w:top w:val="nil"/>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1021" w:type="pct"/>
            <w:noWrap/>
            <w:vAlign w:val="center"/>
            <w:hideMark/>
          </w:tcPr>
          <w:p w:rsidR="00CB6F35"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Enterprice and O</w:t>
            </w:r>
            <w:r w:rsidR="00CB6F35" w:rsidRPr="004E7F7B">
              <w:rPr>
                <w:rFonts w:ascii="Times New Roman" w:hAnsi="Times New Roman" w:cs="Times New Roman"/>
                <w:b/>
                <w:bCs/>
              </w:rPr>
              <w:t>wnership</w:t>
            </w:r>
          </w:p>
        </w:tc>
        <w:tc>
          <w:tcPr>
            <w:tcW w:w="377" w:type="pct"/>
            <w:tcBorders>
              <w:top w:val="nil"/>
              <w:left w:val="nil"/>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1.038.755,66</w:t>
            </w:r>
          </w:p>
        </w:tc>
        <w:tc>
          <w:tcPr>
            <w:tcW w:w="377" w:type="pct"/>
            <w:tcBorders>
              <w:top w:val="nil"/>
              <w:left w:val="single" w:sz="8" w:space="0" w:color="auto"/>
              <w:bottom w:val="single" w:sz="4"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2.114.337,79</w:t>
            </w:r>
          </w:p>
        </w:tc>
        <w:tc>
          <w:tcPr>
            <w:tcW w:w="377" w:type="pct"/>
            <w:tcBorders>
              <w:top w:val="nil"/>
              <w:left w:val="nil"/>
              <w:bottom w:val="single" w:sz="4"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4.129.258,97</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b/>
                <w:bCs/>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single" w:sz="8" w:space="0" w:color="auto"/>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1021" w:type="pct"/>
            <w:tcBorders>
              <w:top w:val="single" w:sz="4" w:space="0" w:color="auto"/>
              <w:left w:val="nil"/>
              <w:bottom w:val="nil"/>
              <w:right w:val="nil"/>
            </w:tcBorders>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Permission for use or operation of goods</w:t>
            </w:r>
          </w:p>
        </w:tc>
        <w:tc>
          <w:tcPr>
            <w:tcW w:w="377" w:type="pct"/>
            <w:tcBorders>
              <w:top w:val="nil"/>
              <w:left w:val="nil"/>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1.038.755,66</w:t>
            </w:r>
          </w:p>
        </w:tc>
        <w:tc>
          <w:tcPr>
            <w:tcW w:w="377" w:type="pct"/>
            <w:tcBorders>
              <w:top w:val="nil"/>
              <w:left w:val="single" w:sz="8" w:space="0" w:color="auto"/>
              <w:bottom w:val="single" w:sz="4"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2.114.337,79</w:t>
            </w:r>
          </w:p>
        </w:tc>
        <w:tc>
          <w:tcPr>
            <w:tcW w:w="377" w:type="pct"/>
            <w:tcBorders>
              <w:top w:val="nil"/>
              <w:left w:val="nil"/>
              <w:bottom w:val="single" w:sz="4" w:space="0" w:color="auto"/>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4.129.258,97</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single" w:sz="8" w:space="0" w:color="auto"/>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w:t>
            </w:r>
          </w:p>
        </w:tc>
        <w:tc>
          <w:tcPr>
            <w:tcW w:w="1021" w:type="pct"/>
            <w:tcBorders>
              <w:top w:val="single" w:sz="4" w:space="0" w:color="auto"/>
              <w:left w:val="nil"/>
              <w:bottom w:val="nil"/>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Electricity market licensing</w:t>
            </w:r>
          </w:p>
        </w:tc>
        <w:tc>
          <w:tcPr>
            <w:tcW w:w="377"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205.005,57</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392.294,95</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1.131.115,48</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single" w:sz="8" w:space="0" w:color="auto"/>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w:t>
            </w:r>
          </w:p>
        </w:tc>
        <w:tc>
          <w:tcPr>
            <w:tcW w:w="1021" w:type="pct"/>
            <w:tcBorders>
              <w:top w:val="single" w:sz="4" w:space="0" w:color="auto"/>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Natural gas market licensing and certification</w:t>
            </w:r>
          </w:p>
        </w:tc>
        <w:tc>
          <w:tcPr>
            <w:tcW w:w="377"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109.028,32</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221.195,99</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359.776,31</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single" w:sz="4" w:space="0" w:color="auto"/>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single" w:sz="8" w:space="0" w:color="auto"/>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12</w:t>
            </w:r>
          </w:p>
        </w:tc>
        <w:tc>
          <w:tcPr>
            <w:tcW w:w="1021" w:type="pct"/>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Petroleum market licensing</w:t>
            </w:r>
          </w:p>
        </w:tc>
        <w:tc>
          <w:tcPr>
            <w:tcW w:w="377"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509.568,02</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1.278.421,85</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2.225.664,77</w:t>
            </w:r>
          </w:p>
        </w:tc>
      </w:tr>
      <w:tr w:rsidR="00CB6F35" w:rsidRPr="004E7F7B" w:rsidTr="004032AC">
        <w:trPr>
          <w:trHeight w:val="20"/>
        </w:trPr>
        <w:tc>
          <w:tcPr>
            <w:tcW w:w="123" w:type="pct"/>
            <w:noWrap/>
            <w:vAlign w:val="bottom"/>
            <w:hideMark/>
          </w:tcPr>
          <w:p w:rsidR="00CB6F35" w:rsidRPr="004E7F7B" w:rsidRDefault="00CB6F35" w:rsidP="004E7F7B">
            <w:pPr>
              <w:rPr>
                <w:rFonts w:ascii="Times New Roman" w:eastAsia="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96" w:type="pct"/>
            <w:noWrap/>
            <w:vAlign w:val="bottom"/>
            <w:hideMark/>
          </w:tcPr>
          <w:p w:rsidR="00CB6F35" w:rsidRPr="004E7F7B" w:rsidRDefault="00CB6F35" w:rsidP="004E7F7B">
            <w:pPr>
              <w:spacing w:after="0"/>
              <w:rPr>
                <w:rFonts w:ascii="Times New Roman" w:hAnsi="Times New Roman" w:cs="Times New Roman"/>
                <w:lang w:eastAsia="tr-TR"/>
              </w:rPr>
            </w:pPr>
          </w:p>
        </w:tc>
        <w:tc>
          <w:tcPr>
            <w:tcW w:w="105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308" w:type="pct"/>
            <w:noWrap/>
            <w:vAlign w:val="bottom"/>
            <w:hideMark/>
          </w:tcPr>
          <w:p w:rsidR="00CB6F35" w:rsidRPr="004E7F7B" w:rsidRDefault="00CB6F35" w:rsidP="004E7F7B">
            <w:pPr>
              <w:spacing w:after="0"/>
              <w:rPr>
                <w:rFonts w:ascii="Times New Roman" w:hAnsi="Times New Roman" w:cs="Times New Roman"/>
                <w:lang w:eastAsia="tr-TR"/>
              </w:rPr>
            </w:pPr>
          </w:p>
        </w:tc>
        <w:tc>
          <w:tcPr>
            <w:tcW w:w="44" w:type="pct"/>
            <w:noWrap/>
            <w:vAlign w:val="bottom"/>
            <w:hideMark/>
          </w:tcPr>
          <w:p w:rsidR="00CB6F35" w:rsidRPr="004E7F7B" w:rsidRDefault="00CB6F35" w:rsidP="004E7F7B">
            <w:pPr>
              <w:spacing w:after="0"/>
              <w:rPr>
                <w:rFonts w:ascii="Times New Roman" w:hAnsi="Times New Roman" w:cs="Times New Roman"/>
                <w:lang w:eastAsia="tr-TR"/>
              </w:rPr>
            </w:pPr>
          </w:p>
        </w:tc>
        <w:tc>
          <w:tcPr>
            <w:tcW w:w="123" w:type="pct"/>
            <w:tcBorders>
              <w:top w:val="nil"/>
              <w:left w:val="single" w:sz="8" w:space="0" w:color="auto"/>
              <w:bottom w:val="nil"/>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single" w:sz="8" w:space="0" w:color="auto"/>
              <w:left w:val="single" w:sz="8" w:space="0" w:color="auto"/>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03</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single" w:sz="4" w:space="0" w:color="auto"/>
              <w:left w:val="nil"/>
              <w:bottom w:val="nil"/>
              <w:right w:val="single" w:sz="8" w:space="0" w:color="auto"/>
            </w:tcBorders>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w:t>
            </w:r>
          </w:p>
        </w:tc>
        <w:tc>
          <w:tcPr>
            <w:tcW w:w="1021" w:type="pct"/>
            <w:tcBorders>
              <w:top w:val="single" w:sz="4" w:space="0" w:color="auto"/>
              <w:left w:val="nil"/>
              <w:bottom w:val="nil"/>
              <w:right w:val="nil"/>
            </w:tcBorders>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hAnsi="Times New Roman" w:cs="Times New Roman"/>
              </w:rPr>
              <w:t>LPG market licensing</w:t>
            </w:r>
          </w:p>
        </w:tc>
        <w:tc>
          <w:tcPr>
            <w:tcW w:w="377" w:type="pct"/>
            <w:tcBorders>
              <w:top w:val="nil"/>
              <w:left w:val="nil"/>
              <w:bottom w:val="single" w:sz="4"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215.153,75</w:t>
            </w:r>
          </w:p>
        </w:tc>
        <w:tc>
          <w:tcPr>
            <w:tcW w:w="377" w:type="pct"/>
            <w:tcBorders>
              <w:top w:val="nil"/>
              <w:left w:val="single" w:sz="8" w:space="0" w:color="auto"/>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222.425,00</w:t>
            </w:r>
          </w:p>
        </w:tc>
        <w:tc>
          <w:tcPr>
            <w:tcW w:w="377" w:type="pct"/>
            <w:tcBorders>
              <w:top w:val="nil"/>
              <w:left w:val="nil"/>
              <w:bottom w:val="single" w:sz="4"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412.702,41</w:t>
            </w:r>
          </w:p>
        </w:tc>
      </w:tr>
      <w:tr w:rsidR="00CB6F35" w:rsidRPr="004E7F7B" w:rsidTr="004032AC">
        <w:trPr>
          <w:trHeight w:val="20"/>
        </w:trPr>
        <w:tc>
          <w:tcPr>
            <w:tcW w:w="123" w:type="pct"/>
            <w:noWrap/>
            <w:vAlign w:val="bottom"/>
            <w:hideMark/>
          </w:tcPr>
          <w:p w:rsidR="00FE7FEB" w:rsidRPr="004E7F7B" w:rsidRDefault="00FE7FEB" w:rsidP="004E7F7B">
            <w:pPr>
              <w:rPr>
                <w:rFonts w:ascii="Times New Roman" w:eastAsia="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5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44" w:type="pct"/>
            <w:noWrap/>
            <w:vAlign w:val="bottom"/>
            <w:hideMark/>
          </w:tcPr>
          <w:p w:rsidR="00FE7FEB" w:rsidRPr="004E7F7B" w:rsidRDefault="00FE7FEB" w:rsidP="004E7F7B">
            <w:pPr>
              <w:spacing w:after="0"/>
              <w:rPr>
                <w:rFonts w:ascii="Times New Roman" w:hAnsi="Times New Roman" w:cs="Times New Roman"/>
                <w:lang w:eastAsia="tr-TR"/>
              </w:rPr>
            </w:pPr>
          </w:p>
        </w:tc>
        <w:tc>
          <w:tcPr>
            <w:tcW w:w="123" w:type="pct"/>
            <w:tcBorders>
              <w:top w:val="nil"/>
              <w:left w:val="single" w:sz="8" w:space="0" w:color="auto"/>
              <w:bottom w:val="nil"/>
              <w:right w:val="nil"/>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610</w:t>
            </w:r>
          </w:p>
        </w:tc>
        <w:tc>
          <w:tcPr>
            <w:tcW w:w="96" w:type="pct"/>
            <w:tcBorders>
              <w:top w:val="nil"/>
              <w:left w:val="single" w:sz="8" w:space="0" w:color="auto"/>
              <w:bottom w:val="single" w:sz="8" w:space="0" w:color="auto"/>
              <w:right w:val="single" w:sz="8" w:space="0" w:color="auto"/>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05</w:t>
            </w:r>
          </w:p>
        </w:tc>
        <w:tc>
          <w:tcPr>
            <w:tcW w:w="96" w:type="pct"/>
            <w:tcBorders>
              <w:top w:val="nil"/>
              <w:left w:val="nil"/>
              <w:bottom w:val="single" w:sz="8" w:space="0" w:color="auto"/>
              <w:right w:val="single" w:sz="8" w:space="0" w:color="auto"/>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w:t>
            </w:r>
          </w:p>
        </w:tc>
        <w:tc>
          <w:tcPr>
            <w:tcW w:w="96" w:type="pct"/>
            <w:tcBorders>
              <w:top w:val="nil"/>
              <w:left w:val="nil"/>
              <w:bottom w:val="single" w:sz="8" w:space="0" w:color="auto"/>
              <w:right w:val="single" w:sz="8" w:space="0" w:color="auto"/>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w:t>
            </w:r>
          </w:p>
        </w:tc>
        <w:tc>
          <w:tcPr>
            <w:tcW w:w="96" w:type="pct"/>
            <w:tcBorders>
              <w:top w:val="nil"/>
              <w:left w:val="nil"/>
              <w:bottom w:val="single" w:sz="8" w:space="0" w:color="auto"/>
              <w:right w:val="single" w:sz="8" w:space="0" w:color="auto"/>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99</w:t>
            </w:r>
          </w:p>
        </w:tc>
        <w:tc>
          <w:tcPr>
            <w:tcW w:w="1021" w:type="pct"/>
            <w:tcBorders>
              <w:top w:val="single" w:sz="4" w:space="0" w:color="auto"/>
              <w:left w:val="nil"/>
              <w:bottom w:val="single" w:sz="4" w:space="0" w:color="auto"/>
              <w:right w:val="nil"/>
            </w:tcBorders>
            <w:vAlign w:val="center"/>
            <w:hideMark/>
          </w:tcPr>
          <w:p w:rsidR="00FE7FEB" w:rsidRPr="004E7F7B" w:rsidRDefault="001C7D06"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Other Types of I</w:t>
            </w:r>
            <w:r w:rsidR="00FE7FEB" w:rsidRPr="004E7F7B">
              <w:rPr>
                <w:rFonts w:ascii="Times New Roman" w:hAnsi="Times New Roman" w:cs="Times New Roman"/>
                <w:b/>
                <w:bCs/>
              </w:rPr>
              <w:t>ncome</w:t>
            </w:r>
          </w:p>
        </w:tc>
        <w:tc>
          <w:tcPr>
            <w:tcW w:w="377" w:type="pct"/>
            <w:tcBorders>
              <w:top w:val="nil"/>
              <w:left w:val="nil"/>
              <w:bottom w:val="single" w:sz="8" w:space="0" w:color="auto"/>
              <w:right w:val="nil"/>
            </w:tcBorders>
            <w:noWrap/>
            <w:vAlign w:val="bottom"/>
            <w:hideMark/>
          </w:tcPr>
          <w:p w:rsidR="00FE7FEB"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1.854.000,00</w:t>
            </w:r>
          </w:p>
        </w:tc>
        <w:tc>
          <w:tcPr>
            <w:tcW w:w="377" w:type="pct"/>
            <w:tcBorders>
              <w:top w:val="nil"/>
              <w:left w:val="single" w:sz="8" w:space="0" w:color="auto"/>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4.223.922,92</w:t>
            </w:r>
          </w:p>
        </w:tc>
        <w:tc>
          <w:tcPr>
            <w:tcW w:w="377" w:type="pct"/>
            <w:tcBorders>
              <w:top w:val="nil"/>
              <w:left w:val="nil"/>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7.220.691,11</w:t>
            </w:r>
          </w:p>
        </w:tc>
      </w:tr>
      <w:tr w:rsidR="00CB6F35" w:rsidRPr="004E7F7B" w:rsidTr="004032AC">
        <w:trPr>
          <w:trHeight w:val="325"/>
        </w:trPr>
        <w:tc>
          <w:tcPr>
            <w:tcW w:w="123" w:type="pct"/>
            <w:noWrap/>
            <w:vAlign w:val="bottom"/>
            <w:hideMark/>
          </w:tcPr>
          <w:p w:rsidR="00FE7FEB" w:rsidRPr="004E7F7B" w:rsidRDefault="00FE7FEB" w:rsidP="004E7F7B">
            <w:pPr>
              <w:rPr>
                <w:rFonts w:ascii="Times New Roman" w:eastAsia="Times New Roman" w:hAnsi="Times New Roman" w:cs="Times New Roman"/>
                <w:b/>
                <w:bCs/>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5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44" w:type="pct"/>
            <w:noWrap/>
            <w:vAlign w:val="bottom"/>
            <w:hideMark/>
          </w:tcPr>
          <w:p w:rsidR="00FE7FEB" w:rsidRPr="004E7F7B" w:rsidRDefault="00FE7FEB" w:rsidP="004E7F7B">
            <w:pPr>
              <w:spacing w:after="0"/>
              <w:rPr>
                <w:rFonts w:ascii="Times New Roman" w:hAnsi="Times New Roman" w:cs="Times New Roman"/>
                <w:lang w:eastAsia="tr-TR"/>
              </w:rPr>
            </w:pPr>
          </w:p>
        </w:tc>
        <w:tc>
          <w:tcPr>
            <w:tcW w:w="1528" w:type="pct"/>
            <w:gridSpan w:val="6"/>
            <w:tcBorders>
              <w:top w:val="single" w:sz="8" w:space="0" w:color="auto"/>
              <w:left w:val="single" w:sz="8" w:space="0" w:color="auto"/>
              <w:bottom w:val="single" w:sz="8" w:space="0" w:color="auto"/>
              <w:right w:val="nil"/>
            </w:tcBorders>
            <w:noWrap/>
            <w:vAlign w:val="center"/>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TOTAL DISCOUNTS AND RETURNS</w:t>
            </w:r>
            <w:r w:rsidRPr="004E7F7B">
              <w:rPr>
                <w:rFonts w:ascii="Times New Roman" w:hAnsi="Times New Roman" w:cs="Times New Roman"/>
              </w:rPr>
              <w:t xml:space="preserve"> </w:t>
            </w:r>
            <w:r w:rsidRPr="004E7F7B">
              <w:rPr>
                <w:rFonts w:ascii="Times New Roman" w:eastAsia="Times New Roman" w:hAnsi="Times New Roman" w:cs="Times New Roman"/>
                <w:b/>
                <w:bCs/>
                <w:lang w:eastAsia="tr-TR"/>
              </w:rPr>
              <w:t xml:space="preserve"> ( C)</w:t>
            </w:r>
          </w:p>
        </w:tc>
        <w:tc>
          <w:tcPr>
            <w:tcW w:w="377" w:type="pct"/>
            <w:tcBorders>
              <w:top w:val="nil"/>
              <w:left w:val="single" w:sz="8" w:space="0" w:color="auto"/>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892</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755</w:t>
            </w:r>
            <w:r w:rsidR="00FE7FEB" w:rsidRPr="004E7F7B">
              <w:rPr>
                <w:rFonts w:ascii="Times New Roman" w:eastAsia="Times New Roman" w:hAnsi="Times New Roman" w:cs="Times New Roman"/>
                <w:lang w:eastAsia="tr-TR"/>
              </w:rPr>
              <w:t>,</w:t>
            </w:r>
            <w:r w:rsidRPr="004E7F7B">
              <w:rPr>
                <w:rFonts w:ascii="Times New Roman" w:eastAsia="Times New Roman" w:hAnsi="Times New Roman" w:cs="Times New Roman"/>
                <w:lang w:eastAsia="tr-TR"/>
              </w:rPr>
              <w:t>66</w:t>
            </w:r>
          </w:p>
        </w:tc>
        <w:tc>
          <w:tcPr>
            <w:tcW w:w="377" w:type="pct"/>
            <w:tcBorders>
              <w:top w:val="nil"/>
              <w:left w:val="nil"/>
              <w:bottom w:val="single" w:sz="8" w:space="0" w:color="auto"/>
              <w:right w:val="nil"/>
            </w:tcBorders>
            <w:noWrap/>
            <w:vAlign w:val="bottom"/>
            <w:hideMark/>
          </w:tcPr>
          <w:p w:rsidR="00FE7FEB"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6.348.260,71</w:t>
            </w:r>
          </w:p>
        </w:tc>
        <w:tc>
          <w:tcPr>
            <w:tcW w:w="377" w:type="pct"/>
            <w:tcBorders>
              <w:top w:val="nil"/>
              <w:left w:val="single" w:sz="8" w:space="0" w:color="auto"/>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11.349.950,08</w:t>
            </w:r>
          </w:p>
        </w:tc>
      </w:tr>
      <w:tr w:rsidR="00CB6F35" w:rsidRPr="004E7F7B" w:rsidTr="004032AC">
        <w:trPr>
          <w:trHeight w:val="20"/>
        </w:trPr>
        <w:tc>
          <w:tcPr>
            <w:tcW w:w="123" w:type="pct"/>
            <w:noWrap/>
            <w:vAlign w:val="bottom"/>
            <w:hideMark/>
          </w:tcPr>
          <w:p w:rsidR="00FE7FEB" w:rsidRPr="004E7F7B" w:rsidRDefault="00FE7FEB" w:rsidP="004E7F7B">
            <w:pPr>
              <w:rPr>
                <w:rFonts w:ascii="Times New Roman" w:eastAsia="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5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44" w:type="pct"/>
            <w:noWrap/>
            <w:vAlign w:val="bottom"/>
            <w:hideMark/>
          </w:tcPr>
          <w:p w:rsidR="00FE7FEB" w:rsidRPr="004E7F7B" w:rsidRDefault="00FE7FEB" w:rsidP="004E7F7B">
            <w:pPr>
              <w:spacing w:after="0"/>
              <w:rPr>
                <w:rFonts w:ascii="Times New Roman" w:hAnsi="Times New Roman" w:cs="Times New Roman"/>
                <w:lang w:eastAsia="tr-TR"/>
              </w:rPr>
            </w:pPr>
          </w:p>
        </w:tc>
        <w:tc>
          <w:tcPr>
            <w:tcW w:w="123"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21"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r>
      <w:tr w:rsidR="00CB6F35" w:rsidRPr="004E7F7B" w:rsidTr="004032AC">
        <w:trPr>
          <w:trHeight w:val="20"/>
        </w:trPr>
        <w:tc>
          <w:tcPr>
            <w:tcW w:w="123"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5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44" w:type="pct"/>
            <w:noWrap/>
            <w:vAlign w:val="bottom"/>
            <w:hideMark/>
          </w:tcPr>
          <w:p w:rsidR="00FE7FEB" w:rsidRPr="004E7F7B" w:rsidRDefault="00FE7FEB" w:rsidP="004E7F7B">
            <w:pPr>
              <w:spacing w:after="0"/>
              <w:rPr>
                <w:rFonts w:ascii="Times New Roman" w:hAnsi="Times New Roman" w:cs="Times New Roman"/>
                <w:lang w:eastAsia="tr-TR"/>
              </w:rPr>
            </w:pPr>
          </w:p>
        </w:tc>
        <w:tc>
          <w:tcPr>
            <w:tcW w:w="1528" w:type="pct"/>
            <w:gridSpan w:val="6"/>
            <w:tcBorders>
              <w:top w:val="single" w:sz="8" w:space="0" w:color="auto"/>
              <w:left w:val="single" w:sz="8" w:space="0" w:color="auto"/>
              <w:bottom w:val="single" w:sz="8" w:space="0" w:color="auto"/>
              <w:right w:val="single" w:sz="8" w:space="0" w:color="000000"/>
            </w:tcBorders>
            <w:noWrap/>
            <w:vAlign w:val="bottom"/>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NET INCOME (D)=(B - C)</w:t>
            </w:r>
          </w:p>
        </w:tc>
        <w:tc>
          <w:tcPr>
            <w:tcW w:w="377" w:type="pct"/>
            <w:tcBorders>
              <w:top w:val="single" w:sz="8" w:space="0" w:color="auto"/>
              <w:left w:val="nil"/>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283.461.700,31</w:t>
            </w:r>
          </w:p>
        </w:tc>
        <w:tc>
          <w:tcPr>
            <w:tcW w:w="377" w:type="pct"/>
            <w:tcBorders>
              <w:top w:val="single" w:sz="8" w:space="0" w:color="auto"/>
              <w:left w:val="nil"/>
              <w:bottom w:val="single" w:sz="8" w:space="0" w:color="auto"/>
              <w:right w:val="single" w:sz="8" w:space="0" w:color="auto"/>
            </w:tcBorders>
            <w:noWrap/>
            <w:vAlign w:val="bottom"/>
            <w:hideMark/>
          </w:tcPr>
          <w:p w:rsidR="00FE7FEB"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309.960.307,23</w:t>
            </w:r>
          </w:p>
        </w:tc>
        <w:tc>
          <w:tcPr>
            <w:tcW w:w="377" w:type="pct"/>
            <w:tcBorders>
              <w:top w:val="single" w:sz="8" w:space="0" w:color="auto"/>
              <w:left w:val="nil"/>
              <w:bottom w:val="single" w:sz="8" w:space="0" w:color="auto"/>
              <w:right w:val="single" w:sz="8" w:space="0" w:color="auto"/>
            </w:tcBorders>
            <w:noWrap/>
            <w:vAlign w:val="bottom"/>
            <w:hideMark/>
          </w:tcPr>
          <w:p w:rsidR="00FE7FEB" w:rsidRPr="004E7F7B" w:rsidRDefault="00FE7FEB"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309.960.307,23</w:t>
            </w:r>
          </w:p>
        </w:tc>
      </w:tr>
      <w:tr w:rsidR="00CB6F35" w:rsidRPr="004E7F7B" w:rsidTr="004032AC">
        <w:trPr>
          <w:trHeight w:val="20"/>
        </w:trPr>
        <w:tc>
          <w:tcPr>
            <w:tcW w:w="123" w:type="pct"/>
            <w:noWrap/>
            <w:vAlign w:val="bottom"/>
            <w:hideMark/>
          </w:tcPr>
          <w:p w:rsidR="00FE7FEB" w:rsidRPr="004E7F7B" w:rsidRDefault="00FE7FEB" w:rsidP="004E7F7B">
            <w:pPr>
              <w:rPr>
                <w:rFonts w:ascii="Times New Roman" w:eastAsia="Times New Roman" w:hAnsi="Times New Roman" w:cs="Times New Roman"/>
                <w:b/>
                <w:bCs/>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5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308" w:type="pct"/>
            <w:noWrap/>
            <w:vAlign w:val="bottom"/>
            <w:hideMark/>
          </w:tcPr>
          <w:p w:rsidR="00FE7FEB" w:rsidRPr="004E7F7B" w:rsidRDefault="00FE7FEB" w:rsidP="004E7F7B">
            <w:pPr>
              <w:spacing w:after="0"/>
              <w:rPr>
                <w:rFonts w:ascii="Times New Roman" w:hAnsi="Times New Roman" w:cs="Times New Roman"/>
                <w:lang w:eastAsia="tr-TR"/>
              </w:rPr>
            </w:pPr>
          </w:p>
        </w:tc>
        <w:tc>
          <w:tcPr>
            <w:tcW w:w="44" w:type="pct"/>
            <w:noWrap/>
            <w:vAlign w:val="bottom"/>
            <w:hideMark/>
          </w:tcPr>
          <w:p w:rsidR="00FE7FEB" w:rsidRPr="004E7F7B" w:rsidRDefault="00FE7FEB" w:rsidP="004E7F7B">
            <w:pPr>
              <w:spacing w:after="0"/>
              <w:rPr>
                <w:rFonts w:ascii="Times New Roman" w:hAnsi="Times New Roman" w:cs="Times New Roman"/>
                <w:lang w:eastAsia="tr-TR"/>
              </w:rPr>
            </w:pPr>
          </w:p>
        </w:tc>
        <w:tc>
          <w:tcPr>
            <w:tcW w:w="123"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96" w:type="pct"/>
            <w:noWrap/>
            <w:vAlign w:val="bottom"/>
            <w:hideMark/>
          </w:tcPr>
          <w:p w:rsidR="00FE7FEB" w:rsidRPr="004E7F7B" w:rsidRDefault="00FE7FEB" w:rsidP="004E7F7B">
            <w:pPr>
              <w:spacing w:after="0"/>
              <w:rPr>
                <w:rFonts w:ascii="Times New Roman" w:hAnsi="Times New Roman" w:cs="Times New Roman"/>
                <w:lang w:eastAsia="tr-TR"/>
              </w:rPr>
            </w:pPr>
          </w:p>
        </w:tc>
        <w:tc>
          <w:tcPr>
            <w:tcW w:w="1021"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c>
          <w:tcPr>
            <w:tcW w:w="377" w:type="pct"/>
            <w:noWrap/>
            <w:vAlign w:val="bottom"/>
            <w:hideMark/>
          </w:tcPr>
          <w:p w:rsidR="00FE7FEB" w:rsidRPr="004E7F7B" w:rsidRDefault="00FE7FEB" w:rsidP="004E7F7B">
            <w:pPr>
              <w:spacing w:after="0"/>
              <w:rPr>
                <w:rFonts w:ascii="Times New Roman" w:hAnsi="Times New Roman" w:cs="Times New Roman"/>
                <w:lang w:eastAsia="tr-TR"/>
              </w:rPr>
            </w:pPr>
          </w:p>
        </w:tc>
      </w:tr>
      <w:tr w:rsidR="00CB6F35" w:rsidRPr="004E7F7B" w:rsidTr="004032AC">
        <w:trPr>
          <w:trHeight w:val="20"/>
        </w:trPr>
        <w:tc>
          <w:tcPr>
            <w:tcW w:w="1372" w:type="pct"/>
            <w:gridSpan w:val="4"/>
            <w:tcBorders>
              <w:top w:val="single" w:sz="8" w:space="0" w:color="auto"/>
              <w:left w:val="single" w:sz="8" w:space="0" w:color="auto"/>
              <w:bottom w:val="single" w:sz="8"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TOTAL EXPENSES (A)</w:t>
            </w:r>
          </w:p>
        </w:tc>
        <w:tc>
          <w:tcPr>
            <w:tcW w:w="308" w:type="pct"/>
            <w:tcBorders>
              <w:top w:val="single" w:sz="8" w:space="0" w:color="auto"/>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222.850.520,02</w:t>
            </w:r>
          </w:p>
        </w:tc>
        <w:tc>
          <w:tcPr>
            <w:tcW w:w="308"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264.184.164,59</w:t>
            </w:r>
          </w:p>
        </w:tc>
        <w:tc>
          <w:tcPr>
            <w:tcW w:w="308"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272.071.456,62</w:t>
            </w:r>
          </w:p>
        </w:tc>
        <w:tc>
          <w:tcPr>
            <w:tcW w:w="44" w:type="pct"/>
            <w:noWrap/>
            <w:vAlign w:val="bottom"/>
            <w:hideMark/>
          </w:tcPr>
          <w:p w:rsidR="00CB6F35" w:rsidRPr="004E7F7B" w:rsidRDefault="00CB6F35" w:rsidP="004E7F7B">
            <w:pPr>
              <w:rPr>
                <w:rFonts w:ascii="Times New Roman" w:eastAsia="Times New Roman" w:hAnsi="Times New Roman" w:cs="Times New Roman"/>
                <w:b/>
                <w:bCs/>
                <w:lang w:eastAsia="tr-TR"/>
              </w:rPr>
            </w:pPr>
          </w:p>
        </w:tc>
        <w:tc>
          <w:tcPr>
            <w:tcW w:w="1528" w:type="pct"/>
            <w:gridSpan w:val="6"/>
            <w:tcBorders>
              <w:top w:val="single" w:sz="8" w:space="0" w:color="auto"/>
              <w:left w:val="single" w:sz="8" w:space="0" w:color="auto"/>
              <w:bottom w:val="single" w:sz="8" w:space="0" w:color="auto"/>
              <w:right w:val="nil"/>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hAnsi="Times New Roman" w:cs="Times New Roman"/>
                <w:b/>
                <w:bCs/>
              </w:rPr>
              <w:t>RESULT OF ACTIVITY</w:t>
            </w:r>
            <w:r w:rsidRPr="004E7F7B">
              <w:rPr>
                <w:rFonts w:ascii="Times New Roman" w:eastAsia="Times New Roman" w:hAnsi="Times New Roman" w:cs="Times New Roman"/>
                <w:b/>
                <w:bCs/>
                <w:lang w:eastAsia="tr-TR"/>
              </w:rPr>
              <w:t xml:space="preserve"> (D-A) (+/-)</w:t>
            </w:r>
          </w:p>
        </w:tc>
        <w:tc>
          <w:tcPr>
            <w:tcW w:w="377" w:type="pct"/>
            <w:tcBorders>
              <w:top w:val="single" w:sz="8" w:space="0" w:color="auto"/>
              <w:left w:val="single" w:sz="8" w:space="0" w:color="auto"/>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60.611.180,29</w:t>
            </w:r>
          </w:p>
        </w:tc>
        <w:tc>
          <w:tcPr>
            <w:tcW w:w="377"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45.776.142,64</w:t>
            </w:r>
          </w:p>
        </w:tc>
        <w:tc>
          <w:tcPr>
            <w:tcW w:w="377" w:type="pct"/>
            <w:tcBorders>
              <w:top w:val="single" w:sz="8" w:space="0" w:color="auto"/>
              <w:left w:val="nil"/>
              <w:bottom w:val="single" w:sz="8" w:space="0" w:color="auto"/>
              <w:right w:val="single" w:sz="8" w:space="0" w:color="auto"/>
            </w:tcBorders>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114.972.833,92</w:t>
            </w:r>
          </w:p>
        </w:tc>
      </w:tr>
    </w:tbl>
    <w:p w:rsidR="00FE7FEB" w:rsidRPr="004E7F7B" w:rsidRDefault="00FE7FEB" w:rsidP="004E7F7B">
      <w:pPr>
        <w:rPr>
          <w:rFonts w:ascii="Times New Roman" w:hAnsi="Times New Roman" w:cs="Times New Roman"/>
        </w:rPr>
      </w:pPr>
    </w:p>
    <w:p w:rsidR="00CB6F35" w:rsidRPr="004E7F7B" w:rsidRDefault="00CB6F35" w:rsidP="004E7F7B">
      <w:pPr>
        <w:rPr>
          <w:rFonts w:ascii="Times New Roman" w:hAnsi="Times New Roman" w:cs="Times New Roman"/>
        </w:rPr>
      </w:pPr>
    </w:p>
    <w:p w:rsidR="00CB6F35" w:rsidRPr="004E7F7B" w:rsidRDefault="00CB6F35" w:rsidP="004E7F7B">
      <w:pPr>
        <w:rPr>
          <w:rFonts w:ascii="Times New Roman" w:hAnsi="Times New Roman" w:cs="Times New Roman"/>
        </w:rPr>
      </w:pPr>
    </w:p>
    <w:p w:rsidR="00CB6F35" w:rsidRPr="004E7F7B" w:rsidRDefault="00CB6F35" w:rsidP="004E7F7B">
      <w:pPr>
        <w:rPr>
          <w:rFonts w:ascii="Times New Roman" w:hAnsi="Times New Roman" w:cs="Times New Roman"/>
        </w:rPr>
      </w:pPr>
    </w:p>
    <w:p w:rsidR="00CB6F35" w:rsidRPr="004E7F7B" w:rsidRDefault="00CB6F35" w:rsidP="004E7F7B">
      <w:pPr>
        <w:rPr>
          <w:rFonts w:ascii="Times New Roman" w:hAnsi="Times New Roman" w:cs="Times New Roman"/>
        </w:rPr>
      </w:pPr>
    </w:p>
    <w:p w:rsidR="00FE7FEB" w:rsidRPr="004E7F7B" w:rsidRDefault="00FE7FEB" w:rsidP="004E7F7B">
      <w:pPr>
        <w:rPr>
          <w:rFonts w:ascii="Times New Roman" w:hAnsi="Times New Roman" w:cs="Times New Roman"/>
          <w:b/>
          <w:bCs/>
        </w:rPr>
      </w:pPr>
      <w:r w:rsidRPr="004E7F7B">
        <w:rPr>
          <w:rFonts w:ascii="Times New Roman" w:hAnsi="Times New Roman" w:cs="Times New Roman"/>
        </w:rPr>
        <w:t xml:space="preserve">                              </w:t>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rPr>
        <w:tab/>
      </w:r>
      <w:r w:rsidRPr="004E7F7B">
        <w:rPr>
          <w:rFonts w:ascii="Times New Roman" w:hAnsi="Times New Roman" w:cs="Times New Roman"/>
          <w:b/>
          <w:bCs/>
        </w:rPr>
        <w:t xml:space="preserve">     Energy Market Regulatory Authority Balance Sheet 2017</w:t>
      </w:r>
      <w:r w:rsidR="00CB6F35" w:rsidRPr="004E7F7B">
        <w:rPr>
          <w:rFonts w:ascii="Times New Roman" w:hAnsi="Times New Roman" w:cs="Times New Roman"/>
          <w:b/>
          <w:bCs/>
        </w:rPr>
        <w:t>-2019</w:t>
      </w:r>
    </w:p>
    <w:tbl>
      <w:tblPr>
        <w:tblW w:w="5000" w:type="pct"/>
        <w:tblCellMar>
          <w:left w:w="70" w:type="dxa"/>
          <w:right w:w="70" w:type="dxa"/>
        </w:tblCellMar>
        <w:tblLook w:val="04A0" w:firstRow="1" w:lastRow="0" w:firstColumn="1" w:lastColumn="0" w:noHBand="0" w:noVBand="1"/>
      </w:tblPr>
      <w:tblGrid>
        <w:gridCol w:w="178"/>
        <w:gridCol w:w="351"/>
        <w:gridCol w:w="4712"/>
        <w:gridCol w:w="1196"/>
        <w:gridCol w:w="1196"/>
        <w:gridCol w:w="1196"/>
        <w:gridCol w:w="178"/>
        <w:gridCol w:w="291"/>
        <w:gridCol w:w="3595"/>
        <w:gridCol w:w="1196"/>
        <w:gridCol w:w="1196"/>
        <w:gridCol w:w="1196"/>
      </w:tblGrid>
      <w:tr w:rsidR="006D0192" w:rsidRPr="004E7F7B" w:rsidTr="00E23D56">
        <w:trPr>
          <w:trHeight w:val="20"/>
          <w:tblHeader/>
        </w:trPr>
        <w:tc>
          <w:tcPr>
            <w:tcW w:w="63" w:type="pct"/>
            <w:tcBorders>
              <w:top w:val="single" w:sz="8" w:space="0" w:color="auto"/>
              <w:left w:val="single" w:sz="8" w:space="0" w:color="auto"/>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66" w:type="pct"/>
            <w:tcBorders>
              <w:top w:val="single" w:sz="8" w:space="0" w:color="auto"/>
              <w:left w:val="nil"/>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1005" w:type="pct"/>
            <w:tcBorders>
              <w:top w:val="single" w:sz="8" w:space="0" w:color="auto"/>
              <w:left w:val="nil"/>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31.12.2017</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31.12.2018</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31.12.2019</w:t>
            </w:r>
          </w:p>
        </w:tc>
        <w:tc>
          <w:tcPr>
            <w:tcW w:w="65" w:type="pct"/>
            <w:tcBorders>
              <w:top w:val="single" w:sz="8" w:space="0" w:color="auto"/>
              <w:left w:val="nil"/>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96" w:type="pct"/>
            <w:tcBorders>
              <w:top w:val="single" w:sz="8" w:space="0" w:color="auto"/>
              <w:left w:val="nil"/>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990" w:type="pct"/>
            <w:tcBorders>
              <w:top w:val="single" w:sz="8" w:space="0" w:color="auto"/>
              <w:left w:val="nil"/>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31.12.2017</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31.12.2018</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31.12.2019</w:t>
            </w:r>
          </w:p>
        </w:tc>
      </w:tr>
      <w:tr w:rsidR="006D0192" w:rsidRPr="004E7F7B" w:rsidTr="00E23D56">
        <w:trPr>
          <w:trHeight w:val="20"/>
        </w:trPr>
        <w:tc>
          <w:tcPr>
            <w:tcW w:w="1134" w:type="pct"/>
            <w:gridSpan w:val="3"/>
            <w:tcBorders>
              <w:top w:val="single" w:sz="8" w:space="0" w:color="auto"/>
              <w:left w:val="single" w:sz="8" w:space="0" w:color="auto"/>
              <w:bottom w:val="nil"/>
              <w:right w:val="single" w:sz="8" w:space="0" w:color="000000"/>
            </w:tcBorders>
            <w:shd w:val="clear" w:color="auto" w:fill="auto"/>
            <w:noWrap/>
            <w:vAlign w:val="center"/>
            <w:hideMark/>
          </w:tcPr>
          <w:p w:rsidR="00CB6F35" w:rsidRPr="004E7F7B" w:rsidRDefault="0062129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I-REVOLVING ASSETS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67.572.006,12</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86.298.986,89</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131.753.397,46</w:t>
            </w:r>
          </w:p>
        </w:tc>
        <w:tc>
          <w:tcPr>
            <w:tcW w:w="1151" w:type="pct"/>
            <w:gridSpan w:val="3"/>
            <w:tcBorders>
              <w:top w:val="single" w:sz="8" w:space="0" w:color="auto"/>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I-</w:t>
            </w:r>
            <w:r w:rsidR="00621294" w:rsidRPr="004E7F7B">
              <w:rPr>
                <w:rFonts w:ascii="Times New Roman" w:eastAsia="Times New Roman" w:hAnsi="Times New Roman" w:cs="Times New Roman"/>
                <w:b/>
                <w:bCs/>
                <w:lang w:eastAsia="tr-TR"/>
              </w:rPr>
              <w:t>SHORT TERM LIABILITIES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54.261.325,20</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69.138.163,33</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68.374.548,00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62129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10-READY ASSTETS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61.985.820,48</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75.911.830,31</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18.303,67</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86" w:type="pct"/>
            <w:gridSpan w:val="2"/>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32-</w:t>
            </w:r>
            <w:r w:rsidR="00621294" w:rsidRPr="004E7F7B">
              <w:rPr>
                <w:rFonts w:ascii="Times New Roman" w:eastAsia="Times New Roman" w:hAnsi="Times New Roman" w:cs="Times New Roman"/>
                <w:b/>
                <w:bCs/>
                <w:lang w:eastAsia="tr-TR"/>
              </w:rPr>
              <w:t>ACTIVITY DEBTS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1.740.106,82</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1.358.586,29</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1.038.155,68</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62129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102-Bank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61.985.820,48</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75.911.830,31</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18.303,67</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62129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320-Budget Deposit Account</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1.740.106,82</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1.358.586,29</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1.038.155,68</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rsidR="00CB6F35" w:rsidRPr="004E7F7B" w:rsidRDefault="0062129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12- ACTIVITY RECEIVABLES</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4.946.774,40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9.754.634,25</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21.047.729,69</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86" w:type="pct"/>
            <w:gridSpan w:val="2"/>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33-</w:t>
            </w:r>
            <w:r w:rsidR="00621294" w:rsidRPr="004E7F7B">
              <w:rPr>
                <w:rFonts w:ascii="Times New Roman" w:eastAsia="Times New Roman" w:hAnsi="Times New Roman" w:cs="Times New Roman"/>
                <w:b/>
                <w:bCs/>
                <w:lang w:eastAsia="tr-TR"/>
              </w:rPr>
              <w:t>DEPOSİT FOREIGN ASSETS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16.558.348,63</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16.064.395,93</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17.356.384,65</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62129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120-Receivalbes from income account.</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4.946.774,40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6.204.633,10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13.664.522,63</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330-</w:t>
            </w:r>
            <w:r w:rsidR="00621294" w:rsidRPr="004E7F7B">
              <w:rPr>
                <w:rFonts w:ascii="Times New Roman" w:eastAsia="Times New Roman" w:hAnsi="Times New Roman" w:cs="Times New Roman"/>
                <w:lang w:eastAsia="tr-TR"/>
              </w:rPr>
              <w:t>Deposits and Guarantees Taken</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1.947.111,24</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1.059.229,24</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2.700.775,40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12</w:t>
            </w:r>
            <w:r w:rsidR="00621294" w:rsidRPr="004E7F7B">
              <w:rPr>
                <w:rFonts w:ascii="Times New Roman" w:eastAsia="Times New Roman" w:hAnsi="Times New Roman" w:cs="Times New Roman"/>
                <w:lang w:eastAsia="tr-TR"/>
              </w:rPr>
              <w:t>6-Granted Deposits and Indemnities</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62129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333-Deposits Account</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14.611.237,39</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15.005.166,69</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14.655.609,25</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62129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xml:space="preserve">121-Non-Performing Receivables </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3.550.001,15</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7.383.207,06</w:t>
            </w:r>
          </w:p>
        </w:tc>
        <w:tc>
          <w:tcPr>
            <w:tcW w:w="65"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86" w:type="pct"/>
            <w:gridSpan w:val="2"/>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36-</w:t>
            </w:r>
            <w:r w:rsidR="00621294" w:rsidRPr="004E7F7B">
              <w:rPr>
                <w:rFonts w:ascii="Times New Roman" w:hAnsi="Times New Roman" w:cs="Times New Roman"/>
              </w:rPr>
              <w:t xml:space="preserve"> </w:t>
            </w:r>
            <w:r w:rsidR="00621294" w:rsidRPr="004E7F7B">
              <w:rPr>
                <w:rFonts w:ascii="Times New Roman" w:eastAsia="Times New Roman" w:hAnsi="Times New Roman" w:cs="Times New Roman"/>
                <w:b/>
                <w:bCs/>
                <w:lang w:eastAsia="tr-TR"/>
              </w:rPr>
              <w:t>OTHER LIABILITIES PAYABLE</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35.962.869,75</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51.715.181,11</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49.980.007,67</w:t>
            </w:r>
          </w:p>
        </w:tc>
      </w:tr>
      <w:tr w:rsidR="006D0192" w:rsidRPr="004E7F7B" w:rsidTr="00E56084">
        <w:trPr>
          <w:trHeight w:val="30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rsidR="00CB6F35" w:rsidRPr="004E7F7B" w:rsidRDefault="00E5608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13-INSTUTION RECEIVABLES</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110.123.247,25</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360-</w:t>
            </w:r>
            <w:r w:rsidR="00BF3D19" w:rsidRPr="004E7F7B">
              <w:rPr>
                <w:rFonts w:ascii="Times New Roman" w:eastAsia="Times New Roman" w:hAnsi="Times New Roman" w:cs="Times New Roman"/>
                <w:lang w:eastAsia="tr-TR"/>
              </w:rPr>
              <w:t>Taxes and Funds Payable</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1.805.557,37</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2.110.203,34</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1.952.023,89</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135-</w:t>
            </w:r>
            <w:r w:rsidR="006D0192" w:rsidRPr="004E7F7B">
              <w:rPr>
                <w:rFonts w:ascii="Times New Roman" w:eastAsia="Times New Roman" w:hAnsi="Times New Roman" w:cs="Times New Roman"/>
                <w:lang w:eastAsia="tr-TR"/>
              </w:rPr>
              <w:t>Single Treasure Corporation Account Receiveables</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110.123.247,25</w:t>
            </w:r>
          </w:p>
        </w:tc>
        <w:tc>
          <w:tcPr>
            <w:tcW w:w="65"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361-</w:t>
            </w:r>
            <w:r w:rsidR="00BF3D19" w:rsidRPr="004E7F7B">
              <w:rPr>
                <w:rFonts w:ascii="Times New Roman" w:eastAsia="Times New Roman" w:hAnsi="Times New Roman" w:cs="Times New Roman"/>
                <w:lang w:eastAsia="tr-TR"/>
              </w:rPr>
              <w:t>Social Security Dedeuctions Payable</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E5608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14-OTHER RECEIBABLES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596.678,66</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630.342,33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561.936,85</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363-</w:t>
            </w:r>
            <w:r w:rsidR="00BF3D19" w:rsidRPr="004E7F7B">
              <w:rPr>
                <w:rFonts w:ascii="Times New Roman" w:eastAsia="Times New Roman" w:hAnsi="Times New Roman" w:cs="Times New Roman"/>
                <w:lang w:eastAsia="tr-TR"/>
              </w:rPr>
              <w:t>Public Institutions Shares Account</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34.157.312,38</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49.604.977,77</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48.027.983,78</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E5608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140-Receivables from persons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596.678,66</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630.342,33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561.936,85</w:t>
            </w:r>
          </w:p>
        </w:tc>
        <w:tc>
          <w:tcPr>
            <w:tcW w:w="1151" w:type="pct"/>
            <w:gridSpan w:val="3"/>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II-</w:t>
            </w:r>
            <w:r w:rsidR="00625463" w:rsidRPr="004E7F7B">
              <w:rPr>
                <w:rFonts w:ascii="Times New Roman" w:eastAsia="Times New Roman" w:hAnsi="Times New Roman" w:cs="Times New Roman"/>
                <w:b/>
                <w:bCs/>
                <w:lang w:eastAsia="tr-TR"/>
              </w:rPr>
              <w:t>LONG-TERM FOREIGN ASSETS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4.130.422,25</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1.074.000,00</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2.511.430,00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E56084"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15-STOCKS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p>
        </w:tc>
        <w:tc>
          <w:tcPr>
            <w:tcW w:w="1086" w:type="pct"/>
            <w:gridSpan w:val="2"/>
            <w:tcBorders>
              <w:top w:val="nil"/>
              <w:left w:val="nil"/>
              <w:bottom w:val="nil"/>
              <w:right w:val="nil"/>
            </w:tcBorders>
            <w:shd w:val="clear" w:color="auto" w:fill="auto"/>
            <w:noWrap/>
            <w:vAlign w:val="bottom"/>
            <w:hideMark/>
          </w:tcPr>
          <w:p w:rsidR="00CB6F35" w:rsidRPr="004E7F7B" w:rsidRDefault="0062546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43-OTHER DEBTS</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1.074.000,00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2.511.430,00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E5608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150-Raw materials and supplies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430-</w:t>
            </w:r>
            <w:r w:rsidR="00625463" w:rsidRPr="004E7F7B">
              <w:rPr>
                <w:rFonts w:ascii="Times New Roman" w:eastAsia="Times New Roman" w:hAnsi="Times New Roman" w:cs="Times New Roman"/>
                <w:lang w:eastAsia="tr-TR"/>
              </w:rPr>
              <w:t>Deposits and Guarantees Received</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1.074.000,00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2.511.430,00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16-</w:t>
            </w:r>
            <w:r w:rsidR="00E56084" w:rsidRPr="004E7F7B">
              <w:rPr>
                <w:rFonts w:ascii="Times New Roman" w:eastAsia="Times New Roman" w:hAnsi="Times New Roman" w:cs="Times New Roman"/>
                <w:b/>
                <w:bCs/>
                <w:lang w:eastAsia="tr-TR"/>
              </w:rPr>
              <w:t>EXTRA BUDGETORY ADVANCES AND CREDİTS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2.180,00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2.180,00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2.180,00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86" w:type="pct"/>
            <w:gridSpan w:val="2"/>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47-</w:t>
            </w:r>
            <w:r w:rsidR="00625463" w:rsidRPr="004E7F7B">
              <w:rPr>
                <w:rFonts w:ascii="Times New Roman" w:eastAsia="Times New Roman" w:hAnsi="Times New Roman" w:cs="Times New Roman"/>
                <w:b/>
                <w:bCs/>
                <w:lang w:eastAsia="tr-TR"/>
              </w:rPr>
              <w:t>PROVISIONS FOR LIABILITIES AND EXPENSES</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4.130.422,25</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E56084"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160-Business advance and credits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2.180,00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2.180,00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2.180,00</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472-</w:t>
            </w:r>
            <w:r w:rsidR="00625463" w:rsidRPr="004E7F7B">
              <w:rPr>
                <w:rFonts w:ascii="Times New Roman" w:eastAsia="Times New Roman" w:hAnsi="Times New Roman" w:cs="Times New Roman"/>
                <w:lang w:eastAsia="tr-TR"/>
              </w:rPr>
              <w:t>Allowance for Retirement Pay</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4.130.422,25</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162-</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lang w:eastAsia="tr-TR"/>
              </w:rPr>
              <w:t>Out of budget advance payment and credits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1151" w:type="pct"/>
            <w:gridSpan w:val="3"/>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III-</w:t>
            </w:r>
            <w:r w:rsidR="00625463" w:rsidRPr="004E7F7B">
              <w:rPr>
                <w:rFonts w:ascii="Times New Roman" w:eastAsia="Times New Roman" w:hAnsi="Times New Roman" w:cs="Times New Roman"/>
                <w:b/>
                <w:bCs/>
                <w:lang w:eastAsia="tr-TR"/>
              </w:rPr>
              <w:t>EQUITIES</w:t>
            </w:r>
            <w:r w:rsidR="00625463" w:rsidRPr="004E7F7B">
              <w:rPr>
                <w:rFonts w:ascii="Times New Roman" w:eastAsia="Times New Roman" w:hAnsi="Times New Roman" w:cs="Times New Roman"/>
                <w:b/>
                <w:bCs/>
                <w:lang w:eastAsia="tr-TR"/>
              </w:rPr>
              <w:tab/>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244.257.157,50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294.163.722,39</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409.136.656,31</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18-</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b/>
                <w:bCs/>
                <w:lang w:eastAsia="tr-TR"/>
              </w:rPr>
              <w:t>INCOME AND EXPENDITURE FORECASTS FOR NEXT MONTHS</w:t>
            </w:r>
            <w:r w:rsidRPr="004E7F7B">
              <w:rPr>
                <w:rFonts w:ascii="Times New Roman" w:eastAsia="Times New Roman" w:hAnsi="Times New Roman" w:cs="Times New Roman"/>
                <w:b/>
                <w:bCs/>
                <w:lang w:eastAsia="tr-TR"/>
              </w:rPr>
              <w: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40.552,58</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w:t>
            </w:r>
          </w:p>
        </w:tc>
        <w:tc>
          <w:tcPr>
            <w:tcW w:w="1086" w:type="pct"/>
            <w:gridSpan w:val="2"/>
            <w:tcBorders>
              <w:top w:val="nil"/>
              <w:left w:val="nil"/>
              <w:bottom w:val="nil"/>
              <w:right w:val="nil"/>
            </w:tcBorders>
            <w:shd w:val="clear" w:color="auto" w:fill="auto"/>
            <w:noWrap/>
            <w:vAlign w:val="bottom"/>
            <w:hideMark/>
          </w:tcPr>
          <w:p w:rsidR="00CB6F35" w:rsidRPr="004E7F7B" w:rsidRDefault="0062546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50-NET VALUE</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-4.130.422,25</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181-</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lang w:eastAsia="tr-TR"/>
              </w:rPr>
              <w:t>Revenue Accruals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40.552,58</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500-</w:t>
            </w:r>
            <w:r w:rsidR="00625463" w:rsidRPr="004E7F7B">
              <w:rPr>
                <w:rFonts w:ascii="Times New Roman" w:eastAsia="Times New Roman" w:hAnsi="Times New Roman" w:cs="Times New Roman"/>
                <w:lang w:eastAsia="tr-TR"/>
              </w:rPr>
              <w:t>Net Value Account</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-4.130.422,25</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r>
      <w:tr w:rsidR="006D0192" w:rsidRPr="004E7F7B" w:rsidTr="00E23D56">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II-</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b/>
                <w:bCs/>
                <w:lang w:eastAsia="tr-TR"/>
              </w:rPr>
              <w:t>FIXED ASSETS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235.076.898,83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278.076.898,83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348.269.236,85</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57</w:t>
            </w:r>
          </w:p>
        </w:tc>
        <w:tc>
          <w:tcPr>
            <w:tcW w:w="990" w:type="pct"/>
            <w:tcBorders>
              <w:top w:val="nil"/>
              <w:left w:val="nil"/>
              <w:bottom w:val="nil"/>
              <w:right w:val="nil"/>
            </w:tcBorders>
            <w:shd w:val="clear" w:color="auto" w:fill="auto"/>
            <w:noWrap/>
            <w:vAlign w:val="bottom"/>
            <w:hideMark/>
          </w:tcPr>
          <w:p w:rsidR="00CB6F35" w:rsidRPr="004E7F7B" w:rsidRDefault="00625463"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RECENT YEARS POSITIVE ACTIVITY RESULTS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187.776.399,46</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248.387.579,75</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294.163.722,39</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22-</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b/>
                <w:bCs/>
                <w:lang w:eastAsia="tr-TR"/>
              </w:rPr>
              <w:t>ACTIVITY RECEIVABLES</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26.898,83</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26.898,83</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571.122,83</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570-</w:t>
            </w:r>
            <w:r w:rsidR="00625463" w:rsidRPr="004E7F7B">
              <w:rPr>
                <w:rFonts w:ascii="Times New Roman" w:eastAsia="Times New Roman" w:hAnsi="Times New Roman" w:cs="Times New Roman"/>
                <w:lang w:eastAsia="tr-TR"/>
              </w:rPr>
              <w:t>Recent years positive activity results</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187.776.399,46</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248.387.579,75</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294.163.722,39</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226-</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lang w:eastAsia="tr-TR"/>
              </w:rPr>
              <w:t>Deposits and Guarantees Given</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26.898,83</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26.898,83</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571.122,83</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86" w:type="pct"/>
            <w:gridSpan w:val="2"/>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59-</w:t>
            </w:r>
            <w:r w:rsidR="00625463" w:rsidRPr="004E7F7B">
              <w:rPr>
                <w:rFonts w:ascii="Times New Roman" w:eastAsia="Times New Roman" w:hAnsi="Times New Roman" w:cs="Times New Roman"/>
                <w:b/>
                <w:bCs/>
                <w:lang w:eastAsia="tr-TR"/>
              </w:rPr>
              <w:t>PERIOD ACTIVITY RESULTS</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60.611.180,29</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45.776.142,64</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114.972.933,92</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25-</w:t>
            </w:r>
            <w:r w:rsidR="00531A36" w:rsidRPr="004E7F7B">
              <w:rPr>
                <w:rFonts w:ascii="Times New Roman" w:hAnsi="Times New Roman" w:cs="Times New Roman"/>
              </w:rPr>
              <w:t xml:space="preserve"> </w:t>
            </w:r>
            <w:r w:rsidR="00531A36" w:rsidRPr="004E7F7B">
              <w:rPr>
                <w:rFonts w:ascii="Times New Roman" w:eastAsia="Times New Roman" w:hAnsi="Times New Roman" w:cs="Times New Roman"/>
                <w:b/>
                <w:bCs/>
                <w:lang w:eastAsia="tr-TR"/>
              </w:rPr>
              <w:t>TANGIBLE ASSETS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235.050.000,00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278.050.000,00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347.698.114,02</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590-</w:t>
            </w:r>
            <w:r w:rsidR="00625463" w:rsidRPr="004E7F7B">
              <w:rPr>
                <w:rFonts w:ascii="Times New Roman" w:eastAsia="Times New Roman" w:hAnsi="Times New Roman" w:cs="Times New Roman"/>
                <w:lang w:eastAsia="tr-TR"/>
              </w:rPr>
              <w:t>End of period positive active results account</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60.611.180,29</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45.776.142,64</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114.972.933,92</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250-</w:t>
            </w:r>
            <w:r w:rsidR="00BF3D19" w:rsidRPr="004E7F7B">
              <w:rPr>
                <w:rFonts w:ascii="Times New Roman" w:eastAsia="Times New Roman" w:hAnsi="Times New Roman" w:cs="Times New Roman"/>
                <w:lang w:eastAsia="tr-TR"/>
              </w:rPr>
              <w:t>Land and Parcels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96.310.000,00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96.310.000,00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96.310.000,00</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252-</w:t>
            </w:r>
            <w:r w:rsidR="00BF3D19" w:rsidRPr="004E7F7B">
              <w:rPr>
                <w:rFonts w:ascii="Times New Roman" w:eastAsia="Times New Roman" w:hAnsi="Times New Roman" w:cs="Times New Roman"/>
                <w:lang w:eastAsia="tr-TR"/>
              </w:rPr>
              <w:t>Buildings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14.915.698,80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14.915.698,80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14.915.698,80</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253-</w:t>
            </w:r>
            <w:r w:rsidR="00BF3D19" w:rsidRPr="004E7F7B">
              <w:rPr>
                <w:rFonts w:ascii="Times New Roman" w:eastAsia="Times New Roman" w:hAnsi="Times New Roman" w:cs="Times New Roman"/>
                <w:lang w:eastAsia="tr-TR"/>
              </w:rPr>
              <w:t>Facility, Machine and Equipment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301.694,31</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2.837.364,45</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5.534.290,08</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254-</w:t>
            </w:r>
            <w:r w:rsidR="00BF3D19" w:rsidRPr="004E7F7B">
              <w:rPr>
                <w:rFonts w:ascii="Times New Roman" w:eastAsia="Times New Roman" w:hAnsi="Times New Roman" w:cs="Times New Roman"/>
                <w:lang w:eastAsia="tr-TR"/>
              </w:rPr>
              <w:t>Vehicles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255-</w:t>
            </w:r>
            <w:r w:rsidR="00BF3D19" w:rsidRPr="004E7F7B">
              <w:rPr>
                <w:rFonts w:ascii="Times New Roman" w:eastAsia="Times New Roman" w:hAnsi="Times New Roman" w:cs="Times New Roman"/>
                <w:lang w:eastAsia="tr-TR"/>
              </w:rPr>
              <w:t>Fixtures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14.888.996,96</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16.240.991,04</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40.935.378,38</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257-</w:t>
            </w:r>
            <w:r w:rsidR="00BF3D19" w:rsidRPr="004E7F7B">
              <w:rPr>
                <w:rFonts w:ascii="Times New Roman" w:eastAsia="Times New Roman" w:hAnsi="Times New Roman" w:cs="Times New Roman"/>
                <w:lang w:eastAsia="tr-TR"/>
              </w:rPr>
              <w:t>Accumulated Amortizations Account (-)</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-30.106.390,07</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-33.994.054,29</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-47.137.253,24</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258-</w:t>
            </w:r>
            <w:r w:rsidR="00BF3D19" w:rsidRPr="004E7F7B">
              <w:rPr>
                <w:rFonts w:ascii="Times New Roman" w:eastAsia="Times New Roman" w:hAnsi="Times New Roman" w:cs="Times New Roman"/>
                <w:lang w:eastAsia="tr-TR"/>
              </w:rPr>
              <w:t>Investments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91.160.193,45</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132.214.727,53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221.626.421,16</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259-</w:t>
            </w:r>
            <w:r w:rsidR="00BF3D19" w:rsidRPr="004E7F7B">
              <w:rPr>
                <w:rFonts w:ascii="Times New Roman" w:eastAsia="Times New Roman" w:hAnsi="Times New Roman" w:cs="Times New Roman"/>
                <w:lang w:eastAsia="tr-TR"/>
              </w:rPr>
              <w:t>Investments Advance Payments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47.579.806,55</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49.525.272,47</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15.513.578,84</w:t>
            </w:r>
          </w:p>
        </w:tc>
        <w:tc>
          <w:tcPr>
            <w:tcW w:w="65"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26-</w:t>
            </w:r>
            <w:r w:rsidR="00BF3D19" w:rsidRPr="004E7F7B">
              <w:rPr>
                <w:rFonts w:ascii="Times New Roman" w:hAnsi="Times New Roman" w:cs="Times New Roman"/>
                <w:b/>
                <w:bCs/>
              </w:rPr>
              <w:t xml:space="preserve"> INTANGIBLE ASSETS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0,00</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260-</w:t>
            </w:r>
            <w:r w:rsidR="00BF3D19" w:rsidRPr="004E7F7B">
              <w:rPr>
                <w:rFonts w:ascii="Times New Roman" w:hAnsi="Times New Roman" w:cs="Times New Roman"/>
              </w:rPr>
              <w:t xml:space="preserve"> </w:t>
            </w:r>
            <w:r w:rsidR="00BF3D19" w:rsidRPr="004E7F7B">
              <w:rPr>
                <w:rFonts w:ascii="Times New Roman" w:eastAsia="Times New Roman" w:hAnsi="Times New Roman" w:cs="Times New Roman"/>
                <w:lang w:eastAsia="tr-TR"/>
              </w:rPr>
              <w:t>Rights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4.996.917,57</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6.580.379,63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13.988.931,81</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268-</w:t>
            </w:r>
            <w:r w:rsidR="00BF3D19" w:rsidRPr="004E7F7B">
              <w:rPr>
                <w:rFonts w:ascii="Times New Roman" w:hAnsi="Times New Roman" w:cs="Times New Roman"/>
              </w:rPr>
              <w:t xml:space="preserve"> </w:t>
            </w:r>
            <w:r w:rsidR="00BF3D19" w:rsidRPr="004E7F7B">
              <w:rPr>
                <w:rFonts w:ascii="Times New Roman" w:eastAsia="Times New Roman" w:hAnsi="Times New Roman" w:cs="Times New Roman"/>
                <w:lang w:eastAsia="tr-TR"/>
              </w:rPr>
              <w:t>Accumulated Amortizations Account (-)</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-4.996.917,57</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-6.580.379,63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-13.988.931,81</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w:t>
            </w:r>
            <w:r w:rsidR="00BF3D19" w:rsidRPr="004E7F7B">
              <w:rPr>
                <w:rFonts w:ascii="Times New Roman" w:eastAsia="Times New Roman" w:hAnsi="Times New Roman" w:cs="Times New Roman"/>
                <w:b/>
                <w:bCs/>
                <w:lang w:eastAsia="tr-TR"/>
              </w:rPr>
              <w:t>TOTAL ACTIVE</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302.648.904,95</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364.375.885,72</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480.022.634,31</w:t>
            </w:r>
          </w:p>
        </w:tc>
        <w:tc>
          <w:tcPr>
            <w:tcW w:w="1151" w:type="pct"/>
            <w:gridSpan w:val="3"/>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w:t>
            </w:r>
            <w:r w:rsidR="00625463" w:rsidRPr="004E7F7B">
              <w:rPr>
                <w:rFonts w:ascii="Times New Roman" w:eastAsia="Times New Roman" w:hAnsi="Times New Roman" w:cs="Times New Roman"/>
                <w:b/>
                <w:bCs/>
                <w:lang w:eastAsia="tr-TR"/>
              </w:rPr>
              <w:t>TOTAL LIABILITIES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302.648.904,95</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364.375.885,72</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480.022.634,31</w:t>
            </w:r>
          </w:p>
        </w:tc>
      </w:tr>
      <w:tr w:rsidR="006D0192" w:rsidRPr="004E7F7B" w:rsidTr="00E23D56">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rsidR="00CB6F35" w:rsidRPr="004E7F7B" w:rsidRDefault="00BF3D19" w:rsidP="004E7F7B">
            <w:pPr>
              <w:spacing w:after="0" w:line="240" w:lineRule="auto"/>
              <w:rPr>
                <w:rFonts w:ascii="Times New Roman" w:eastAsia="Times New Roman" w:hAnsi="Times New Roman" w:cs="Times New Roman"/>
                <w:b/>
                <w:bCs/>
                <w:u w:val="single"/>
                <w:lang w:eastAsia="tr-TR"/>
              </w:rPr>
            </w:pPr>
            <w:r w:rsidRPr="004E7F7B">
              <w:rPr>
                <w:rFonts w:ascii="Times New Roman" w:eastAsia="Times New Roman" w:hAnsi="Times New Roman" w:cs="Times New Roman"/>
                <w:b/>
                <w:bCs/>
                <w:u w:val="single"/>
                <w:lang w:eastAsia="tr-TR"/>
              </w:rPr>
              <w:t>OFF-BALANCE SHEET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151" w:type="pct"/>
            <w:gridSpan w:val="3"/>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r w:rsidRPr="004E7F7B">
              <w:rPr>
                <w:rFonts w:ascii="Times New Roman" w:eastAsia="Times New Roman" w:hAnsi="Times New Roman" w:cs="Times New Roman"/>
                <w:b/>
                <w:bCs/>
                <w:u w:val="single"/>
                <w:lang w:eastAsia="tr-TR"/>
              </w:rPr>
              <w:t xml:space="preserve"> </w:t>
            </w:r>
            <w:r w:rsidR="00625463" w:rsidRPr="004E7F7B">
              <w:rPr>
                <w:rFonts w:ascii="Times New Roman" w:eastAsia="Times New Roman" w:hAnsi="Times New Roman" w:cs="Times New Roman"/>
                <w:b/>
                <w:bCs/>
                <w:u w:val="single"/>
                <w:lang w:eastAsia="tr-TR"/>
              </w:rPr>
              <w:t>OFF-BALANCE SHEET ACCOUNTS</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r w:rsidRPr="004E7F7B">
              <w:rPr>
                <w:rFonts w:ascii="Times New Roman" w:eastAsia="Times New Roman" w:hAnsi="Times New Roman" w:cs="Times New Roman"/>
                <w:b/>
                <w:bCs/>
                <w:u w:val="single"/>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910-</w:t>
            </w:r>
            <w:r w:rsidR="00BF3D19" w:rsidRPr="004E7F7B">
              <w:rPr>
                <w:rFonts w:ascii="Times New Roman" w:hAnsi="Times New Roman" w:cs="Times New Roman"/>
              </w:rPr>
              <w:t xml:space="preserve"> </w:t>
            </w:r>
            <w:r w:rsidR="00BF3D19" w:rsidRPr="004E7F7B">
              <w:rPr>
                <w:rFonts w:ascii="Times New Roman" w:eastAsia="Times New Roman" w:hAnsi="Times New Roman" w:cs="Times New Roman"/>
                <w:lang w:eastAsia="tr-TR"/>
              </w:rPr>
              <w:t>Guarantee Letters Account</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2.729.452.451,27</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2.250.622.327,62</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2.148.994.388,68</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911-</w:t>
            </w:r>
            <w:r w:rsidR="00625463" w:rsidRPr="004E7F7B">
              <w:rPr>
                <w:rFonts w:ascii="Times New Roman" w:hAnsi="Times New Roman" w:cs="Times New Roman"/>
              </w:rPr>
              <w:t xml:space="preserve"> </w:t>
            </w:r>
            <w:r w:rsidR="00625463" w:rsidRPr="004E7F7B">
              <w:rPr>
                <w:rFonts w:ascii="Times New Roman" w:eastAsia="Times New Roman" w:hAnsi="Times New Roman" w:cs="Times New Roman"/>
                <w:lang w:eastAsia="tr-TR"/>
              </w:rPr>
              <w:t>Guarantee letters deposits account</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2.729.452.451,27</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2.250.622.327,62</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2.148.994.388,68</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r w:rsidRPr="004E7F7B">
              <w:rPr>
                <w:rFonts w:ascii="Times New Roman" w:eastAsia="Times New Roman" w:hAnsi="Times New Roman" w:cs="Times New Roman"/>
                <w:b/>
                <w:bCs/>
                <w:u w:val="single"/>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p>
        </w:tc>
        <w:tc>
          <w:tcPr>
            <w:tcW w:w="1005"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920-</w:t>
            </w:r>
            <w:r w:rsidR="00BF3D19" w:rsidRPr="004E7F7B">
              <w:rPr>
                <w:rFonts w:ascii="Times New Roman" w:hAnsi="Times New Roman" w:cs="Times New Roman"/>
              </w:rPr>
              <w:t xml:space="preserve"> </w:t>
            </w:r>
            <w:r w:rsidR="00BF3D19" w:rsidRPr="004E7F7B">
              <w:rPr>
                <w:rFonts w:ascii="Times New Roman" w:eastAsia="Times New Roman" w:hAnsi="Times New Roman" w:cs="Times New Roman"/>
                <w:lang w:eastAsia="tr-TR"/>
              </w:rPr>
              <w:t>Expense Commitments Account</w:t>
            </w:r>
          </w:p>
        </w:tc>
        <w:tc>
          <w:tcPr>
            <w:tcW w:w="453" w:type="pct"/>
            <w:tcBorders>
              <w:top w:val="nil"/>
              <w:left w:val="nil"/>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63.703.462,44</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47.441.722,04</w:t>
            </w:r>
          </w:p>
        </w:tc>
        <w:tc>
          <w:tcPr>
            <w:tcW w:w="65"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921-</w:t>
            </w:r>
            <w:r w:rsidR="00625463" w:rsidRPr="004E7F7B">
              <w:rPr>
                <w:rFonts w:ascii="Times New Roman" w:hAnsi="Times New Roman" w:cs="Times New Roman"/>
              </w:rPr>
              <w:t xml:space="preserve"> </w:t>
            </w:r>
            <w:r w:rsidR="00625463" w:rsidRPr="004E7F7B">
              <w:rPr>
                <w:rFonts w:ascii="Times New Roman" w:eastAsia="Times New Roman" w:hAnsi="Times New Roman" w:cs="Times New Roman"/>
                <w:lang w:eastAsia="tr-TR"/>
              </w:rPr>
              <w:t>Provision for Expense Commitments</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0,00</w:t>
            </w:r>
          </w:p>
        </w:tc>
        <w:tc>
          <w:tcPr>
            <w:tcW w:w="453" w:type="pct"/>
            <w:tcBorders>
              <w:top w:val="nil"/>
              <w:left w:val="nil"/>
              <w:bottom w:val="nil"/>
              <w:right w:val="nil"/>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63.703.462,44</w:t>
            </w:r>
          </w:p>
        </w:tc>
        <w:tc>
          <w:tcPr>
            <w:tcW w:w="453" w:type="pct"/>
            <w:tcBorders>
              <w:top w:val="nil"/>
              <w:left w:val="single" w:sz="8" w:space="0" w:color="auto"/>
              <w:bottom w:val="nil"/>
              <w:right w:val="single" w:sz="8" w:space="0" w:color="auto"/>
            </w:tcBorders>
            <w:shd w:val="clear" w:color="auto" w:fill="auto"/>
            <w:noWrap/>
            <w:vAlign w:val="bottom"/>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47.441.722,04</w:t>
            </w:r>
          </w:p>
        </w:tc>
      </w:tr>
      <w:tr w:rsidR="006D0192" w:rsidRPr="004E7F7B" w:rsidTr="00E23D56">
        <w:trPr>
          <w:trHeight w:val="20"/>
        </w:trPr>
        <w:tc>
          <w:tcPr>
            <w:tcW w:w="63" w:type="pct"/>
            <w:tcBorders>
              <w:top w:val="nil"/>
              <w:left w:val="single" w:sz="8" w:space="0" w:color="auto"/>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r w:rsidRPr="004E7F7B">
              <w:rPr>
                <w:rFonts w:ascii="Times New Roman" w:eastAsia="Times New Roman" w:hAnsi="Times New Roman" w:cs="Times New Roman"/>
                <w:b/>
                <w:bCs/>
                <w:u w:val="single"/>
                <w:lang w:eastAsia="tr-TR"/>
              </w:rPr>
              <w:t> </w:t>
            </w:r>
          </w:p>
        </w:tc>
        <w:tc>
          <w:tcPr>
            <w:tcW w:w="6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u w:val="single"/>
                <w:lang w:eastAsia="tr-TR"/>
              </w:rPr>
            </w:pPr>
          </w:p>
        </w:tc>
        <w:tc>
          <w:tcPr>
            <w:tcW w:w="1005"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998-</w:t>
            </w:r>
            <w:r w:rsidR="00BF3D19" w:rsidRPr="004E7F7B">
              <w:rPr>
                <w:rFonts w:ascii="Times New Roman" w:hAnsi="Times New Roman" w:cs="Times New Roman"/>
              </w:rPr>
              <w:t xml:space="preserve"> </w:t>
            </w:r>
            <w:r w:rsidR="00BF3D19" w:rsidRPr="004E7F7B">
              <w:rPr>
                <w:rFonts w:ascii="Times New Roman" w:eastAsia="Times New Roman" w:hAnsi="Times New Roman" w:cs="Times New Roman"/>
                <w:lang w:eastAsia="tr-TR"/>
              </w:rPr>
              <w:t>Other off-balance sheet accounts</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3.034.566.159,25</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3.291.995.577,03</w:t>
            </w:r>
          </w:p>
        </w:tc>
        <w:tc>
          <w:tcPr>
            <w:tcW w:w="453" w:type="pct"/>
            <w:tcBorders>
              <w:top w:val="nil"/>
              <w:left w:val="nil"/>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3.699.991.839,28</w:t>
            </w:r>
          </w:p>
        </w:tc>
        <w:tc>
          <w:tcPr>
            <w:tcW w:w="65"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p>
        </w:tc>
        <w:tc>
          <w:tcPr>
            <w:tcW w:w="990"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999-</w:t>
            </w:r>
            <w:r w:rsidR="00625463" w:rsidRPr="004E7F7B">
              <w:rPr>
                <w:rFonts w:ascii="Times New Roman" w:hAnsi="Times New Roman" w:cs="Times New Roman"/>
              </w:rPr>
              <w:t xml:space="preserve"> </w:t>
            </w:r>
            <w:r w:rsidR="00625463" w:rsidRPr="004E7F7B">
              <w:rPr>
                <w:rFonts w:ascii="Times New Roman" w:eastAsia="Times New Roman" w:hAnsi="Times New Roman" w:cs="Times New Roman"/>
                <w:lang w:eastAsia="tr-TR"/>
              </w:rPr>
              <w:t>Other off-balance account</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3.034.566.159,25</w:t>
            </w:r>
          </w:p>
        </w:tc>
        <w:tc>
          <w:tcPr>
            <w:tcW w:w="453" w:type="pct"/>
            <w:tcBorders>
              <w:top w:val="nil"/>
              <w:left w:val="nil"/>
              <w:bottom w:val="nil"/>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3.291.995.577,03</w:t>
            </w:r>
          </w:p>
        </w:tc>
        <w:tc>
          <w:tcPr>
            <w:tcW w:w="453" w:type="pct"/>
            <w:tcBorders>
              <w:top w:val="nil"/>
              <w:left w:val="single" w:sz="8" w:space="0" w:color="auto"/>
              <w:bottom w:val="nil"/>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3.699.991.839,28</w:t>
            </w:r>
          </w:p>
        </w:tc>
      </w:tr>
      <w:tr w:rsidR="006D0192" w:rsidRPr="004E7F7B" w:rsidTr="00E23D56">
        <w:trPr>
          <w:trHeight w:val="20"/>
        </w:trPr>
        <w:tc>
          <w:tcPr>
            <w:tcW w:w="1134" w:type="pct"/>
            <w:gridSpan w:val="3"/>
            <w:tcBorders>
              <w:top w:val="nil"/>
              <w:left w:val="single" w:sz="8" w:space="0" w:color="auto"/>
              <w:bottom w:val="single" w:sz="8" w:space="0" w:color="auto"/>
              <w:right w:val="single" w:sz="8" w:space="0" w:color="000000"/>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w:t>
            </w:r>
            <w:r w:rsidR="00BF3D19" w:rsidRPr="004E7F7B">
              <w:rPr>
                <w:rFonts w:ascii="Times New Roman" w:hAnsi="Times New Roman" w:cs="Times New Roman"/>
                <w:b/>
                <w:bCs/>
              </w:rPr>
              <w:t>TOTAL OFF-BALANCE SHEET</w:t>
            </w:r>
          </w:p>
        </w:tc>
        <w:tc>
          <w:tcPr>
            <w:tcW w:w="453" w:type="pct"/>
            <w:tcBorders>
              <w:top w:val="nil"/>
              <w:left w:val="nil"/>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5.764.018.610,52</w:t>
            </w:r>
          </w:p>
        </w:tc>
        <w:tc>
          <w:tcPr>
            <w:tcW w:w="453" w:type="pct"/>
            <w:tcBorders>
              <w:top w:val="nil"/>
              <w:left w:val="nil"/>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5.606.321.367,09</w:t>
            </w:r>
          </w:p>
        </w:tc>
        <w:tc>
          <w:tcPr>
            <w:tcW w:w="453" w:type="pct"/>
            <w:tcBorders>
              <w:top w:val="nil"/>
              <w:left w:val="nil"/>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5.896.427.950,00</w:t>
            </w:r>
          </w:p>
        </w:tc>
        <w:tc>
          <w:tcPr>
            <w:tcW w:w="1151" w:type="pct"/>
            <w:gridSpan w:val="3"/>
            <w:tcBorders>
              <w:top w:val="nil"/>
              <w:left w:val="single" w:sz="8" w:space="0" w:color="auto"/>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w:t>
            </w:r>
            <w:r w:rsidR="00625463" w:rsidRPr="004E7F7B">
              <w:rPr>
                <w:rFonts w:ascii="Times New Roman" w:eastAsia="Times New Roman" w:hAnsi="Times New Roman" w:cs="Times New Roman"/>
                <w:b/>
                <w:bCs/>
                <w:lang w:eastAsia="tr-TR"/>
              </w:rPr>
              <w:t>TOTAL OFF-BALANCE SHEET ACCOUNT</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5.764.018.610,52</w:t>
            </w:r>
          </w:p>
        </w:tc>
        <w:tc>
          <w:tcPr>
            <w:tcW w:w="453"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5.606.321.367,09</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5.896.427.950,00</w:t>
            </w:r>
          </w:p>
        </w:tc>
      </w:tr>
      <w:tr w:rsidR="006D0192" w:rsidRPr="004E7F7B" w:rsidTr="00E23D56">
        <w:trPr>
          <w:trHeight w:val="20"/>
        </w:trPr>
        <w:tc>
          <w:tcPr>
            <w:tcW w:w="1134"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CB6F35" w:rsidRPr="004E7F7B" w:rsidRDefault="00BF3D19"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TOTAL</w:t>
            </w:r>
          </w:p>
        </w:tc>
        <w:tc>
          <w:tcPr>
            <w:tcW w:w="453" w:type="pct"/>
            <w:tcBorders>
              <w:top w:val="nil"/>
              <w:left w:val="single" w:sz="8" w:space="0" w:color="auto"/>
              <w:bottom w:val="double" w:sz="6"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6.066.667.515,47</w:t>
            </w:r>
          </w:p>
        </w:tc>
        <w:tc>
          <w:tcPr>
            <w:tcW w:w="453" w:type="pct"/>
            <w:tcBorders>
              <w:top w:val="nil"/>
              <w:left w:val="nil"/>
              <w:bottom w:val="double" w:sz="6"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5.970.697.252,81</w:t>
            </w:r>
          </w:p>
        </w:tc>
        <w:tc>
          <w:tcPr>
            <w:tcW w:w="453" w:type="pct"/>
            <w:tcBorders>
              <w:top w:val="nil"/>
              <w:left w:val="nil"/>
              <w:bottom w:val="double" w:sz="6"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6.376.450.584,31</w:t>
            </w:r>
          </w:p>
        </w:tc>
        <w:tc>
          <w:tcPr>
            <w:tcW w:w="1151"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 xml:space="preserve">   </w:t>
            </w:r>
            <w:r w:rsidR="00BF3D19" w:rsidRPr="004E7F7B">
              <w:rPr>
                <w:rFonts w:ascii="Times New Roman" w:eastAsia="Times New Roman" w:hAnsi="Times New Roman" w:cs="Times New Roman"/>
                <w:b/>
                <w:bCs/>
                <w:lang w:eastAsia="tr-TR"/>
              </w:rPr>
              <w:t>TOTAL</w:t>
            </w:r>
          </w:p>
        </w:tc>
        <w:tc>
          <w:tcPr>
            <w:tcW w:w="453" w:type="pct"/>
            <w:tcBorders>
              <w:top w:val="nil"/>
              <w:left w:val="single" w:sz="8" w:space="0" w:color="auto"/>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6.066.667.515,47</w:t>
            </w:r>
          </w:p>
        </w:tc>
        <w:tc>
          <w:tcPr>
            <w:tcW w:w="453" w:type="pct"/>
            <w:tcBorders>
              <w:top w:val="nil"/>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5.970.697.252,81</w:t>
            </w:r>
          </w:p>
        </w:tc>
        <w:tc>
          <w:tcPr>
            <w:tcW w:w="453" w:type="pct"/>
            <w:tcBorders>
              <w:top w:val="nil"/>
              <w:left w:val="nil"/>
              <w:bottom w:val="single" w:sz="8" w:space="0" w:color="auto"/>
              <w:right w:val="single" w:sz="8" w:space="0" w:color="auto"/>
            </w:tcBorders>
            <w:shd w:val="clear" w:color="000000" w:fill="F2F2F2"/>
            <w:noWrap/>
            <w:vAlign w:val="center"/>
            <w:hideMark/>
          </w:tcPr>
          <w:p w:rsidR="00CB6F35" w:rsidRPr="004E7F7B" w:rsidRDefault="00CB6F35" w:rsidP="004E7F7B">
            <w:pPr>
              <w:spacing w:after="0" w:line="240" w:lineRule="auto"/>
              <w:rPr>
                <w:rFonts w:ascii="Times New Roman" w:eastAsia="Times New Roman" w:hAnsi="Times New Roman" w:cs="Times New Roman"/>
                <w:b/>
                <w:bCs/>
                <w:lang w:eastAsia="tr-TR"/>
              </w:rPr>
            </w:pPr>
            <w:r w:rsidRPr="004E7F7B">
              <w:rPr>
                <w:rFonts w:ascii="Times New Roman" w:eastAsia="Times New Roman" w:hAnsi="Times New Roman" w:cs="Times New Roman"/>
                <w:b/>
                <w:bCs/>
                <w:lang w:eastAsia="tr-TR"/>
              </w:rPr>
              <w:t>6.376.450.584,31</w:t>
            </w:r>
          </w:p>
        </w:tc>
      </w:tr>
      <w:tr w:rsidR="006D0192" w:rsidRPr="004E7F7B" w:rsidTr="00E23D56">
        <w:trPr>
          <w:trHeight w:val="20"/>
        </w:trPr>
        <w:tc>
          <w:tcPr>
            <w:tcW w:w="63" w:type="pct"/>
            <w:tcBorders>
              <w:top w:val="nil"/>
              <w:left w:val="single" w:sz="8" w:space="0" w:color="auto"/>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6"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1005"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65"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6"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990"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nil"/>
              <w:bottom w:val="single" w:sz="8" w:space="0" w:color="auto"/>
              <w:right w:val="nil"/>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rsidR="00CB6F35" w:rsidRPr="004E7F7B" w:rsidRDefault="00CB6F35" w:rsidP="004E7F7B">
            <w:pPr>
              <w:spacing w:after="0" w:line="240" w:lineRule="auto"/>
              <w:rPr>
                <w:rFonts w:ascii="Times New Roman" w:eastAsia="Times New Roman" w:hAnsi="Times New Roman" w:cs="Times New Roman"/>
                <w:lang w:eastAsia="tr-TR"/>
              </w:rPr>
            </w:pPr>
            <w:r w:rsidRPr="004E7F7B">
              <w:rPr>
                <w:rFonts w:ascii="Times New Roman" w:eastAsia="Times New Roman" w:hAnsi="Times New Roman" w:cs="Times New Roman"/>
                <w:lang w:eastAsia="tr-TR"/>
              </w:rPr>
              <w:t> </w:t>
            </w:r>
          </w:p>
        </w:tc>
      </w:tr>
    </w:tbl>
    <w:p w:rsidR="00FE7FEB" w:rsidRPr="004E7F7B" w:rsidRDefault="00FE7FEB" w:rsidP="004E7F7B">
      <w:pPr>
        <w:rPr>
          <w:rFonts w:ascii="Times New Roman" w:hAnsi="Times New Roman" w:cs="Times New Roman"/>
          <w:highlight w:val="yellow"/>
        </w:rPr>
      </w:pPr>
    </w:p>
    <w:p w:rsidR="00FE7FEB" w:rsidRPr="004E7F7B" w:rsidRDefault="00FE7FEB" w:rsidP="004E7F7B">
      <w:pPr>
        <w:rPr>
          <w:rFonts w:ascii="Times New Roman" w:hAnsi="Times New Roman" w:cs="Times New Roman"/>
        </w:rPr>
      </w:pPr>
    </w:p>
    <w:p w:rsidR="00FE7FEB" w:rsidRPr="004E7F7B" w:rsidRDefault="00FE7FEB" w:rsidP="004E7F7B">
      <w:pPr>
        <w:spacing w:line="240" w:lineRule="auto"/>
        <w:rPr>
          <w:rFonts w:ascii="Times New Roman" w:hAnsi="Times New Roman" w:cs="Times New Roman"/>
        </w:rPr>
      </w:pPr>
    </w:p>
    <w:sectPr w:rsidR="00FE7FEB" w:rsidRPr="004E7F7B" w:rsidSect="006E6FF4">
      <w:pgSz w:w="16839" w:h="11907" w:orient="landscape" w:code="9"/>
      <w:pgMar w:top="113" w:right="249" w:bottom="113" w:left="249"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E4B" w:rsidRDefault="00736E4B" w:rsidP="00F87337">
      <w:pPr>
        <w:spacing w:after="0" w:line="240" w:lineRule="auto"/>
      </w:pPr>
      <w:r>
        <w:separator/>
      </w:r>
    </w:p>
  </w:endnote>
  <w:endnote w:type="continuationSeparator" w:id="0">
    <w:p w:rsidR="00736E4B" w:rsidRDefault="00736E4B" w:rsidP="00F87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854180"/>
      <w:docPartObj>
        <w:docPartGallery w:val="Page Numbers (Bottom of Page)"/>
        <w:docPartUnique/>
      </w:docPartObj>
    </w:sdtPr>
    <w:sdtEndPr/>
    <w:sdtContent>
      <w:p w:rsidR="00C51FE5" w:rsidRDefault="00C51FE5">
        <w:pPr>
          <w:pStyle w:val="Altbilgi"/>
          <w:jc w:val="center"/>
        </w:pPr>
        <w:r>
          <w:fldChar w:fldCharType="begin"/>
        </w:r>
        <w:r>
          <w:instrText>PAGE   \* MERGEFORMAT</w:instrText>
        </w:r>
        <w:r>
          <w:fldChar w:fldCharType="separate"/>
        </w:r>
        <w:r w:rsidR="00BA7E2D" w:rsidRPr="00BA7E2D">
          <w:rPr>
            <w:lang w:val="tr-TR"/>
          </w:rPr>
          <w:t>6</w:t>
        </w:r>
        <w:r>
          <w:fldChar w:fldCharType="end"/>
        </w:r>
      </w:p>
    </w:sdtContent>
  </w:sdt>
  <w:p w:rsidR="00C51FE5" w:rsidRDefault="00C51FE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2015485"/>
      <w:docPartObj>
        <w:docPartGallery w:val="Page Numbers (Bottom of Page)"/>
        <w:docPartUnique/>
      </w:docPartObj>
    </w:sdtPr>
    <w:sdtEndPr/>
    <w:sdtContent>
      <w:p w:rsidR="00C51FE5" w:rsidRDefault="00C51FE5">
        <w:pPr>
          <w:pStyle w:val="Altbilgi"/>
          <w:jc w:val="center"/>
        </w:pPr>
        <w:r>
          <w:fldChar w:fldCharType="begin"/>
        </w:r>
        <w:r>
          <w:instrText>PAGE   \* MERGEFORMAT</w:instrText>
        </w:r>
        <w:r>
          <w:fldChar w:fldCharType="separate"/>
        </w:r>
        <w:r w:rsidR="00BA7E2D" w:rsidRPr="00BA7E2D">
          <w:rPr>
            <w:lang w:val="tr-TR"/>
          </w:rPr>
          <w:t xml:space="preserve"> </w:t>
        </w:r>
        <w:r>
          <w:fldChar w:fldCharType="end"/>
        </w:r>
      </w:p>
    </w:sdtContent>
  </w:sdt>
  <w:p w:rsidR="00C51FE5" w:rsidRDefault="00C51FE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FE5" w:rsidRPr="00E53D55" w:rsidRDefault="00C51FE5" w:rsidP="00E53D55">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298863"/>
      <w:docPartObj>
        <w:docPartGallery w:val="Page Numbers (Bottom of Page)"/>
        <w:docPartUnique/>
      </w:docPartObj>
    </w:sdtPr>
    <w:sdtEndPr/>
    <w:sdtContent>
      <w:p w:rsidR="00C51FE5" w:rsidRDefault="00C51FE5">
        <w:pPr>
          <w:pStyle w:val="Altbilgi"/>
          <w:jc w:val="center"/>
        </w:pPr>
        <w:r>
          <w:fldChar w:fldCharType="begin"/>
        </w:r>
        <w:r>
          <w:instrText>PAGE   \* MERGEFORMAT</w:instrText>
        </w:r>
        <w:r>
          <w:fldChar w:fldCharType="separate"/>
        </w:r>
        <w:r w:rsidR="00BA7E2D" w:rsidRPr="00BA7E2D">
          <w:rPr>
            <w:lang w:val="tr-TR"/>
          </w:rPr>
          <w:t>68</w:t>
        </w:r>
        <w:r>
          <w:fldChar w:fldCharType="end"/>
        </w:r>
      </w:p>
    </w:sdtContent>
  </w:sdt>
  <w:p w:rsidR="00C51FE5" w:rsidRPr="001137DC" w:rsidRDefault="00C51FE5" w:rsidP="001137D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E4B" w:rsidRDefault="00736E4B" w:rsidP="00F87337">
      <w:pPr>
        <w:spacing w:after="0" w:line="240" w:lineRule="auto"/>
      </w:pPr>
      <w:r>
        <w:separator/>
      </w:r>
    </w:p>
  </w:footnote>
  <w:footnote w:type="continuationSeparator" w:id="0">
    <w:p w:rsidR="00736E4B" w:rsidRDefault="00736E4B" w:rsidP="00F87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406B"/>
    <w:multiLevelType w:val="hybridMultilevel"/>
    <w:tmpl w:val="11B0EAAA"/>
    <w:lvl w:ilvl="0" w:tplc="5B962504">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5F36976"/>
    <w:multiLevelType w:val="hybridMultilevel"/>
    <w:tmpl w:val="F572B4E6"/>
    <w:lvl w:ilvl="0" w:tplc="7878FBAC">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6616AE4"/>
    <w:multiLevelType w:val="hybridMultilevel"/>
    <w:tmpl w:val="ED6E3950"/>
    <w:lvl w:ilvl="0" w:tplc="5B962504">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6C019E8"/>
    <w:multiLevelType w:val="hybridMultilevel"/>
    <w:tmpl w:val="FAF4FE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A24969"/>
    <w:multiLevelType w:val="hybridMultilevel"/>
    <w:tmpl w:val="9B6858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1465C5B"/>
    <w:multiLevelType w:val="hybridMultilevel"/>
    <w:tmpl w:val="C46E2BE0"/>
    <w:lvl w:ilvl="0" w:tplc="FFFFFFFF">
      <w:start w:val="1"/>
      <w:numFmt w:val="lowerLetter"/>
      <w:lvlText w:val="%1)"/>
      <w:lvlJc w:val="left"/>
      <w:pPr>
        <w:ind w:left="411" w:hanging="360"/>
      </w:pPr>
      <w:rPr>
        <w:rFonts w:hint="default"/>
      </w:rPr>
    </w:lvl>
    <w:lvl w:ilvl="1" w:tplc="041F0019" w:tentative="1">
      <w:start w:val="1"/>
      <w:numFmt w:val="lowerLetter"/>
      <w:lvlText w:val="%2."/>
      <w:lvlJc w:val="left"/>
      <w:pPr>
        <w:ind w:left="1131" w:hanging="360"/>
      </w:pPr>
    </w:lvl>
    <w:lvl w:ilvl="2" w:tplc="041F001B" w:tentative="1">
      <w:start w:val="1"/>
      <w:numFmt w:val="lowerRoman"/>
      <w:lvlText w:val="%3."/>
      <w:lvlJc w:val="right"/>
      <w:pPr>
        <w:ind w:left="1851" w:hanging="180"/>
      </w:pPr>
    </w:lvl>
    <w:lvl w:ilvl="3" w:tplc="041F000F" w:tentative="1">
      <w:start w:val="1"/>
      <w:numFmt w:val="decimal"/>
      <w:lvlText w:val="%4."/>
      <w:lvlJc w:val="left"/>
      <w:pPr>
        <w:ind w:left="2571" w:hanging="360"/>
      </w:pPr>
    </w:lvl>
    <w:lvl w:ilvl="4" w:tplc="041F0019" w:tentative="1">
      <w:start w:val="1"/>
      <w:numFmt w:val="lowerLetter"/>
      <w:lvlText w:val="%5."/>
      <w:lvlJc w:val="left"/>
      <w:pPr>
        <w:ind w:left="3291" w:hanging="360"/>
      </w:pPr>
    </w:lvl>
    <w:lvl w:ilvl="5" w:tplc="041F001B" w:tentative="1">
      <w:start w:val="1"/>
      <w:numFmt w:val="lowerRoman"/>
      <w:lvlText w:val="%6."/>
      <w:lvlJc w:val="right"/>
      <w:pPr>
        <w:ind w:left="4011" w:hanging="180"/>
      </w:pPr>
    </w:lvl>
    <w:lvl w:ilvl="6" w:tplc="041F000F" w:tentative="1">
      <w:start w:val="1"/>
      <w:numFmt w:val="decimal"/>
      <w:lvlText w:val="%7."/>
      <w:lvlJc w:val="left"/>
      <w:pPr>
        <w:ind w:left="4731" w:hanging="360"/>
      </w:pPr>
    </w:lvl>
    <w:lvl w:ilvl="7" w:tplc="041F0019" w:tentative="1">
      <w:start w:val="1"/>
      <w:numFmt w:val="lowerLetter"/>
      <w:lvlText w:val="%8."/>
      <w:lvlJc w:val="left"/>
      <w:pPr>
        <w:ind w:left="5451" w:hanging="360"/>
      </w:pPr>
    </w:lvl>
    <w:lvl w:ilvl="8" w:tplc="041F001B" w:tentative="1">
      <w:start w:val="1"/>
      <w:numFmt w:val="lowerRoman"/>
      <w:lvlText w:val="%9."/>
      <w:lvlJc w:val="right"/>
      <w:pPr>
        <w:ind w:left="6171" w:hanging="180"/>
      </w:pPr>
    </w:lvl>
  </w:abstractNum>
  <w:abstractNum w:abstractNumId="6">
    <w:nsid w:val="11AD51D5"/>
    <w:multiLevelType w:val="hybridMultilevel"/>
    <w:tmpl w:val="49BAEC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27F487E"/>
    <w:multiLevelType w:val="multilevel"/>
    <w:tmpl w:val="9BFEF8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7A54B8C"/>
    <w:multiLevelType w:val="hybridMultilevel"/>
    <w:tmpl w:val="171038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AAA2160"/>
    <w:multiLevelType w:val="hybridMultilevel"/>
    <w:tmpl w:val="E1EA87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D8949BF"/>
    <w:multiLevelType w:val="hybridMultilevel"/>
    <w:tmpl w:val="F54642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1F326BA0"/>
    <w:multiLevelType w:val="hybridMultilevel"/>
    <w:tmpl w:val="31FE6D9A"/>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2">
    <w:nsid w:val="21F14DF7"/>
    <w:multiLevelType w:val="multilevel"/>
    <w:tmpl w:val="9BF6B072"/>
    <w:lvl w:ilvl="0">
      <w:start w:val="2"/>
      <w:numFmt w:val="decimal"/>
      <w:lvlText w:val="%1."/>
      <w:lvlJc w:val="left"/>
      <w:pPr>
        <w:ind w:left="558" w:hanging="558"/>
      </w:pPr>
      <w:rPr>
        <w:rFonts w:hint="default"/>
        <w:color w:val="222222"/>
      </w:rPr>
    </w:lvl>
    <w:lvl w:ilvl="1">
      <w:start w:val="5"/>
      <w:numFmt w:val="decimal"/>
      <w:lvlText w:val="%1.%2."/>
      <w:lvlJc w:val="left"/>
      <w:pPr>
        <w:ind w:left="720" w:hanging="72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1080" w:hanging="108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13">
    <w:nsid w:val="22792E64"/>
    <w:multiLevelType w:val="hybridMultilevel"/>
    <w:tmpl w:val="5248F934"/>
    <w:lvl w:ilvl="0" w:tplc="041F000F">
      <w:start w:val="1"/>
      <w:numFmt w:val="decimal"/>
      <w:lvlText w:val="%1."/>
      <w:lvlJc w:val="left"/>
      <w:pPr>
        <w:ind w:left="720" w:hanging="360"/>
      </w:pPr>
      <w:rPr>
        <w:rFonts w:hint="default"/>
      </w:rPr>
    </w:lvl>
    <w:lvl w:ilvl="1" w:tplc="F608550E">
      <w:numFmt w:val="bullet"/>
      <w:lvlText w:val="-"/>
      <w:lvlJc w:val="left"/>
      <w:pPr>
        <w:ind w:left="1440" w:hanging="360"/>
      </w:pPr>
      <w:rPr>
        <w:rFonts w:ascii="Calibri" w:eastAsiaTheme="minorHAnsi" w:hAnsi="Calibri" w:cs="Calibri" w:hint="default"/>
        <w:i w:val="0"/>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5AC6EB2"/>
    <w:multiLevelType w:val="hybridMultilevel"/>
    <w:tmpl w:val="E20A5466"/>
    <w:lvl w:ilvl="0" w:tplc="FFFFFFFF">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8F61E88"/>
    <w:multiLevelType w:val="hybridMultilevel"/>
    <w:tmpl w:val="01BC0628"/>
    <w:lvl w:ilvl="0" w:tplc="CF2ECC44">
      <w:start w:val="52"/>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CB67EA3"/>
    <w:multiLevelType w:val="hybridMultilevel"/>
    <w:tmpl w:val="208632F2"/>
    <w:lvl w:ilvl="0" w:tplc="FFFFFFF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2DAD0CAE"/>
    <w:multiLevelType w:val="hybridMultilevel"/>
    <w:tmpl w:val="33B05338"/>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EDC6AE5"/>
    <w:multiLevelType w:val="hybridMultilevel"/>
    <w:tmpl w:val="13EA5034"/>
    <w:lvl w:ilvl="0" w:tplc="041F0005">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9">
    <w:nsid w:val="39983272"/>
    <w:multiLevelType w:val="hybridMultilevel"/>
    <w:tmpl w:val="CDEA24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B2D612C"/>
    <w:multiLevelType w:val="hybridMultilevel"/>
    <w:tmpl w:val="525ACBC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1">
    <w:nsid w:val="4169262D"/>
    <w:multiLevelType w:val="hybridMultilevel"/>
    <w:tmpl w:val="772676E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2">
    <w:nsid w:val="41B577F4"/>
    <w:multiLevelType w:val="hybridMultilevel"/>
    <w:tmpl w:val="B106D93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3">
    <w:nsid w:val="42533309"/>
    <w:multiLevelType w:val="hybridMultilevel"/>
    <w:tmpl w:val="EB860894"/>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4">
    <w:nsid w:val="42FD2B11"/>
    <w:multiLevelType w:val="hybridMultilevel"/>
    <w:tmpl w:val="13B0C1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4F3868CB"/>
    <w:multiLevelType w:val="hybridMultilevel"/>
    <w:tmpl w:val="3A74CA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50A50FD0"/>
    <w:multiLevelType w:val="multilevel"/>
    <w:tmpl w:val="B902FF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95135C"/>
    <w:multiLevelType w:val="hybridMultilevel"/>
    <w:tmpl w:val="C874C3C0"/>
    <w:lvl w:ilvl="0" w:tplc="FFFFFFFF">
      <w:start w:val="1"/>
      <w:numFmt w:val="lowerLetter"/>
      <w:lvlText w:val="%1)"/>
      <w:lvlJc w:val="left"/>
      <w:pPr>
        <w:ind w:left="411" w:hanging="360"/>
      </w:pPr>
      <w:rPr>
        <w:rFonts w:hint="default"/>
      </w:rPr>
    </w:lvl>
    <w:lvl w:ilvl="1" w:tplc="041F0019" w:tentative="1">
      <w:start w:val="1"/>
      <w:numFmt w:val="lowerLetter"/>
      <w:lvlText w:val="%2."/>
      <w:lvlJc w:val="left"/>
      <w:pPr>
        <w:ind w:left="1131" w:hanging="360"/>
      </w:pPr>
    </w:lvl>
    <w:lvl w:ilvl="2" w:tplc="041F001B" w:tentative="1">
      <w:start w:val="1"/>
      <w:numFmt w:val="lowerRoman"/>
      <w:lvlText w:val="%3."/>
      <w:lvlJc w:val="right"/>
      <w:pPr>
        <w:ind w:left="1851" w:hanging="180"/>
      </w:pPr>
    </w:lvl>
    <w:lvl w:ilvl="3" w:tplc="041F000F" w:tentative="1">
      <w:start w:val="1"/>
      <w:numFmt w:val="decimal"/>
      <w:lvlText w:val="%4."/>
      <w:lvlJc w:val="left"/>
      <w:pPr>
        <w:ind w:left="2571" w:hanging="360"/>
      </w:pPr>
    </w:lvl>
    <w:lvl w:ilvl="4" w:tplc="041F0019" w:tentative="1">
      <w:start w:val="1"/>
      <w:numFmt w:val="lowerLetter"/>
      <w:lvlText w:val="%5."/>
      <w:lvlJc w:val="left"/>
      <w:pPr>
        <w:ind w:left="3291" w:hanging="360"/>
      </w:pPr>
    </w:lvl>
    <w:lvl w:ilvl="5" w:tplc="041F001B" w:tentative="1">
      <w:start w:val="1"/>
      <w:numFmt w:val="lowerRoman"/>
      <w:lvlText w:val="%6."/>
      <w:lvlJc w:val="right"/>
      <w:pPr>
        <w:ind w:left="4011" w:hanging="180"/>
      </w:pPr>
    </w:lvl>
    <w:lvl w:ilvl="6" w:tplc="041F000F" w:tentative="1">
      <w:start w:val="1"/>
      <w:numFmt w:val="decimal"/>
      <w:lvlText w:val="%7."/>
      <w:lvlJc w:val="left"/>
      <w:pPr>
        <w:ind w:left="4731" w:hanging="360"/>
      </w:pPr>
    </w:lvl>
    <w:lvl w:ilvl="7" w:tplc="041F0019" w:tentative="1">
      <w:start w:val="1"/>
      <w:numFmt w:val="lowerLetter"/>
      <w:lvlText w:val="%8."/>
      <w:lvlJc w:val="left"/>
      <w:pPr>
        <w:ind w:left="5451" w:hanging="360"/>
      </w:pPr>
    </w:lvl>
    <w:lvl w:ilvl="8" w:tplc="041F001B" w:tentative="1">
      <w:start w:val="1"/>
      <w:numFmt w:val="lowerRoman"/>
      <w:lvlText w:val="%9."/>
      <w:lvlJc w:val="right"/>
      <w:pPr>
        <w:ind w:left="6171" w:hanging="180"/>
      </w:pPr>
    </w:lvl>
  </w:abstractNum>
  <w:abstractNum w:abstractNumId="29">
    <w:nsid w:val="56CF1458"/>
    <w:multiLevelType w:val="hybridMultilevel"/>
    <w:tmpl w:val="433A5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5EF05F04"/>
    <w:multiLevelType w:val="hybridMultilevel"/>
    <w:tmpl w:val="CC64AE04"/>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F9766C6"/>
    <w:multiLevelType w:val="hybridMultilevel"/>
    <w:tmpl w:val="F50EC7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4A733A9"/>
    <w:multiLevelType w:val="hybridMultilevel"/>
    <w:tmpl w:val="82C2EB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78E055E"/>
    <w:multiLevelType w:val="multilevel"/>
    <w:tmpl w:val="56BE278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6"/>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1EB1F17"/>
    <w:multiLevelType w:val="hybridMultilevel"/>
    <w:tmpl w:val="13ACFB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76B41FA0"/>
    <w:multiLevelType w:val="hybridMultilevel"/>
    <w:tmpl w:val="7F8E0658"/>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6">
    <w:nsid w:val="78E1298A"/>
    <w:multiLevelType w:val="hybridMultilevel"/>
    <w:tmpl w:val="A3348EBE"/>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7">
    <w:nsid w:val="79F87423"/>
    <w:multiLevelType w:val="hybridMultilevel"/>
    <w:tmpl w:val="1F04573E"/>
    <w:lvl w:ilvl="0" w:tplc="041F0005">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8">
    <w:nsid w:val="7D1968B3"/>
    <w:multiLevelType w:val="hybridMultilevel"/>
    <w:tmpl w:val="4A32C2E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34"/>
  </w:num>
  <w:num w:numId="3">
    <w:abstractNumId w:val="3"/>
  </w:num>
  <w:num w:numId="4">
    <w:abstractNumId w:val="8"/>
  </w:num>
  <w:num w:numId="5">
    <w:abstractNumId w:val="36"/>
  </w:num>
  <w:num w:numId="6">
    <w:abstractNumId w:val="37"/>
  </w:num>
  <w:num w:numId="7">
    <w:abstractNumId w:val="1"/>
  </w:num>
  <w:num w:numId="8">
    <w:abstractNumId w:val="38"/>
  </w:num>
  <w:num w:numId="9">
    <w:abstractNumId w:val="7"/>
  </w:num>
  <w:num w:numId="10">
    <w:abstractNumId w:val="13"/>
  </w:num>
  <w:num w:numId="11">
    <w:abstractNumId w:val="6"/>
  </w:num>
  <w:num w:numId="12">
    <w:abstractNumId w:val="15"/>
  </w:num>
  <w:num w:numId="13">
    <w:abstractNumId w:val="29"/>
  </w:num>
  <w:num w:numId="14">
    <w:abstractNumId w:val="33"/>
  </w:num>
  <w:num w:numId="15">
    <w:abstractNumId w:val="32"/>
  </w:num>
  <w:num w:numId="16">
    <w:abstractNumId w:val="11"/>
  </w:num>
  <w:num w:numId="17">
    <w:abstractNumId w:val="20"/>
  </w:num>
  <w:num w:numId="18">
    <w:abstractNumId w:val="35"/>
  </w:num>
  <w:num w:numId="19">
    <w:abstractNumId w:val="22"/>
  </w:num>
  <w:num w:numId="20">
    <w:abstractNumId w:val="23"/>
  </w:num>
  <w:num w:numId="21">
    <w:abstractNumId w:val="21"/>
  </w:num>
  <w:num w:numId="22">
    <w:abstractNumId w:val="12"/>
  </w:num>
  <w:num w:numId="23">
    <w:abstractNumId w:val="16"/>
  </w:num>
  <w:num w:numId="24">
    <w:abstractNumId w:val="14"/>
  </w:num>
  <w:num w:numId="25">
    <w:abstractNumId w:val="28"/>
  </w:num>
  <w:num w:numId="26">
    <w:abstractNumId w:val="5"/>
  </w:num>
  <w:num w:numId="27">
    <w:abstractNumId w:val="39"/>
  </w:num>
  <w:num w:numId="28">
    <w:abstractNumId w:val="19"/>
  </w:num>
  <w:num w:numId="29">
    <w:abstractNumId w:val="0"/>
  </w:num>
  <w:num w:numId="30">
    <w:abstractNumId w:val="2"/>
  </w:num>
  <w:num w:numId="31">
    <w:abstractNumId w:val="24"/>
  </w:num>
  <w:num w:numId="32">
    <w:abstractNumId w:val="26"/>
  </w:num>
  <w:num w:numId="33">
    <w:abstractNumId w:val="31"/>
  </w:num>
  <w:num w:numId="34">
    <w:abstractNumId w:val="4"/>
  </w:num>
  <w:num w:numId="35">
    <w:abstractNumId w:val="9"/>
  </w:num>
  <w:num w:numId="36">
    <w:abstractNumId w:val="10"/>
  </w:num>
  <w:num w:numId="37">
    <w:abstractNumId w:val="17"/>
  </w:num>
  <w:num w:numId="38">
    <w:abstractNumId w:val="30"/>
  </w:num>
  <w:num w:numId="39">
    <w:abstractNumId w:val="27"/>
  </w:num>
  <w:num w:numId="40">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D14"/>
    <w:rsid w:val="00002578"/>
    <w:rsid w:val="000073AC"/>
    <w:rsid w:val="00010098"/>
    <w:rsid w:val="00014B23"/>
    <w:rsid w:val="000302AF"/>
    <w:rsid w:val="00032581"/>
    <w:rsid w:val="00040BE7"/>
    <w:rsid w:val="0004134C"/>
    <w:rsid w:val="000420E2"/>
    <w:rsid w:val="00052989"/>
    <w:rsid w:val="00056CD3"/>
    <w:rsid w:val="000619A3"/>
    <w:rsid w:val="000648AD"/>
    <w:rsid w:val="0008288D"/>
    <w:rsid w:val="000A0333"/>
    <w:rsid w:val="000A49B0"/>
    <w:rsid w:val="000A5D14"/>
    <w:rsid w:val="000B181C"/>
    <w:rsid w:val="000D2E62"/>
    <w:rsid w:val="000D301E"/>
    <w:rsid w:val="000D320A"/>
    <w:rsid w:val="000E00E0"/>
    <w:rsid w:val="000E25D2"/>
    <w:rsid w:val="000E2CC4"/>
    <w:rsid w:val="000E6BBA"/>
    <w:rsid w:val="000F220C"/>
    <w:rsid w:val="000F3DD6"/>
    <w:rsid w:val="000F70F6"/>
    <w:rsid w:val="0010137A"/>
    <w:rsid w:val="00102087"/>
    <w:rsid w:val="00107296"/>
    <w:rsid w:val="001137DC"/>
    <w:rsid w:val="0011731E"/>
    <w:rsid w:val="001310CE"/>
    <w:rsid w:val="00133734"/>
    <w:rsid w:val="00134CCC"/>
    <w:rsid w:val="00136C75"/>
    <w:rsid w:val="0014216E"/>
    <w:rsid w:val="00146B4A"/>
    <w:rsid w:val="00150FDC"/>
    <w:rsid w:val="00171E09"/>
    <w:rsid w:val="00181694"/>
    <w:rsid w:val="00182FA6"/>
    <w:rsid w:val="001857CB"/>
    <w:rsid w:val="00190E15"/>
    <w:rsid w:val="00193C89"/>
    <w:rsid w:val="001957E6"/>
    <w:rsid w:val="001A0283"/>
    <w:rsid w:val="001B2DF6"/>
    <w:rsid w:val="001B3216"/>
    <w:rsid w:val="001B63F8"/>
    <w:rsid w:val="001C24F7"/>
    <w:rsid w:val="001C2AF8"/>
    <w:rsid w:val="001C7D06"/>
    <w:rsid w:val="001D239F"/>
    <w:rsid w:val="001D3B40"/>
    <w:rsid w:val="001D7FAF"/>
    <w:rsid w:val="001F4720"/>
    <w:rsid w:val="001F7A0D"/>
    <w:rsid w:val="00203993"/>
    <w:rsid w:val="00207061"/>
    <w:rsid w:val="00210B66"/>
    <w:rsid w:val="00212C9A"/>
    <w:rsid w:val="00216EDE"/>
    <w:rsid w:val="00220435"/>
    <w:rsid w:val="00224474"/>
    <w:rsid w:val="00236927"/>
    <w:rsid w:val="00240B47"/>
    <w:rsid w:val="00255B94"/>
    <w:rsid w:val="0025663D"/>
    <w:rsid w:val="00267B5A"/>
    <w:rsid w:val="00271AD0"/>
    <w:rsid w:val="002777A9"/>
    <w:rsid w:val="002863D2"/>
    <w:rsid w:val="00290CB0"/>
    <w:rsid w:val="00293E52"/>
    <w:rsid w:val="00296911"/>
    <w:rsid w:val="00297F4B"/>
    <w:rsid w:val="002A3D78"/>
    <w:rsid w:val="002B3789"/>
    <w:rsid w:val="002C642D"/>
    <w:rsid w:val="002C68D2"/>
    <w:rsid w:val="002E0EBF"/>
    <w:rsid w:val="002E3D3F"/>
    <w:rsid w:val="002E439D"/>
    <w:rsid w:val="002E4B56"/>
    <w:rsid w:val="002F5B3F"/>
    <w:rsid w:val="002F7DA4"/>
    <w:rsid w:val="003006A1"/>
    <w:rsid w:val="00302EAB"/>
    <w:rsid w:val="00307CA9"/>
    <w:rsid w:val="003125EA"/>
    <w:rsid w:val="003157E1"/>
    <w:rsid w:val="00326E2E"/>
    <w:rsid w:val="00327A4B"/>
    <w:rsid w:val="0033158F"/>
    <w:rsid w:val="00337D1D"/>
    <w:rsid w:val="00347696"/>
    <w:rsid w:val="0035303E"/>
    <w:rsid w:val="0035313C"/>
    <w:rsid w:val="00353F12"/>
    <w:rsid w:val="00367CE6"/>
    <w:rsid w:val="00382601"/>
    <w:rsid w:val="003977F8"/>
    <w:rsid w:val="00397847"/>
    <w:rsid w:val="003A09C8"/>
    <w:rsid w:val="003A6CC8"/>
    <w:rsid w:val="003A74F3"/>
    <w:rsid w:val="003B585D"/>
    <w:rsid w:val="003B5E3C"/>
    <w:rsid w:val="003D72A3"/>
    <w:rsid w:val="003E39CF"/>
    <w:rsid w:val="003E531B"/>
    <w:rsid w:val="003E5900"/>
    <w:rsid w:val="003F573B"/>
    <w:rsid w:val="004032AC"/>
    <w:rsid w:val="00404CEB"/>
    <w:rsid w:val="00410B9C"/>
    <w:rsid w:val="00417758"/>
    <w:rsid w:val="00423290"/>
    <w:rsid w:val="00431959"/>
    <w:rsid w:val="00436782"/>
    <w:rsid w:val="00443699"/>
    <w:rsid w:val="004462DF"/>
    <w:rsid w:val="004530BB"/>
    <w:rsid w:val="00460232"/>
    <w:rsid w:val="00464248"/>
    <w:rsid w:val="00474FC9"/>
    <w:rsid w:val="0047751E"/>
    <w:rsid w:val="00486920"/>
    <w:rsid w:val="004A049C"/>
    <w:rsid w:val="004A1BC6"/>
    <w:rsid w:val="004A3AE0"/>
    <w:rsid w:val="004B1813"/>
    <w:rsid w:val="004B281D"/>
    <w:rsid w:val="004B62E4"/>
    <w:rsid w:val="004C4F06"/>
    <w:rsid w:val="004D2332"/>
    <w:rsid w:val="004E1EFE"/>
    <w:rsid w:val="004E7F7B"/>
    <w:rsid w:val="004F4A11"/>
    <w:rsid w:val="0050056E"/>
    <w:rsid w:val="0050694B"/>
    <w:rsid w:val="00507434"/>
    <w:rsid w:val="005078F3"/>
    <w:rsid w:val="0051671A"/>
    <w:rsid w:val="00521C1C"/>
    <w:rsid w:val="00521DE9"/>
    <w:rsid w:val="0052361D"/>
    <w:rsid w:val="00531A36"/>
    <w:rsid w:val="00532577"/>
    <w:rsid w:val="005375A4"/>
    <w:rsid w:val="00542DD6"/>
    <w:rsid w:val="00545ED5"/>
    <w:rsid w:val="005533CE"/>
    <w:rsid w:val="0055522A"/>
    <w:rsid w:val="00572798"/>
    <w:rsid w:val="00595040"/>
    <w:rsid w:val="0059705E"/>
    <w:rsid w:val="005A02B6"/>
    <w:rsid w:val="005A02BD"/>
    <w:rsid w:val="005A6FE4"/>
    <w:rsid w:val="005B396D"/>
    <w:rsid w:val="005B452E"/>
    <w:rsid w:val="005B4E3A"/>
    <w:rsid w:val="005B5F6B"/>
    <w:rsid w:val="005C7CD5"/>
    <w:rsid w:val="005E19DA"/>
    <w:rsid w:val="005E4833"/>
    <w:rsid w:val="005E66B3"/>
    <w:rsid w:val="005F0CC7"/>
    <w:rsid w:val="005F5E6A"/>
    <w:rsid w:val="0060053F"/>
    <w:rsid w:val="0060242E"/>
    <w:rsid w:val="0061080A"/>
    <w:rsid w:val="006139B4"/>
    <w:rsid w:val="00616274"/>
    <w:rsid w:val="006172B1"/>
    <w:rsid w:val="00621294"/>
    <w:rsid w:val="00624B42"/>
    <w:rsid w:val="00625463"/>
    <w:rsid w:val="00626A2C"/>
    <w:rsid w:val="00630062"/>
    <w:rsid w:val="006347C6"/>
    <w:rsid w:val="00636D18"/>
    <w:rsid w:val="0064295B"/>
    <w:rsid w:val="00643CE4"/>
    <w:rsid w:val="00643FA9"/>
    <w:rsid w:val="00645E4B"/>
    <w:rsid w:val="00651F3E"/>
    <w:rsid w:val="006613F2"/>
    <w:rsid w:val="00667BF4"/>
    <w:rsid w:val="00677877"/>
    <w:rsid w:val="0068770B"/>
    <w:rsid w:val="00691612"/>
    <w:rsid w:val="0069197F"/>
    <w:rsid w:val="00691CB6"/>
    <w:rsid w:val="00693DD8"/>
    <w:rsid w:val="00696968"/>
    <w:rsid w:val="006A456E"/>
    <w:rsid w:val="006A6E64"/>
    <w:rsid w:val="006A6F1C"/>
    <w:rsid w:val="006A6F88"/>
    <w:rsid w:val="006A7C77"/>
    <w:rsid w:val="006B19A5"/>
    <w:rsid w:val="006B73A0"/>
    <w:rsid w:val="006C0861"/>
    <w:rsid w:val="006C662B"/>
    <w:rsid w:val="006D0192"/>
    <w:rsid w:val="006D4A58"/>
    <w:rsid w:val="006D53A3"/>
    <w:rsid w:val="006E6FF4"/>
    <w:rsid w:val="00711499"/>
    <w:rsid w:val="00714EC2"/>
    <w:rsid w:val="00715284"/>
    <w:rsid w:val="00722917"/>
    <w:rsid w:val="00730076"/>
    <w:rsid w:val="00732B48"/>
    <w:rsid w:val="00736E4B"/>
    <w:rsid w:val="0073748B"/>
    <w:rsid w:val="007521C8"/>
    <w:rsid w:val="00755C70"/>
    <w:rsid w:val="00760108"/>
    <w:rsid w:val="0076204D"/>
    <w:rsid w:val="00766D65"/>
    <w:rsid w:val="007814C9"/>
    <w:rsid w:val="007908DA"/>
    <w:rsid w:val="00791AB0"/>
    <w:rsid w:val="00793DA9"/>
    <w:rsid w:val="007A299F"/>
    <w:rsid w:val="007A3C4D"/>
    <w:rsid w:val="007A71F4"/>
    <w:rsid w:val="007B271F"/>
    <w:rsid w:val="007B28DF"/>
    <w:rsid w:val="007B4A7D"/>
    <w:rsid w:val="007D18CF"/>
    <w:rsid w:val="007D1E18"/>
    <w:rsid w:val="007E74CD"/>
    <w:rsid w:val="007F0A1D"/>
    <w:rsid w:val="007F22C8"/>
    <w:rsid w:val="008062ED"/>
    <w:rsid w:val="00807E63"/>
    <w:rsid w:val="00813BC3"/>
    <w:rsid w:val="00822E90"/>
    <w:rsid w:val="00824419"/>
    <w:rsid w:val="00834948"/>
    <w:rsid w:val="008420D6"/>
    <w:rsid w:val="00850CB5"/>
    <w:rsid w:val="008531CD"/>
    <w:rsid w:val="008629A0"/>
    <w:rsid w:val="00866413"/>
    <w:rsid w:val="0086650B"/>
    <w:rsid w:val="008710FD"/>
    <w:rsid w:val="0088397D"/>
    <w:rsid w:val="008841E8"/>
    <w:rsid w:val="00890F07"/>
    <w:rsid w:val="008916F3"/>
    <w:rsid w:val="00891C86"/>
    <w:rsid w:val="008A4B22"/>
    <w:rsid w:val="008A67FF"/>
    <w:rsid w:val="008B4B74"/>
    <w:rsid w:val="008B64E8"/>
    <w:rsid w:val="008B6BBF"/>
    <w:rsid w:val="008C1D49"/>
    <w:rsid w:val="008C28A7"/>
    <w:rsid w:val="008C2F51"/>
    <w:rsid w:val="008C543E"/>
    <w:rsid w:val="008D199C"/>
    <w:rsid w:val="008D3F61"/>
    <w:rsid w:val="008F78DD"/>
    <w:rsid w:val="00902D3B"/>
    <w:rsid w:val="00905A7D"/>
    <w:rsid w:val="00905ECF"/>
    <w:rsid w:val="00912790"/>
    <w:rsid w:val="009127AC"/>
    <w:rsid w:val="009209A0"/>
    <w:rsid w:val="00922E12"/>
    <w:rsid w:val="00924C9D"/>
    <w:rsid w:val="009436EF"/>
    <w:rsid w:val="00943B76"/>
    <w:rsid w:val="009461D6"/>
    <w:rsid w:val="00946ED9"/>
    <w:rsid w:val="00947B53"/>
    <w:rsid w:val="00947E5F"/>
    <w:rsid w:val="0095307D"/>
    <w:rsid w:val="0095465A"/>
    <w:rsid w:val="00960B3C"/>
    <w:rsid w:val="009612EE"/>
    <w:rsid w:val="00963190"/>
    <w:rsid w:val="00964B3A"/>
    <w:rsid w:val="00965C6E"/>
    <w:rsid w:val="009766C3"/>
    <w:rsid w:val="00983C78"/>
    <w:rsid w:val="0099002F"/>
    <w:rsid w:val="00992DF8"/>
    <w:rsid w:val="00995215"/>
    <w:rsid w:val="009A047B"/>
    <w:rsid w:val="009B2DAE"/>
    <w:rsid w:val="009C06D5"/>
    <w:rsid w:val="009D23D8"/>
    <w:rsid w:val="009E4472"/>
    <w:rsid w:val="009E4AB5"/>
    <w:rsid w:val="009F0171"/>
    <w:rsid w:val="00A06D11"/>
    <w:rsid w:val="00A1433F"/>
    <w:rsid w:val="00A270F4"/>
    <w:rsid w:val="00A27622"/>
    <w:rsid w:val="00A27FC8"/>
    <w:rsid w:val="00A3026A"/>
    <w:rsid w:val="00A327A6"/>
    <w:rsid w:val="00A32E5D"/>
    <w:rsid w:val="00A366C0"/>
    <w:rsid w:val="00A4094E"/>
    <w:rsid w:val="00A46836"/>
    <w:rsid w:val="00A563B4"/>
    <w:rsid w:val="00A573E1"/>
    <w:rsid w:val="00A62341"/>
    <w:rsid w:val="00A648B8"/>
    <w:rsid w:val="00A6551A"/>
    <w:rsid w:val="00A7153F"/>
    <w:rsid w:val="00A72714"/>
    <w:rsid w:val="00A7579B"/>
    <w:rsid w:val="00A8121B"/>
    <w:rsid w:val="00A81B93"/>
    <w:rsid w:val="00A876A1"/>
    <w:rsid w:val="00A91A76"/>
    <w:rsid w:val="00AA21DA"/>
    <w:rsid w:val="00AA2D93"/>
    <w:rsid w:val="00AA7236"/>
    <w:rsid w:val="00AA7C4D"/>
    <w:rsid w:val="00AB35D3"/>
    <w:rsid w:val="00AB627B"/>
    <w:rsid w:val="00AB65BB"/>
    <w:rsid w:val="00AC1EA2"/>
    <w:rsid w:val="00AC3ED1"/>
    <w:rsid w:val="00AE1FCD"/>
    <w:rsid w:val="00AF0F46"/>
    <w:rsid w:val="00AF1093"/>
    <w:rsid w:val="00AF7C2F"/>
    <w:rsid w:val="00B06651"/>
    <w:rsid w:val="00B206D0"/>
    <w:rsid w:val="00B2297C"/>
    <w:rsid w:val="00B24E7C"/>
    <w:rsid w:val="00B266CA"/>
    <w:rsid w:val="00B2726B"/>
    <w:rsid w:val="00B334FD"/>
    <w:rsid w:val="00B4265F"/>
    <w:rsid w:val="00B43752"/>
    <w:rsid w:val="00B5324E"/>
    <w:rsid w:val="00B61B2A"/>
    <w:rsid w:val="00B731BE"/>
    <w:rsid w:val="00B8030C"/>
    <w:rsid w:val="00B81F4E"/>
    <w:rsid w:val="00B86777"/>
    <w:rsid w:val="00B9432D"/>
    <w:rsid w:val="00BA3849"/>
    <w:rsid w:val="00BA44C6"/>
    <w:rsid w:val="00BA7E2D"/>
    <w:rsid w:val="00BD0A77"/>
    <w:rsid w:val="00BD1DE4"/>
    <w:rsid w:val="00BD2064"/>
    <w:rsid w:val="00BD240F"/>
    <w:rsid w:val="00BD3818"/>
    <w:rsid w:val="00BD7930"/>
    <w:rsid w:val="00BF3D19"/>
    <w:rsid w:val="00BF3DA9"/>
    <w:rsid w:val="00BF4699"/>
    <w:rsid w:val="00BF5916"/>
    <w:rsid w:val="00C00AD6"/>
    <w:rsid w:val="00C046B4"/>
    <w:rsid w:val="00C07092"/>
    <w:rsid w:val="00C1281E"/>
    <w:rsid w:val="00C178C9"/>
    <w:rsid w:val="00C24B0B"/>
    <w:rsid w:val="00C31409"/>
    <w:rsid w:val="00C330E6"/>
    <w:rsid w:val="00C5010E"/>
    <w:rsid w:val="00C50925"/>
    <w:rsid w:val="00C50931"/>
    <w:rsid w:val="00C51AFE"/>
    <w:rsid w:val="00C51FE5"/>
    <w:rsid w:val="00C522EA"/>
    <w:rsid w:val="00C576C6"/>
    <w:rsid w:val="00C57AEA"/>
    <w:rsid w:val="00C57F4D"/>
    <w:rsid w:val="00C616B9"/>
    <w:rsid w:val="00C74AB7"/>
    <w:rsid w:val="00C807DF"/>
    <w:rsid w:val="00C84127"/>
    <w:rsid w:val="00C93430"/>
    <w:rsid w:val="00C95047"/>
    <w:rsid w:val="00CB4107"/>
    <w:rsid w:val="00CB6F35"/>
    <w:rsid w:val="00CC2609"/>
    <w:rsid w:val="00CC4256"/>
    <w:rsid w:val="00CD57D6"/>
    <w:rsid w:val="00CF32B5"/>
    <w:rsid w:val="00CF77F3"/>
    <w:rsid w:val="00D01BB2"/>
    <w:rsid w:val="00D02216"/>
    <w:rsid w:val="00D02E2F"/>
    <w:rsid w:val="00D03F3E"/>
    <w:rsid w:val="00D06D50"/>
    <w:rsid w:val="00D103DF"/>
    <w:rsid w:val="00D129CF"/>
    <w:rsid w:val="00D21929"/>
    <w:rsid w:val="00D2623E"/>
    <w:rsid w:val="00D31778"/>
    <w:rsid w:val="00D32D12"/>
    <w:rsid w:val="00D32ECB"/>
    <w:rsid w:val="00D36DB4"/>
    <w:rsid w:val="00D37B92"/>
    <w:rsid w:val="00D4182C"/>
    <w:rsid w:val="00D436AC"/>
    <w:rsid w:val="00D44505"/>
    <w:rsid w:val="00D45DC1"/>
    <w:rsid w:val="00D51F1D"/>
    <w:rsid w:val="00D5211B"/>
    <w:rsid w:val="00D54600"/>
    <w:rsid w:val="00D55CF1"/>
    <w:rsid w:val="00D57E3A"/>
    <w:rsid w:val="00D6081D"/>
    <w:rsid w:val="00D66314"/>
    <w:rsid w:val="00D71A16"/>
    <w:rsid w:val="00D7489D"/>
    <w:rsid w:val="00D769CD"/>
    <w:rsid w:val="00D816E6"/>
    <w:rsid w:val="00D81F5E"/>
    <w:rsid w:val="00D86419"/>
    <w:rsid w:val="00D86E98"/>
    <w:rsid w:val="00D90686"/>
    <w:rsid w:val="00D90E01"/>
    <w:rsid w:val="00D91F32"/>
    <w:rsid w:val="00D94E3D"/>
    <w:rsid w:val="00D975EB"/>
    <w:rsid w:val="00DA1800"/>
    <w:rsid w:val="00DA4735"/>
    <w:rsid w:val="00DA7295"/>
    <w:rsid w:val="00DB0362"/>
    <w:rsid w:val="00DB148F"/>
    <w:rsid w:val="00DC4638"/>
    <w:rsid w:val="00DD1ABF"/>
    <w:rsid w:val="00DD67CA"/>
    <w:rsid w:val="00DE5693"/>
    <w:rsid w:val="00DF2D35"/>
    <w:rsid w:val="00DF6330"/>
    <w:rsid w:val="00E14C4C"/>
    <w:rsid w:val="00E1629A"/>
    <w:rsid w:val="00E20C33"/>
    <w:rsid w:val="00E23D56"/>
    <w:rsid w:val="00E27309"/>
    <w:rsid w:val="00E3577E"/>
    <w:rsid w:val="00E36F49"/>
    <w:rsid w:val="00E37E90"/>
    <w:rsid w:val="00E41AE3"/>
    <w:rsid w:val="00E41B0B"/>
    <w:rsid w:val="00E53D55"/>
    <w:rsid w:val="00E55E97"/>
    <w:rsid w:val="00E56084"/>
    <w:rsid w:val="00E660A1"/>
    <w:rsid w:val="00E7304B"/>
    <w:rsid w:val="00E739E4"/>
    <w:rsid w:val="00E74209"/>
    <w:rsid w:val="00E74631"/>
    <w:rsid w:val="00E97DA6"/>
    <w:rsid w:val="00EB4EB2"/>
    <w:rsid w:val="00EC6322"/>
    <w:rsid w:val="00ED016D"/>
    <w:rsid w:val="00ED4E5B"/>
    <w:rsid w:val="00EE6E83"/>
    <w:rsid w:val="00EF3606"/>
    <w:rsid w:val="00EF432F"/>
    <w:rsid w:val="00F01A72"/>
    <w:rsid w:val="00F025F4"/>
    <w:rsid w:val="00F1146B"/>
    <w:rsid w:val="00F15398"/>
    <w:rsid w:val="00F2033A"/>
    <w:rsid w:val="00F20806"/>
    <w:rsid w:val="00F31FDA"/>
    <w:rsid w:val="00F34FA8"/>
    <w:rsid w:val="00F35CD5"/>
    <w:rsid w:val="00F37AB6"/>
    <w:rsid w:val="00F4599F"/>
    <w:rsid w:val="00F56FE6"/>
    <w:rsid w:val="00F72030"/>
    <w:rsid w:val="00F72F55"/>
    <w:rsid w:val="00F87337"/>
    <w:rsid w:val="00F92F44"/>
    <w:rsid w:val="00F930EE"/>
    <w:rsid w:val="00F93A7F"/>
    <w:rsid w:val="00F96E46"/>
    <w:rsid w:val="00FA17CA"/>
    <w:rsid w:val="00FA5018"/>
    <w:rsid w:val="00FA64B2"/>
    <w:rsid w:val="00FB450F"/>
    <w:rsid w:val="00FB5FD5"/>
    <w:rsid w:val="00FC0A0B"/>
    <w:rsid w:val="00FC3AAF"/>
    <w:rsid w:val="00FC453F"/>
    <w:rsid w:val="00FD1B74"/>
    <w:rsid w:val="00FD26B1"/>
    <w:rsid w:val="00FD27C6"/>
    <w:rsid w:val="00FD7987"/>
    <w:rsid w:val="00FE0469"/>
    <w:rsid w:val="00FE7FEB"/>
    <w:rsid w:val="00FF201D"/>
    <w:rsid w:val="00FF35DB"/>
    <w:rsid w:val="00FF62CC"/>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DA9"/>
    <w:pPr>
      <w:jc w:val="both"/>
    </w:pPr>
    <w:rPr>
      <w:noProof/>
    </w:rPr>
  </w:style>
  <w:style w:type="paragraph" w:styleId="Balk1">
    <w:name w:val="heading 1"/>
    <w:basedOn w:val="Normal"/>
    <w:next w:val="Normal"/>
    <w:link w:val="Balk1Char"/>
    <w:uiPriority w:val="9"/>
    <w:qFormat/>
    <w:rsid w:val="005A02B6"/>
    <w:pPr>
      <w:keepNext/>
      <w:keepLines/>
      <w:spacing w:before="240" w:after="0" w:line="240" w:lineRule="auto"/>
      <w:outlineLvl w:val="0"/>
    </w:pPr>
    <w:rPr>
      <w:rFonts w:eastAsiaTheme="majorEastAsia" w:cstheme="majorBidi"/>
      <w:b/>
      <w:sz w:val="24"/>
      <w:szCs w:val="32"/>
    </w:rPr>
  </w:style>
  <w:style w:type="paragraph" w:styleId="Balk2">
    <w:name w:val="heading 2"/>
    <w:basedOn w:val="Normal"/>
    <w:next w:val="Normal"/>
    <w:link w:val="Balk2Char"/>
    <w:uiPriority w:val="9"/>
    <w:unhideWhenUsed/>
    <w:qFormat/>
    <w:rsid w:val="005A02B6"/>
    <w:pPr>
      <w:keepNext/>
      <w:keepLines/>
      <w:spacing w:before="40" w:after="0" w:line="276" w:lineRule="auto"/>
      <w:outlineLvl w:val="1"/>
    </w:pPr>
    <w:rPr>
      <w:rFonts w:eastAsiaTheme="majorEastAsia" w:cstheme="majorBidi"/>
      <w:b/>
      <w:sz w:val="24"/>
      <w:szCs w:val="26"/>
      <w:lang w:val="en-GB"/>
    </w:rPr>
  </w:style>
  <w:style w:type="paragraph" w:styleId="Balk3">
    <w:name w:val="heading 3"/>
    <w:basedOn w:val="Normal"/>
    <w:next w:val="Normal"/>
    <w:link w:val="Balk3Char"/>
    <w:uiPriority w:val="9"/>
    <w:unhideWhenUsed/>
    <w:qFormat/>
    <w:rsid w:val="005A02B6"/>
    <w:pPr>
      <w:keepNext/>
      <w:keepLines/>
      <w:spacing w:before="40" w:after="0" w:line="276" w:lineRule="auto"/>
      <w:outlineLvl w:val="2"/>
    </w:pPr>
    <w:rPr>
      <w:rFonts w:eastAsiaTheme="majorEastAsia" w:cstheme="majorBidi"/>
      <w:b/>
      <w:sz w:val="24"/>
      <w:szCs w:val="24"/>
      <w:lang w:val="en-GB"/>
    </w:rPr>
  </w:style>
  <w:style w:type="paragraph" w:styleId="Balk4">
    <w:name w:val="heading 4"/>
    <w:basedOn w:val="Normal"/>
    <w:next w:val="Normal"/>
    <w:link w:val="Balk4Char"/>
    <w:uiPriority w:val="9"/>
    <w:unhideWhenUsed/>
    <w:qFormat/>
    <w:rsid w:val="004530BB"/>
    <w:pPr>
      <w:keepNext/>
      <w:keepLines/>
      <w:spacing w:before="40" w:after="0" w:line="276" w:lineRule="auto"/>
      <w:outlineLvl w:val="3"/>
    </w:pPr>
    <w:rPr>
      <w:rFonts w:eastAsiaTheme="majorEastAsia" w:cstheme="majorBidi"/>
      <w:b/>
      <w:iCs/>
      <w:sz w:val="24"/>
      <w:lang w:val="en-GB"/>
    </w:rPr>
  </w:style>
  <w:style w:type="paragraph" w:styleId="Balk5">
    <w:name w:val="heading 5"/>
    <w:basedOn w:val="Normal"/>
    <w:next w:val="Normal"/>
    <w:link w:val="Balk5Char"/>
    <w:uiPriority w:val="9"/>
    <w:unhideWhenUsed/>
    <w:qFormat/>
    <w:rsid w:val="0055522A"/>
    <w:pPr>
      <w:keepNext/>
      <w:keepLines/>
      <w:spacing w:before="200" w:after="0" w:line="276" w:lineRule="auto"/>
      <w:jc w:val="center"/>
      <w:outlineLvl w:val="4"/>
    </w:pPr>
    <w:rPr>
      <w:rFonts w:eastAsiaTheme="majorEastAsia" w:cstheme="majorBidi"/>
      <w:b/>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A02B6"/>
    <w:rPr>
      <w:rFonts w:eastAsiaTheme="majorEastAsia" w:cstheme="majorBidi"/>
      <w:b/>
      <w:sz w:val="24"/>
      <w:szCs w:val="32"/>
    </w:rPr>
  </w:style>
  <w:style w:type="character" w:customStyle="1" w:styleId="Balk2Char">
    <w:name w:val="Başlık 2 Char"/>
    <w:basedOn w:val="VarsaylanParagrafYazTipi"/>
    <w:link w:val="Balk2"/>
    <w:uiPriority w:val="9"/>
    <w:rsid w:val="005A02B6"/>
    <w:rPr>
      <w:rFonts w:eastAsiaTheme="majorEastAsia" w:cstheme="majorBidi"/>
      <w:b/>
      <w:noProof/>
      <w:sz w:val="24"/>
      <w:szCs w:val="26"/>
      <w:lang w:val="en-GB"/>
    </w:rPr>
  </w:style>
  <w:style w:type="character" w:customStyle="1" w:styleId="Balk3Char">
    <w:name w:val="Başlık 3 Char"/>
    <w:basedOn w:val="VarsaylanParagrafYazTipi"/>
    <w:link w:val="Balk3"/>
    <w:uiPriority w:val="9"/>
    <w:rsid w:val="005A02B6"/>
    <w:rPr>
      <w:rFonts w:eastAsiaTheme="majorEastAsia" w:cstheme="majorBidi"/>
      <w:b/>
      <w:noProof/>
      <w:sz w:val="24"/>
      <w:szCs w:val="24"/>
      <w:lang w:val="en-GB"/>
    </w:rPr>
  </w:style>
  <w:style w:type="character" w:customStyle="1" w:styleId="Balk4Char">
    <w:name w:val="Başlık 4 Char"/>
    <w:basedOn w:val="VarsaylanParagrafYazTipi"/>
    <w:link w:val="Balk4"/>
    <w:uiPriority w:val="9"/>
    <w:rsid w:val="004530BB"/>
    <w:rPr>
      <w:rFonts w:eastAsiaTheme="majorEastAsia" w:cstheme="majorBidi"/>
      <w:b/>
      <w:iCs/>
      <w:noProof/>
      <w:sz w:val="24"/>
      <w:lang w:val="en-GB"/>
    </w:rPr>
  </w:style>
  <w:style w:type="character" w:customStyle="1" w:styleId="Balk5Char">
    <w:name w:val="Başlık 5 Char"/>
    <w:basedOn w:val="VarsaylanParagrafYazTipi"/>
    <w:link w:val="Balk5"/>
    <w:uiPriority w:val="9"/>
    <w:rsid w:val="0055522A"/>
    <w:rPr>
      <w:rFonts w:eastAsiaTheme="majorEastAsia" w:cstheme="majorBidi"/>
      <w:b/>
      <w:noProof/>
      <w:lang w:val="tr-TR"/>
    </w:rPr>
  </w:style>
  <w:style w:type="paragraph" w:styleId="AralkYok">
    <w:name w:val="No Spacing"/>
    <w:link w:val="AralkYokChar"/>
    <w:uiPriority w:val="1"/>
    <w:qFormat/>
    <w:rsid w:val="00F4599F"/>
    <w:pPr>
      <w:spacing w:after="0" w:line="240" w:lineRule="auto"/>
    </w:pPr>
    <w:rPr>
      <w:rFonts w:eastAsiaTheme="minorEastAsia"/>
    </w:rPr>
  </w:style>
  <w:style w:type="character" w:customStyle="1" w:styleId="AralkYokChar">
    <w:name w:val="Aralık Yok Char"/>
    <w:basedOn w:val="VarsaylanParagrafYazTipi"/>
    <w:link w:val="AralkYok"/>
    <w:uiPriority w:val="1"/>
    <w:rsid w:val="00F4599F"/>
    <w:rPr>
      <w:rFonts w:eastAsiaTheme="minorEastAsia"/>
    </w:rPr>
  </w:style>
  <w:style w:type="character" w:styleId="KitapBal">
    <w:name w:val="Book Title"/>
    <w:basedOn w:val="VarsaylanParagrafYazTipi"/>
    <w:uiPriority w:val="33"/>
    <w:qFormat/>
    <w:rsid w:val="00D816E6"/>
    <w:rPr>
      <w:rFonts w:asciiTheme="minorHAnsi" w:hAnsiTheme="minorHAnsi"/>
      <w:b/>
      <w:bCs/>
      <w:smallCaps/>
      <w:color w:val="auto"/>
      <w:spacing w:val="5"/>
      <w:sz w:val="24"/>
    </w:rPr>
  </w:style>
  <w:style w:type="paragraph" w:styleId="KonuBal">
    <w:name w:val="Title"/>
    <w:basedOn w:val="Normal"/>
    <w:next w:val="Normal"/>
    <w:link w:val="KonuBalChar"/>
    <w:uiPriority w:val="10"/>
    <w:qFormat/>
    <w:rsid w:val="00F873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F87337"/>
    <w:rPr>
      <w:rFonts w:asciiTheme="majorHAnsi" w:eastAsiaTheme="majorEastAsia" w:hAnsiTheme="majorHAnsi" w:cstheme="majorBidi"/>
      <w:color w:val="323E4F" w:themeColor="text2" w:themeShade="BF"/>
      <w:spacing w:val="5"/>
      <w:kern w:val="28"/>
      <w:sz w:val="52"/>
      <w:szCs w:val="52"/>
      <w:lang w:val="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F87337"/>
    <w:pPr>
      <w:tabs>
        <w:tab w:val="center" w:pos="4703"/>
        <w:tab w:val="right" w:pos="9406"/>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F87337"/>
  </w:style>
  <w:style w:type="paragraph" w:styleId="Altbilgi">
    <w:name w:val="footer"/>
    <w:basedOn w:val="Normal"/>
    <w:link w:val="AltbilgiChar"/>
    <w:uiPriority w:val="99"/>
    <w:unhideWhenUsed/>
    <w:rsid w:val="00F8733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F87337"/>
  </w:style>
  <w:style w:type="paragraph" w:styleId="ListeParagraf">
    <w:name w:val="List Paragraph"/>
    <w:basedOn w:val="Normal"/>
    <w:uiPriority w:val="34"/>
    <w:qFormat/>
    <w:rsid w:val="00F87337"/>
    <w:pPr>
      <w:ind w:left="720"/>
      <w:contextualSpacing/>
    </w:pPr>
  </w:style>
  <w:style w:type="character" w:styleId="Gl">
    <w:name w:val="Strong"/>
    <w:basedOn w:val="VarsaylanParagrafYazTipi"/>
    <w:uiPriority w:val="22"/>
    <w:qFormat/>
    <w:rsid w:val="0055522A"/>
    <w:rPr>
      <w:rFonts w:asciiTheme="minorHAnsi" w:hAnsiTheme="minorHAnsi"/>
      <w:b/>
      <w:bCs/>
      <w:color w:val="auto"/>
      <w:sz w:val="22"/>
    </w:rPr>
  </w:style>
  <w:style w:type="character" w:styleId="YerTutucuMetni">
    <w:name w:val="Placeholder Text"/>
    <w:basedOn w:val="VarsaylanParagrafYazTipi"/>
    <w:uiPriority w:val="99"/>
    <w:semiHidden/>
    <w:rsid w:val="002E3D3F"/>
    <w:rPr>
      <w:color w:val="808080"/>
    </w:rPr>
  </w:style>
  <w:style w:type="paragraph" w:customStyle="1" w:styleId="ortabalkbold">
    <w:name w:val="ortabalkbold"/>
    <w:basedOn w:val="Normal"/>
    <w:rsid w:val="00D54600"/>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table" w:styleId="TabloKlavuzu">
    <w:name w:val="Table Grid"/>
    <w:basedOn w:val="NormalTablo"/>
    <w:uiPriority w:val="59"/>
    <w:rsid w:val="008F78DD"/>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Bal">
    <w:name w:val="TOC Heading"/>
    <w:basedOn w:val="Balk1"/>
    <w:next w:val="Normal"/>
    <w:uiPriority w:val="39"/>
    <w:unhideWhenUsed/>
    <w:qFormat/>
    <w:rsid w:val="00AB65BB"/>
    <w:pPr>
      <w:outlineLvl w:val="9"/>
    </w:pPr>
  </w:style>
  <w:style w:type="paragraph" w:styleId="T1">
    <w:name w:val="toc 1"/>
    <w:basedOn w:val="Normal"/>
    <w:next w:val="Normal"/>
    <w:autoRedefine/>
    <w:uiPriority w:val="39"/>
    <w:unhideWhenUsed/>
    <w:rsid w:val="00AB65BB"/>
    <w:pPr>
      <w:spacing w:after="100"/>
    </w:pPr>
  </w:style>
  <w:style w:type="character" w:styleId="Kpr">
    <w:name w:val="Hyperlink"/>
    <w:basedOn w:val="VarsaylanParagrafYazTipi"/>
    <w:uiPriority w:val="99"/>
    <w:unhideWhenUsed/>
    <w:rsid w:val="00AB65BB"/>
    <w:rPr>
      <w:color w:val="0563C1" w:themeColor="hyperlink"/>
      <w:u w:val="single"/>
    </w:rPr>
  </w:style>
  <w:style w:type="paragraph" w:customStyle="1" w:styleId="nor">
    <w:name w:val="nor"/>
    <w:basedOn w:val="Normal"/>
    <w:rsid w:val="00FE7FEB"/>
    <w:pPr>
      <w:spacing w:after="0" w:line="240" w:lineRule="auto"/>
    </w:pPr>
    <w:rPr>
      <w:rFonts w:ascii="New York" w:eastAsia="Times New Roman" w:hAnsi="New York" w:cs="Times New Roman"/>
      <w:sz w:val="18"/>
      <w:szCs w:val="18"/>
      <w:lang w:val="tr-TR" w:eastAsia="tr-TR"/>
    </w:rPr>
  </w:style>
  <w:style w:type="paragraph" w:styleId="T2">
    <w:name w:val="toc 2"/>
    <w:basedOn w:val="Normal"/>
    <w:next w:val="Normal"/>
    <w:autoRedefine/>
    <w:uiPriority w:val="39"/>
    <w:unhideWhenUsed/>
    <w:rsid w:val="00D816E6"/>
    <w:pPr>
      <w:spacing w:after="100"/>
      <w:ind w:left="220"/>
    </w:pPr>
  </w:style>
  <w:style w:type="paragraph" w:styleId="T3">
    <w:name w:val="toc 3"/>
    <w:basedOn w:val="Normal"/>
    <w:next w:val="Normal"/>
    <w:autoRedefine/>
    <w:uiPriority w:val="39"/>
    <w:unhideWhenUsed/>
    <w:rsid w:val="00D816E6"/>
    <w:pPr>
      <w:spacing w:after="100"/>
      <w:ind w:left="440"/>
    </w:pPr>
  </w:style>
  <w:style w:type="paragraph" w:styleId="T4">
    <w:name w:val="toc 4"/>
    <w:basedOn w:val="Normal"/>
    <w:next w:val="Normal"/>
    <w:autoRedefine/>
    <w:uiPriority w:val="39"/>
    <w:unhideWhenUsed/>
    <w:rsid w:val="009461D6"/>
    <w:pPr>
      <w:spacing w:after="100"/>
      <w:ind w:left="660"/>
    </w:pPr>
    <w:rPr>
      <w:rFonts w:eastAsiaTheme="minorEastAsia"/>
      <w:noProof w:val="0"/>
      <w:lang w:val="tr-TR" w:eastAsia="tr-TR"/>
    </w:rPr>
  </w:style>
  <w:style w:type="paragraph" w:styleId="T5">
    <w:name w:val="toc 5"/>
    <w:basedOn w:val="Normal"/>
    <w:next w:val="Normal"/>
    <w:autoRedefine/>
    <w:uiPriority w:val="39"/>
    <w:unhideWhenUsed/>
    <w:rsid w:val="009461D6"/>
    <w:pPr>
      <w:spacing w:after="100"/>
      <w:ind w:left="880"/>
    </w:pPr>
    <w:rPr>
      <w:rFonts w:eastAsiaTheme="minorEastAsia"/>
      <w:noProof w:val="0"/>
      <w:lang w:val="tr-TR" w:eastAsia="tr-TR"/>
    </w:rPr>
  </w:style>
  <w:style w:type="paragraph" w:styleId="T6">
    <w:name w:val="toc 6"/>
    <w:basedOn w:val="Normal"/>
    <w:next w:val="Normal"/>
    <w:autoRedefine/>
    <w:uiPriority w:val="39"/>
    <w:unhideWhenUsed/>
    <w:rsid w:val="009461D6"/>
    <w:pPr>
      <w:spacing w:after="100"/>
      <w:ind w:left="1100"/>
    </w:pPr>
    <w:rPr>
      <w:rFonts w:eastAsiaTheme="minorEastAsia"/>
      <w:noProof w:val="0"/>
      <w:lang w:val="tr-TR" w:eastAsia="tr-TR"/>
    </w:rPr>
  </w:style>
  <w:style w:type="paragraph" w:styleId="T7">
    <w:name w:val="toc 7"/>
    <w:basedOn w:val="Normal"/>
    <w:next w:val="Normal"/>
    <w:autoRedefine/>
    <w:uiPriority w:val="39"/>
    <w:unhideWhenUsed/>
    <w:rsid w:val="009461D6"/>
    <w:pPr>
      <w:spacing w:after="100"/>
      <w:ind w:left="1320"/>
    </w:pPr>
    <w:rPr>
      <w:rFonts w:eastAsiaTheme="minorEastAsia"/>
      <w:noProof w:val="0"/>
      <w:lang w:val="tr-TR" w:eastAsia="tr-TR"/>
    </w:rPr>
  </w:style>
  <w:style w:type="paragraph" w:styleId="T8">
    <w:name w:val="toc 8"/>
    <w:basedOn w:val="Normal"/>
    <w:next w:val="Normal"/>
    <w:autoRedefine/>
    <w:uiPriority w:val="39"/>
    <w:unhideWhenUsed/>
    <w:rsid w:val="009461D6"/>
    <w:pPr>
      <w:spacing w:after="100"/>
      <w:ind w:left="1540"/>
    </w:pPr>
    <w:rPr>
      <w:rFonts w:eastAsiaTheme="minorEastAsia"/>
      <w:noProof w:val="0"/>
      <w:lang w:val="tr-TR" w:eastAsia="tr-TR"/>
    </w:rPr>
  </w:style>
  <w:style w:type="paragraph" w:styleId="T9">
    <w:name w:val="toc 9"/>
    <w:basedOn w:val="Normal"/>
    <w:next w:val="Normal"/>
    <w:autoRedefine/>
    <w:uiPriority w:val="39"/>
    <w:unhideWhenUsed/>
    <w:rsid w:val="009461D6"/>
    <w:pPr>
      <w:spacing w:after="100"/>
      <w:ind w:left="1760"/>
    </w:pPr>
    <w:rPr>
      <w:rFonts w:eastAsiaTheme="minorEastAsia"/>
      <w:noProof w:val="0"/>
      <w:lang w:val="tr-TR" w:eastAsia="tr-TR"/>
    </w:rPr>
  </w:style>
  <w:style w:type="character" w:customStyle="1" w:styleId="UnresolvedMention">
    <w:name w:val="Unresolved Mention"/>
    <w:basedOn w:val="VarsaylanParagrafYazTipi"/>
    <w:uiPriority w:val="99"/>
    <w:semiHidden/>
    <w:unhideWhenUsed/>
    <w:rsid w:val="009461D6"/>
    <w:rPr>
      <w:color w:val="605E5C"/>
      <w:shd w:val="clear" w:color="auto" w:fill="E1DFDD"/>
    </w:rPr>
  </w:style>
  <w:style w:type="paragraph" w:styleId="ekillerTablosu">
    <w:name w:val="table of figures"/>
    <w:basedOn w:val="Normal"/>
    <w:next w:val="Normal"/>
    <w:uiPriority w:val="99"/>
    <w:unhideWhenUsed/>
    <w:rsid w:val="0055522A"/>
    <w:pPr>
      <w:spacing w:after="0"/>
    </w:pPr>
  </w:style>
  <w:style w:type="paragraph" w:styleId="BalonMetni">
    <w:name w:val="Balloon Text"/>
    <w:basedOn w:val="Normal"/>
    <w:link w:val="BalonMetniChar"/>
    <w:uiPriority w:val="99"/>
    <w:semiHidden/>
    <w:unhideWhenUsed/>
    <w:rsid w:val="00D03F3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03F3E"/>
    <w:rPr>
      <w:rFonts w:ascii="Tahoma" w:hAnsi="Tahoma" w:cs="Tahoma"/>
      <w:noProof/>
      <w:sz w:val="16"/>
      <w:szCs w:val="16"/>
    </w:rPr>
  </w:style>
  <w:style w:type="paragraph" w:styleId="DipnotMetni">
    <w:name w:val="footnote text"/>
    <w:basedOn w:val="Normal"/>
    <w:link w:val="DipnotMetniChar"/>
    <w:semiHidden/>
    <w:unhideWhenUsed/>
    <w:rsid w:val="00E55E97"/>
    <w:pPr>
      <w:spacing w:after="0" w:line="240" w:lineRule="auto"/>
    </w:pPr>
    <w:rPr>
      <w:rFonts w:eastAsia="Calibri" w:cs="Times New Roman"/>
      <w:noProof w:val="0"/>
      <w:sz w:val="20"/>
      <w:szCs w:val="20"/>
      <w:lang w:val="tr-TR"/>
    </w:rPr>
  </w:style>
  <w:style w:type="character" w:customStyle="1" w:styleId="DipnotMetniChar">
    <w:name w:val="Dipnot Metni Char"/>
    <w:basedOn w:val="VarsaylanParagrafYazTipi"/>
    <w:link w:val="DipnotMetni"/>
    <w:semiHidden/>
    <w:rsid w:val="00E55E97"/>
    <w:rPr>
      <w:rFonts w:eastAsia="Calibri" w:cs="Times New Roman"/>
      <w:sz w:val="20"/>
      <w:szCs w:val="20"/>
      <w:lang w:val="tr-TR"/>
    </w:rPr>
  </w:style>
  <w:style w:type="character" w:customStyle="1" w:styleId="AltbilgiChar1">
    <w:name w:val="Altbilgi Char1"/>
    <w:basedOn w:val="VarsaylanParagrafYazTipi"/>
    <w:uiPriority w:val="99"/>
    <w:rsid w:val="005F5E6A"/>
    <w:rPr>
      <w:rFonts w:ascii="Calibri" w:eastAsia="Calibri" w:hAnsi="Calibri" w:cs="Times New Roman"/>
    </w:rPr>
  </w:style>
  <w:style w:type="paragraph" w:customStyle="1" w:styleId="metin">
    <w:name w:val="metin"/>
    <w:basedOn w:val="Normal"/>
    <w:rsid w:val="005F5E6A"/>
    <w:pPr>
      <w:spacing w:before="100" w:beforeAutospacing="1" w:after="100" w:afterAutospacing="1" w:line="240" w:lineRule="auto"/>
    </w:pPr>
    <w:rPr>
      <w:rFonts w:ascii="Times New Roman" w:eastAsia="Times New Roman" w:hAnsi="Times New Roman" w:cs="Times New Roman"/>
      <w:noProof w:val="0"/>
      <w:sz w:val="24"/>
      <w:szCs w:val="24"/>
      <w:lang w:val="tr-TR" w:eastAsia="tr-TR"/>
    </w:rPr>
  </w:style>
  <w:style w:type="character" w:customStyle="1" w:styleId="tlid-translation">
    <w:name w:val="tlid-translation"/>
    <w:basedOn w:val="VarsaylanParagrafYazTipi"/>
    <w:rsid w:val="00D91F32"/>
  </w:style>
  <w:style w:type="paragraph" w:styleId="HTMLncedenBiimlendirilmi">
    <w:name w:val="HTML Preformatted"/>
    <w:basedOn w:val="Normal"/>
    <w:link w:val="HTMLncedenBiimlendirilmiChar"/>
    <w:uiPriority w:val="99"/>
    <w:semiHidden/>
    <w:unhideWhenUsed/>
    <w:rsid w:val="001B2DF6"/>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semiHidden/>
    <w:rsid w:val="001B2DF6"/>
    <w:rPr>
      <w:rFonts w:ascii="Consolas" w:hAnsi="Consolas"/>
      <w:noProof/>
      <w:sz w:val="20"/>
      <w:szCs w:val="20"/>
    </w:rPr>
  </w:style>
  <w:style w:type="character" w:customStyle="1" w:styleId="komperdodano">
    <w:name w:val="komperdodano"/>
    <w:basedOn w:val="VarsaylanParagrafYazTipi"/>
    <w:rsid w:val="00C50931"/>
  </w:style>
  <w:style w:type="character" w:styleId="DipnotBavurusu">
    <w:name w:val="footnote reference"/>
    <w:basedOn w:val="VarsaylanParagrafYazTipi"/>
    <w:uiPriority w:val="99"/>
    <w:semiHidden/>
    <w:unhideWhenUsed/>
    <w:rsid w:val="00521DE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DA9"/>
    <w:pPr>
      <w:jc w:val="both"/>
    </w:pPr>
    <w:rPr>
      <w:noProof/>
    </w:rPr>
  </w:style>
  <w:style w:type="paragraph" w:styleId="Balk1">
    <w:name w:val="heading 1"/>
    <w:basedOn w:val="Normal"/>
    <w:next w:val="Normal"/>
    <w:link w:val="Balk1Char"/>
    <w:uiPriority w:val="9"/>
    <w:qFormat/>
    <w:rsid w:val="005A02B6"/>
    <w:pPr>
      <w:keepNext/>
      <w:keepLines/>
      <w:spacing w:before="240" w:after="0" w:line="240" w:lineRule="auto"/>
      <w:outlineLvl w:val="0"/>
    </w:pPr>
    <w:rPr>
      <w:rFonts w:eastAsiaTheme="majorEastAsia" w:cstheme="majorBidi"/>
      <w:b/>
      <w:sz w:val="24"/>
      <w:szCs w:val="32"/>
    </w:rPr>
  </w:style>
  <w:style w:type="paragraph" w:styleId="Balk2">
    <w:name w:val="heading 2"/>
    <w:basedOn w:val="Normal"/>
    <w:next w:val="Normal"/>
    <w:link w:val="Balk2Char"/>
    <w:uiPriority w:val="9"/>
    <w:unhideWhenUsed/>
    <w:qFormat/>
    <w:rsid w:val="005A02B6"/>
    <w:pPr>
      <w:keepNext/>
      <w:keepLines/>
      <w:spacing w:before="40" w:after="0" w:line="276" w:lineRule="auto"/>
      <w:outlineLvl w:val="1"/>
    </w:pPr>
    <w:rPr>
      <w:rFonts w:eastAsiaTheme="majorEastAsia" w:cstheme="majorBidi"/>
      <w:b/>
      <w:sz w:val="24"/>
      <w:szCs w:val="26"/>
      <w:lang w:val="en-GB"/>
    </w:rPr>
  </w:style>
  <w:style w:type="paragraph" w:styleId="Balk3">
    <w:name w:val="heading 3"/>
    <w:basedOn w:val="Normal"/>
    <w:next w:val="Normal"/>
    <w:link w:val="Balk3Char"/>
    <w:uiPriority w:val="9"/>
    <w:unhideWhenUsed/>
    <w:qFormat/>
    <w:rsid w:val="005A02B6"/>
    <w:pPr>
      <w:keepNext/>
      <w:keepLines/>
      <w:spacing w:before="40" w:after="0" w:line="276" w:lineRule="auto"/>
      <w:outlineLvl w:val="2"/>
    </w:pPr>
    <w:rPr>
      <w:rFonts w:eastAsiaTheme="majorEastAsia" w:cstheme="majorBidi"/>
      <w:b/>
      <w:sz w:val="24"/>
      <w:szCs w:val="24"/>
      <w:lang w:val="en-GB"/>
    </w:rPr>
  </w:style>
  <w:style w:type="paragraph" w:styleId="Balk4">
    <w:name w:val="heading 4"/>
    <w:basedOn w:val="Normal"/>
    <w:next w:val="Normal"/>
    <w:link w:val="Balk4Char"/>
    <w:uiPriority w:val="9"/>
    <w:unhideWhenUsed/>
    <w:qFormat/>
    <w:rsid w:val="004530BB"/>
    <w:pPr>
      <w:keepNext/>
      <w:keepLines/>
      <w:spacing w:before="40" w:after="0" w:line="276" w:lineRule="auto"/>
      <w:outlineLvl w:val="3"/>
    </w:pPr>
    <w:rPr>
      <w:rFonts w:eastAsiaTheme="majorEastAsia" w:cstheme="majorBidi"/>
      <w:b/>
      <w:iCs/>
      <w:sz w:val="24"/>
      <w:lang w:val="en-GB"/>
    </w:rPr>
  </w:style>
  <w:style w:type="paragraph" w:styleId="Balk5">
    <w:name w:val="heading 5"/>
    <w:basedOn w:val="Normal"/>
    <w:next w:val="Normal"/>
    <w:link w:val="Balk5Char"/>
    <w:uiPriority w:val="9"/>
    <w:unhideWhenUsed/>
    <w:qFormat/>
    <w:rsid w:val="0055522A"/>
    <w:pPr>
      <w:keepNext/>
      <w:keepLines/>
      <w:spacing w:before="200" w:after="0" w:line="276" w:lineRule="auto"/>
      <w:jc w:val="center"/>
      <w:outlineLvl w:val="4"/>
    </w:pPr>
    <w:rPr>
      <w:rFonts w:eastAsiaTheme="majorEastAsia" w:cstheme="majorBidi"/>
      <w:b/>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A02B6"/>
    <w:rPr>
      <w:rFonts w:eastAsiaTheme="majorEastAsia" w:cstheme="majorBidi"/>
      <w:b/>
      <w:sz w:val="24"/>
      <w:szCs w:val="32"/>
    </w:rPr>
  </w:style>
  <w:style w:type="character" w:customStyle="1" w:styleId="Balk2Char">
    <w:name w:val="Başlık 2 Char"/>
    <w:basedOn w:val="VarsaylanParagrafYazTipi"/>
    <w:link w:val="Balk2"/>
    <w:uiPriority w:val="9"/>
    <w:rsid w:val="005A02B6"/>
    <w:rPr>
      <w:rFonts w:eastAsiaTheme="majorEastAsia" w:cstheme="majorBidi"/>
      <w:b/>
      <w:noProof/>
      <w:sz w:val="24"/>
      <w:szCs w:val="26"/>
      <w:lang w:val="en-GB"/>
    </w:rPr>
  </w:style>
  <w:style w:type="character" w:customStyle="1" w:styleId="Balk3Char">
    <w:name w:val="Başlık 3 Char"/>
    <w:basedOn w:val="VarsaylanParagrafYazTipi"/>
    <w:link w:val="Balk3"/>
    <w:uiPriority w:val="9"/>
    <w:rsid w:val="005A02B6"/>
    <w:rPr>
      <w:rFonts w:eastAsiaTheme="majorEastAsia" w:cstheme="majorBidi"/>
      <w:b/>
      <w:noProof/>
      <w:sz w:val="24"/>
      <w:szCs w:val="24"/>
      <w:lang w:val="en-GB"/>
    </w:rPr>
  </w:style>
  <w:style w:type="character" w:customStyle="1" w:styleId="Balk4Char">
    <w:name w:val="Başlık 4 Char"/>
    <w:basedOn w:val="VarsaylanParagrafYazTipi"/>
    <w:link w:val="Balk4"/>
    <w:uiPriority w:val="9"/>
    <w:rsid w:val="004530BB"/>
    <w:rPr>
      <w:rFonts w:eastAsiaTheme="majorEastAsia" w:cstheme="majorBidi"/>
      <w:b/>
      <w:iCs/>
      <w:noProof/>
      <w:sz w:val="24"/>
      <w:lang w:val="en-GB"/>
    </w:rPr>
  </w:style>
  <w:style w:type="character" w:customStyle="1" w:styleId="Balk5Char">
    <w:name w:val="Başlık 5 Char"/>
    <w:basedOn w:val="VarsaylanParagrafYazTipi"/>
    <w:link w:val="Balk5"/>
    <w:uiPriority w:val="9"/>
    <w:rsid w:val="0055522A"/>
    <w:rPr>
      <w:rFonts w:eastAsiaTheme="majorEastAsia" w:cstheme="majorBidi"/>
      <w:b/>
      <w:noProof/>
      <w:lang w:val="tr-TR"/>
    </w:rPr>
  </w:style>
  <w:style w:type="paragraph" w:styleId="AralkYok">
    <w:name w:val="No Spacing"/>
    <w:link w:val="AralkYokChar"/>
    <w:uiPriority w:val="1"/>
    <w:qFormat/>
    <w:rsid w:val="00F4599F"/>
    <w:pPr>
      <w:spacing w:after="0" w:line="240" w:lineRule="auto"/>
    </w:pPr>
    <w:rPr>
      <w:rFonts w:eastAsiaTheme="minorEastAsia"/>
    </w:rPr>
  </w:style>
  <w:style w:type="character" w:customStyle="1" w:styleId="AralkYokChar">
    <w:name w:val="Aralık Yok Char"/>
    <w:basedOn w:val="VarsaylanParagrafYazTipi"/>
    <w:link w:val="AralkYok"/>
    <w:uiPriority w:val="1"/>
    <w:rsid w:val="00F4599F"/>
    <w:rPr>
      <w:rFonts w:eastAsiaTheme="minorEastAsia"/>
    </w:rPr>
  </w:style>
  <w:style w:type="character" w:styleId="KitapBal">
    <w:name w:val="Book Title"/>
    <w:basedOn w:val="VarsaylanParagrafYazTipi"/>
    <w:uiPriority w:val="33"/>
    <w:qFormat/>
    <w:rsid w:val="00D816E6"/>
    <w:rPr>
      <w:rFonts w:asciiTheme="minorHAnsi" w:hAnsiTheme="minorHAnsi"/>
      <w:b/>
      <w:bCs/>
      <w:smallCaps/>
      <w:color w:val="auto"/>
      <w:spacing w:val="5"/>
      <w:sz w:val="24"/>
    </w:rPr>
  </w:style>
  <w:style w:type="paragraph" w:styleId="KonuBal">
    <w:name w:val="Title"/>
    <w:basedOn w:val="Normal"/>
    <w:next w:val="Normal"/>
    <w:link w:val="KonuBalChar"/>
    <w:uiPriority w:val="10"/>
    <w:qFormat/>
    <w:rsid w:val="00F8733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tr-TR"/>
    </w:rPr>
  </w:style>
  <w:style w:type="character" w:customStyle="1" w:styleId="KonuBalChar">
    <w:name w:val="Konu Başlığı Char"/>
    <w:basedOn w:val="VarsaylanParagrafYazTipi"/>
    <w:link w:val="KonuBal"/>
    <w:uiPriority w:val="10"/>
    <w:rsid w:val="00F87337"/>
    <w:rPr>
      <w:rFonts w:asciiTheme="majorHAnsi" w:eastAsiaTheme="majorEastAsia" w:hAnsiTheme="majorHAnsi" w:cstheme="majorBidi"/>
      <w:color w:val="323E4F" w:themeColor="text2" w:themeShade="BF"/>
      <w:spacing w:val="5"/>
      <w:kern w:val="28"/>
      <w:sz w:val="52"/>
      <w:szCs w:val="52"/>
      <w:lang w:val="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F87337"/>
    <w:pPr>
      <w:tabs>
        <w:tab w:val="center" w:pos="4703"/>
        <w:tab w:val="right" w:pos="9406"/>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F87337"/>
  </w:style>
  <w:style w:type="paragraph" w:styleId="Altbilgi">
    <w:name w:val="footer"/>
    <w:basedOn w:val="Normal"/>
    <w:link w:val="AltbilgiChar"/>
    <w:uiPriority w:val="99"/>
    <w:unhideWhenUsed/>
    <w:rsid w:val="00F8733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F87337"/>
  </w:style>
  <w:style w:type="paragraph" w:styleId="ListeParagraf">
    <w:name w:val="List Paragraph"/>
    <w:basedOn w:val="Normal"/>
    <w:uiPriority w:val="34"/>
    <w:qFormat/>
    <w:rsid w:val="00F87337"/>
    <w:pPr>
      <w:ind w:left="720"/>
      <w:contextualSpacing/>
    </w:pPr>
  </w:style>
  <w:style w:type="character" w:styleId="Gl">
    <w:name w:val="Strong"/>
    <w:basedOn w:val="VarsaylanParagrafYazTipi"/>
    <w:uiPriority w:val="22"/>
    <w:qFormat/>
    <w:rsid w:val="0055522A"/>
    <w:rPr>
      <w:rFonts w:asciiTheme="minorHAnsi" w:hAnsiTheme="minorHAnsi"/>
      <w:b/>
      <w:bCs/>
      <w:color w:val="auto"/>
      <w:sz w:val="22"/>
    </w:rPr>
  </w:style>
  <w:style w:type="character" w:styleId="YerTutucuMetni">
    <w:name w:val="Placeholder Text"/>
    <w:basedOn w:val="VarsaylanParagrafYazTipi"/>
    <w:uiPriority w:val="99"/>
    <w:semiHidden/>
    <w:rsid w:val="002E3D3F"/>
    <w:rPr>
      <w:color w:val="808080"/>
    </w:rPr>
  </w:style>
  <w:style w:type="paragraph" w:customStyle="1" w:styleId="ortabalkbold">
    <w:name w:val="ortabalkbold"/>
    <w:basedOn w:val="Normal"/>
    <w:rsid w:val="00D54600"/>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table" w:styleId="TabloKlavuzu">
    <w:name w:val="Table Grid"/>
    <w:basedOn w:val="NormalTablo"/>
    <w:uiPriority w:val="59"/>
    <w:rsid w:val="008F78DD"/>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Bal">
    <w:name w:val="TOC Heading"/>
    <w:basedOn w:val="Balk1"/>
    <w:next w:val="Normal"/>
    <w:uiPriority w:val="39"/>
    <w:unhideWhenUsed/>
    <w:qFormat/>
    <w:rsid w:val="00AB65BB"/>
    <w:pPr>
      <w:outlineLvl w:val="9"/>
    </w:pPr>
  </w:style>
  <w:style w:type="paragraph" w:styleId="T1">
    <w:name w:val="toc 1"/>
    <w:basedOn w:val="Normal"/>
    <w:next w:val="Normal"/>
    <w:autoRedefine/>
    <w:uiPriority w:val="39"/>
    <w:unhideWhenUsed/>
    <w:rsid w:val="00AB65BB"/>
    <w:pPr>
      <w:spacing w:after="100"/>
    </w:pPr>
  </w:style>
  <w:style w:type="character" w:styleId="Kpr">
    <w:name w:val="Hyperlink"/>
    <w:basedOn w:val="VarsaylanParagrafYazTipi"/>
    <w:uiPriority w:val="99"/>
    <w:unhideWhenUsed/>
    <w:rsid w:val="00AB65BB"/>
    <w:rPr>
      <w:color w:val="0563C1" w:themeColor="hyperlink"/>
      <w:u w:val="single"/>
    </w:rPr>
  </w:style>
  <w:style w:type="paragraph" w:customStyle="1" w:styleId="nor">
    <w:name w:val="nor"/>
    <w:basedOn w:val="Normal"/>
    <w:rsid w:val="00FE7FEB"/>
    <w:pPr>
      <w:spacing w:after="0" w:line="240" w:lineRule="auto"/>
    </w:pPr>
    <w:rPr>
      <w:rFonts w:ascii="New York" w:eastAsia="Times New Roman" w:hAnsi="New York" w:cs="Times New Roman"/>
      <w:sz w:val="18"/>
      <w:szCs w:val="18"/>
      <w:lang w:val="tr-TR" w:eastAsia="tr-TR"/>
    </w:rPr>
  </w:style>
  <w:style w:type="paragraph" w:styleId="T2">
    <w:name w:val="toc 2"/>
    <w:basedOn w:val="Normal"/>
    <w:next w:val="Normal"/>
    <w:autoRedefine/>
    <w:uiPriority w:val="39"/>
    <w:unhideWhenUsed/>
    <w:rsid w:val="00D816E6"/>
    <w:pPr>
      <w:spacing w:after="100"/>
      <w:ind w:left="220"/>
    </w:pPr>
  </w:style>
  <w:style w:type="paragraph" w:styleId="T3">
    <w:name w:val="toc 3"/>
    <w:basedOn w:val="Normal"/>
    <w:next w:val="Normal"/>
    <w:autoRedefine/>
    <w:uiPriority w:val="39"/>
    <w:unhideWhenUsed/>
    <w:rsid w:val="00D816E6"/>
    <w:pPr>
      <w:spacing w:after="100"/>
      <w:ind w:left="440"/>
    </w:pPr>
  </w:style>
  <w:style w:type="paragraph" w:styleId="T4">
    <w:name w:val="toc 4"/>
    <w:basedOn w:val="Normal"/>
    <w:next w:val="Normal"/>
    <w:autoRedefine/>
    <w:uiPriority w:val="39"/>
    <w:unhideWhenUsed/>
    <w:rsid w:val="009461D6"/>
    <w:pPr>
      <w:spacing w:after="100"/>
      <w:ind w:left="660"/>
    </w:pPr>
    <w:rPr>
      <w:rFonts w:eastAsiaTheme="minorEastAsia"/>
      <w:noProof w:val="0"/>
      <w:lang w:val="tr-TR" w:eastAsia="tr-TR"/>
    </w:rPr>
  </w:style>
  <w:style w:type="paragraph" w:styleId="T5">
    <w:name w:val="toc 5"/>
    <w:basedOn w:val="Normal"/>
    <w:next w:val="Normal"/>
    <w:autoRedefine/>
    <w:uiPriority w:val="39"/>
    <w:unhideWhenUsed/>
    <w:rsid w:val="009461D6"/>
    <w:pPr>
      <w:spacing w:after="100"/>
      <w:ind w:left="880"/>
    </w:pPr>
    <w:rPr>
      <w:rFonts w:eastAsiaTheme="minorEastAsia"/>
      <w:noProof w:val="0"/>
      <w:lang w:val="tr-TR" w:eastAsia="tr-TR"/>
    </w:rPr>
  </w:style>
  <w:style w:type="paragraph" w:styleId="T6">
    <w:name w:val="toc 6"/>
    <w:basedOn w:val="Normal"/>
    <w:next w:val="Normal"/>
    <w:autoRedefine/>
    <w:uiPriority w:val="39"/>
    <w:unhideWhenUsed/>
    <w:rsid w:val="009461D6"/>
    <w:pPr>
      <w:spacing w:after="100"/>
      <w:ind w:left="1100"/>
    </w:pPr>
    <w:rPr>
      <w:rFonts w:eastAsiaTheme="minorEastAsia"/>
      <w:noProof w:val="0"/>
      <w:lang w:val="tr-TR" w:eastAsia="tr-TR"/>
    </w:rPr>
  </w:style>
  <w:style w:type="paragraph" w:styleId="T7">
    <w:name w:val="toc 7"/>
    <w:basedOn w:val="Normal"/>
    <w:next w:val="Normal"/>
    <w:autoRedefine/>
    <w:uiPriority w:val="39"/>
    <w:unhideWhenUsed/>
    <w:rsid w:val="009461D6"/>
    <w:pPr>
      <w:spacing w:after="100"/>
      <w:ind w:left="1320"/>
    </w:pPr>
    <w:rPr>
      <w:rFonts w:eastAsiaTheme="minorEastAsia"/>
      <w:noProof w:val="0"/>
      <w:lang w:val="tr-TR" w:eastAsia="tr-TR"/>
    </w:rPr>
  </w:style>
  <w:style w:type="paragraph" w:styleId="T8">
    <w:name w:val="toc 8"/>
    <w:basedOn w:val="Normal"/>
    <w:next w:val="Normal"/>
    <w:autoRedefine/>
    <w:uiPriority w:val="39"/>
    <w:unhideWhenUsed/>
    <w:rsid w:val="009461D6"/>
    <w:pPr>
      <w:spacing w:after="100"/>
      <w:ind w:left="1540"/>
    </w:pPr>
    <w:rPr>
      <w:rFonts w:eastAsiaTheme="minorEastAsia"/>
      <w:noProof w:val="0"/>
      <w:lang w:val="tr-TR" w:eastAsia="tr-TR"/>
    </w:rPr>
  </w:style>
  <w:style w:type="paragraph" w:styleId="T9">
    <w:name w:val="toc 9"/>
    <w:basedOn w:val="Normal"/>
    <w:next w:val="Normal"/>
    <w:autoRedefine/>
    <w:uiPriority w:val="39"/>
    <w:unhideWhenUsed/>
    <w:rsid w:val="009461D6"/>
    <w:pPr>
      <w:spacing w:after="100"/>
      <w:ind w:left="1760"/>
    </w:pPr>
    <w:rPr>
      <w:rFonts w:eastAsiaTheme="minorEastAsia"/>
      <w:noProof w:val="0"/>
      <w:lang w:val="tr-TR" w:eastAsia="tr-TR"/>
    </w:rPr>
  </w:style>
  <w:style w:type="character" w:customStyle="1" w:styleId="UnresolvedMention">
    <w:name w:val="Unresolved Mention"/>
    <w:basedOn w:val="VarsaylanParagrafYazTipi"/>
    <w:uiPriority w:val="99"/>
    <w:semiHidden/>
    <w:unhideWhenUsed/>
    <w:rsid w:val="009461D6"/>
    <w:rPr>
      <w:color w:val="605E5C"/>
      <w:shd w:val="clear" w:color="auto" w:fill="E1DFDD"/>
    </w:rPr>
  </w:style>
  <w:style w:type="paragraph" w:styleId="ekillerTablosu">
    <w:name w:val="table of figures"/>
    <w:basedOn w:val="Normal"/>
    <w:next w:val="Normal"/>
    <w:uiPriority w:val="99"/>
    <w:unhideWhenUsed/>
    <w:rsid w:val="0055522A"/>
    <w:pPr>
      <w:spacing w:after="0"/>
    </w:pPr>
  </w:style>
  <w:style w:type="paragraph" w:styleId="BalonMetni">
    <w:name w:val="Balloon Text"/>
    <w:basedOn w:val="Normal"/>
    <w:link w:val="BalonMetniChar"/>
    <w:uiPriority w:val="99"/>
    <w:semiHidden/>
    <w:unhideWhenUsed/>
    <w:rsid w:val="00D03F3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03F3E"/>
    <w:rPr>
      <w:rFonts w:ascii="Tahoma" w:hAnsi="Tahoma" w:cs="Tahoma"/>
      <w:noProof/>
      <w:sz w:val="16"/>
      <w:szCs w:val="16"/>
    </w:rPr>
  </w:style>
  <w:style w:type="paragraph" w:styleId="DipnotMetni">
    <w:name w:val="footnote text"/>
    <w:basedOn w:val="Normal"/>
    <w:link w:val="DipnotMetniChar"/>
    <w:semiHidden/>
    <w:unhideWhenUsed/>
    <w:rsid w:val="00E55E97"/>
    <w:pPr>
      <w:spacing w:after="0" w:line="240" w:lineRule="auto"/>
    </w:pPr>
    <w:rPr>
      <w:rFonts w:eastAsia="Calibri" w:cs="Times New Roman"/>
      <w:noProof w:val="0"/>
      <w:sz w:val="20"/>
      <w:szCs w:val="20"/>
      <w:lang w:val="tr-TR"/>
    </w:rPr>
  </w:style>
  <w:style w:type="character" w:customStyle="1" w:styleId="DipnotMetniChar">
    <w:name w:val="Dipnot Metni Char"/>
    <w:basedOn w:val="VarsaylanParagrafYazTipi"/>
    <w:link w:val="DipnotMetni"/>
    <w:semiHidden/>
    <w:rsid w:val="00E55E97"/>
    <w:rPr>
      <w:rFonts w:eastAsia="Calibri" w:cs="Times New Roman"/>
      <w:sz w:val="20"/>
      <w:szCs w:val="20"/>
      <w:lang w:val="tr-TR"/>
    </w:rPr>
  </w:style>
  <w:style w:type="character" w:customStyle="1" w:styleId="AltbilgiChar1">
    <w:name w:val="Altbilgi Char1"/>
    <w:basedOn w:val="VarsaylanParagrafYazTipi"/>
    <w:uiPriority w:val="99"/>
    <w:rsid w:val="005F5E6A"/>
    <w:rPr>
      <w:rFonts w:ascii="Calibri" w:eastAsia="Calibri" w:hAnsi="Calibri" w:cs="Times New Roman"/>
    </w:rPr>
  </w:style>
  <w:style w:type="paragraph" w:customStyle="1" w:styleId="metin">
    <w:name w:val="metin"/>
    <w:basedOn w:val="Normal"/>
    <w:rsid w:val="005F5E6A"/>
    <w:pPr>
      <w:spacing w:before="100" w:beforeAutospacing="1" w:after="100" w:afterAutospacing="1" w:line="240" w:lineRule="auto"/>
    </w:pPr>
    <w:rPr>
      <w:rFonts w:ascii="Times New Roman" w:eastAsia="Times New Roman" w:hAnsi="Times New Roman" w:cs="Times New Roman"/>
      <w:noProof w:val="0"/>
      <w:sz w:val="24"/>
      <w:szCs w:val="24"/>
      <w:lang w:val="tr-TR" w:eastAsia="tr-TR"/>
    </w:rPr>
  </w:style>
  <w:style w:type="character" w:customStyle="1" w:styleId="tlid-translation">
    <w:name w:val="tlid-translation"/>
    <w:basedOn w:val="VarsaylanParagrafYazTipi"/>
    <w:rsid w:val="00D91F32"/>
  </w:style>
  <w:style w:type="paragraph" w:styleId="HTMLncedenBiimlendirilmi">
    <w:name w:val="HTML Preformatted"/>
    <w:basedOn w:val="Normal"/>
    <w:link w:val="HTMLncedenBiimlendirilmiChar"/>
    <w:uiPriority w:val="99"/>
    <w:semiHidden/>
    <w:unhideWhenUsed/>
    <w:rsid w:val="001B2DF6"/>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semiHidden/>
    <w:rsid w:val="001B2DF6"/>
    <w:rPr>
      <w:rFonts w:ascii="Consolas" w:hAnsi="Consolas"/>
      <w:noProof/>
      <w:sz w:val="20"/>
      <w:szCs w:val="20"/>
    </w:rPr>
  </w:style>
  <w:style w:type="character" w:customStyle="1" w:styleId="komperdodano">
    <w:name w:val="komperdodano"/>
    <w:basedOn w:val="VarsaylanParagrafYazTipi"/>
    <w:rsid w:val="00C50931"/>
  </w:style>
  <w:style w:type="character" w:styleId="DipnotBavurusu">
    <w:name w:val="footnote reference"/>
    <w:basedOn w:val="VarsaylanParagrafYazTipi"/>
    <w:uiPriority w:val="99"/>
    <w:semiHidden/>
    <w:unhideWhenUsed/>
    <w:rsid w:val="00521D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75822">
      <w:bodyDiv w:val="1"/>
      <w:marLeft w:val="0"/>
      <w:marRight w:val="0"/>
      <w:marTop w:val="0"/>
      <w:marBottom w:val="0"/>
      <w:divBdr>
        <w:top w:val="none" w:sz="0" w:space="0" w:color="auto"/>
        <w:left w:val="none" w:sz="0" w:space="0" w:color="auto"/>
        <w:bottom w:val="none" w:sz="0" w:space="0" w:color="auto"/>
        <w:right w:val="none" w:sz="0" w:space="0" w:color="auto"/>
      </w:divBdr>
      <w:divsChild>
        <w:div w:id="7758024">
          <w:marLeft w:val="0"/>
          <w:marRight w:val="0"/>
          <w:marTop w:val="0"/>
          <w:marBottom w:val="0"/>
          <w:divBdr>
            <w:top w:val="none" w:sz="0" w:space="0" w:color="auto"/>
            <w:left w:val="none" w:sz="0" w:space="0" w:color="auto"/>
            <w:bottom w:val="none" w:sz="0" w:space="0" w:color="auto"/>
            <w:right w:val="none" w:sz="0" w:space="0" w:color="auto"/>
          </w:divBdr>
          <w:divsChild>
            <w:div w:id="295259578">
              <w:marLeft w:val="0"/>
              <w:marRight w:val="0"/>
              <w:marTop w:val="0"/>
              <w:marBottom w:val="0"/>
              <w:divBdr>
                <w:top w:val="none" w:sz="0" w:space="0" w:color="auto"/>
                <w:left w:val="none" w:sz="0" w:space="0" w:color="auto"/>
                <w:bottom w:val="none" w:sz="0" w:space="0" w:color="auto"/>
                <w:right w:val="none" w:sz="0" w:space="0" w:color="auto"/>
              </w:divBdr>
              <w:divsChild>
                <w:div w:id="859197199">
                  <w:marLeft w:val="0"/>
                  <w:marRight w:val="0"/>
                  <w:marTop w:val="0"/>
                  <w:marBottom w:val="0"/>
                  <w:divBdr>
                    <w:top w:val="none" w:sz="0" w:space="0" w:color="auto"/>
                    <w:left w:val="none" w:sz="0" w:space="0" w:color="auto"/>
                    <w:bottom w:val="none" w:sz="0" w:space="0" w:color="auto"/>
                    <w:right w:val="none" w:sz="0" w:space="0" w:color="auto"/>
                  </w:divBdr>
                  <w:divsChild>
                    <w:div w:id="2120904506">
                      <w:marLeft w:val="0"/>
                      <w:marRight w:val="0"/>
                      <w:marTop w:val="0"/>
                      <w:marBottom w:val="0"/>
                      <w:divBdr>
                        <w:top w:val="none" w:sz="0" w:space="0" w:color="auto"/>
                        <w:left w:val="none" w:sz="0" w:space="0" w:color="auto"/>
                        <w:bottom w:val="none" w:sz="0" w:space="0" w:color="auto"/>
                        <w:right w:val="none" w:sz="0" w:space="0" w:color="auto"/>
                      </w:divBdr>
                      <w:divsChild>
                        <w:div w:id="1810398874">
                          <w:marLeft w:val="0"/>
                          <w:marRight w:val="0"/>
                          <w:marTop w:val="0"/>
                          <w:marBottom w:val="0"/>
                          <w:divBdr>
                            <w:top w:val="none" w:sz="0" w:space="0" w:color="auto"/>
                            <w:left w:val="none" w:sz="0" w:space="0" w:color="auto"/>
                            <w:bottom w:val="none" w:sz="0" w:space="0" w:color="auto"/>
                            <w:right w:val="none" w:sz="0" w:space="0" w:color="auto"/>
                          </w:divBdr>
                          <w:divsChild>
                            <w:div w:id="1690180089">
                              <w:marLeft w:val="2700"/>
                              <w:marRight w:val="3960"/>
                              <w:marTop w:val="0"/>
                              <w:marBottom w:val="0"/>
                              <w:divBdr>
                                <w:top w:val="none" w:sz="0" w:space="0" w:color="auto"/>
                                <w:left w:val="none" w:sz="0" w:space="0" w:color="auto"/>
                                <w:bottom w:val="none" w:sz="0" w:space="0" w:color="auto"/>
                                <w:right w:val="none" w:sz="0" w:space="0" w:color="auto"/>
                              </w:divBdr>
                              <w:divsChild>
                                <w:div w:id="901020526">
                                  <w:marLeft w:val="0"/>
                                  <w:marRight w:val="0"/>
                                  <w:marTop w:val="0"/>
                                  <w:marBottom w:val="0"/>
                                  <w:divBdr>
                                    <w:top w:val="none" w:sz="0" w:space="0" w:color="auto"/>
                                    <w:left w:val="none" w:sz="0" w:space="0" w:color="auto"/>
                                    <w:bottom w:val="none" w:sz="0" w:space="0" w:color="auto"/>
                                    <w:right w:val="none" w:sz="0" w:space="0" w:color="auto"/>
                                  </w:divBdr>
                                  <w:divsChild>
                                    <w:div w:id="973218973">
                                      <w:marLeft w:val="0"/>
                                      <w:marRight w:val="0"/>
                                      <w:marTop w:val="0"/>
                                      <w:marBottom w:val="0"/>
                                      <w:divBdr>
                                        <w:top w:val="none" w:sz="0" w:space="0" w:color="auto"/>
                                        <w:left w:val="none" w:sz="0" w:space="0" w:color="auto"/>
                                        <w:bottom w:val="none" w:sz="0" w:space="0" w:color="auto"/>
                                        <w:right w:val="none" w:sz="0" w:space="0" w:color="auto"/>
                                      </w:divBdr>
                                      <w:divsChild>
                                        <w:div w:id="224532400">
                                          <w:marLeft w:val="0"/>
                                          <w:marRight w:val="0"/>
                                          <w:marTop w:val="0"/>
                                          <w:marBottom w:val="0"/>
                                          <w:divBdr>
                                            <w:top w:val="none" w:sz="0" w:space="0" w:color="auto"/>
                                            <w:left w:val="none" w:sz="0" w:space="0" w:color="auto"/>
                                            <w:bottom w:val="none" w:sz="0" w:space="0" w:color="auto"/>
                                            <w:right w:val="none" w:sz="0" w:space="0" w:color="auto"/>
                                          </w:divBdr>
                                          <w:divsChild>
                                            <w:div w:id="207841805">
                                              <w:marLeft w:val="0"/>
                                              <w:marRight w:val="0"/>
                                              <w:marTop w:val="90"/>
                                              <w:marBottom w:val="0"/>
                                              <w:divBdr>
                                                <w:top w:val="none" w:sz="0" w:space="0" w:color="auto"/>
                                                <w:left w:val="none" w:sz="0" w:space="0" w:color="auto"/>
                                                <w:bottom w:val="none" w:sz="0" w:space="0" w:color="auto"/>
                                                <w:right w:val="none" w:sz="0" w:space="0" w:color="auto"/>
                                              </w:divBdr>
                                              <w:divsChild>
                                                <w:div w:id="77411218">
                                                  <w:marLeft w:val="0"/>
                                                  <w:marRight w:val="0"/>
                                                  <w:marTop w:val="0"/>
                                                  <w:marBottom w:val="405"/>
                                                  <w:divBdr>
                                                    <w:top w:val="none" w:sz="0" w:space="0" w:color="auto"/>
                                                    <w:left w:val="none" w:sz="0" w:space="0" w:color="auto"/>
                                                    <w:bottom w:val="none" w:sz="0" w:space="0" w:color="auto"/>
                                                    <w:right w:val="none" w:sz="0" w:space="0" w:color="auto"/>
                                                  </w:divBdr>
                                                  <w:divsChild>
                                                    <w:div w:id="238832879">
                                                      <w:marLeft w:val="0"/>
                                                      <w:marRight w:val="0"/>
                                                      <w:marTop w:val="0"/>
                                                      <w:marBottom w:val="0"/>
                                                      <w:divBdr>
                                                        <w:top w:val="none" w:sz="0" w:space="0" w:color="auto"/>
                                                        <w:left w:val="none" w:sz="0" w:space="0" w:color="auto"/>
                                                        <w:bottom w:val="none" w:sz="0" w:space="0" w:color="auto"/>
                                                        <w:right w:val="none" w:sz="0" w:space="0" w:color="auto"/>
                                                      </w:divBdr>
                                                      <w:divsChild>
                                                        <w:div w:id="230576497">
                                                          <w:marLeft w:val="0"/>
                                                          <w:marRight w:val="0"/>
                                                          <w:marTop w:val="0"/>
                                                          <w:marBottom w:val="0"/>
                                                          <w:divBdr>
                                                            <w:top w:val="single" w:sz="6" w:space="0" w:color="DFE1E5"/>
                                                            <w:left w:val="single" w:sz="6" w:space="0" w:color="DFE1E5"/>
                                                            <w:bottom w:val="single" w:sz="6" w:space="0" w:color="DFE1E5"/>
                                                            <w:right w:val="single" w:sz="6" w:space="0" w:color="DFE1E5"/>
                                                          </w:divBdr>
                                                          <w:divsChild>
                                                            <w:div w:id="569194620">
                                                              <w:marLeft w:val="0"/>
                                                              <w:marRight w:val="0"/>
                                                              <w:marTop w:val="0"/>
                                                              <w:marBottom w:val="0"/>
                                                              <w:divBdr>
                                                                <w:top w:val="none" w:sz="0" w:space="0" w:color="auto"/>
                                                                <w:left w:val="none" w:sz="0" w:space="0" w:color="auto"/>
                                                                <w:bottom w:val="none" w:sz="0" w:space="0" w:color="auto"/>
                                                                <w:right w:val="none" w:sz="0" w:space="0" w:color="auto"/>
                                                              </w:divBdr>
                                                              <w:divsChild>
                                                                <w:div w:id="1053887620">
                                                                  <w:marLeft w:val="0"/>
                                                                  <w:marRight w:val="0"/>
                                                                  <w:marTop w:val="0"/>
                                                                  <w:marBottom w:val="0"/>
                                                                  <w:divBdr>
                                                                    <w:top w:val="none" w:sz="0" w:space="0" w:color="auto"/>
                                                                    <w:left w:val="none" w:sz="0" w:space="0" w:color="auto"/>
                                                                    <w:bottom w:val="none" w:sz="0" w:space="0" w:color="auto"/>
                                                                    <w:right w:val="none" w:sz="0" w:space="0" w:color="auto"/>
                                                                  </w:divBdr>
                                                                  <w:divsChild>
                                                                    <w:div w:id="1985812670">
                                                                      <w:marLeft w:val="0"/>
                                                                      <w:marRight w:val="0"/>
                                                                      <w:marTop w:val="0"/>
                                                                      <w:marBottom w:val="0"/>
                                                                      <w:divBdr>
                                                                        <w:top w:val="none" w:sz="0" w:space="0" w:color="auto"/>
                                                                        <w:left w:val="none" w:sz="0" w:space="0" w:color="auto"/>
                                                                        <w:bottom w:val="none" w:sz="0" w:space="0" w:color="auto"/>
                                                                        <w:right w:val="none" w:sz="0" w:space="0" w:color="auto"/>
                                                                      </w:divBdr>
                                                                      <w:divsChild>
                                                                        <w:div w:id="222763927">
                                                                          <w:marLeft w:val="0"/>
                                                                          <w:marRight w:val="0"/>
                                                                          <w:marTop w:val="0"/>
                                                                          <w:marBottom w:val="0"/>
                                                                          <w:divBdr>
                                                                            <w:top w:val="none" w:sz="0" w:space="0" w:color="auto"/>
                                                                            <w:left w:val="none" w:sz="0" w:space="0" w:color="auto"/>
                                                                            <w:bottom w:val="none" w:sz="0" w:space="0" w:color="auto"/>
                                                                            <w:right w:val="none" w:sz="0" w:space="0" w:color="auto"/>
                                                                          </w:divBdr>
                                                                          <w:divsChild>
                                                                            <w:div w:id="1012531550">
                                                                              <w:marLeft w:val="0"/>
                                                                              <w:marRight w:val="0"/>
                                                                              <w:marTop w:val="0"/>
                                                                              <w:marBottom w:val="0"/>
                                                                              <w:divBdr>
                                                                                <w:top w:val="none" w:sz="0" w:space="0" w:color="auto"/>
                                                                                <w:left w:val="none" w:sz="0" w:space="0" w:color="auto"/>
                                                                                <w:bottom w:val="none" w:sz="0" w:space="0" w:color="auto"/>
                                                                                <w:right w:val="none" w:sz="0" w:space="0" w:color="auto"/>
                                                                              </w:divBdr>
                                                                              <w:divsChild>
                                                                                <w:div w:id="1325812990">
                                                                                  <w:marLeft w:val="0"/>
                                                                                  <w:marRight w:val="0"/>
                                                                                  <w:marTop w:val="0"/>
                                                                                  <w:marBottom w:val="0"/>
                                                                                  <w:divBdr>
                                                                                    <w:top w:val="none" w:sz="0" w:space="0" w:color="auto"/>
                                                                                    <w:left w:val="none" w:sz="0" w:space="0" w:color="auto"/>
                                                                                    <w:bottom w:val="none" w:sz="0" w:space="0" w:color="auto"/>
                                                                                    <w:right w:val="none" w:sz="0" w:space="0" w:color="auto"/>
                                                                                  </w:divBdr>
                                                                                  <w:divsChild>
                                                                                    <w:div w:id="20468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460433">
      <w:bodyDiv w:val="1"/>
      <w:marLeft w:val="0"/>
      <w:marRight w:val="0"/>
      <w:marTop w:val="0"/>
      <w:marBottom w:val="0"/>
      <w:divBdr>
        <w:top w:val="none" w:sz="0" w:space="0" w:color="auto"/>
        <w:left w:val="none" w:sz="0" w:space="0" w:color="auto"/>
        <w:bottom w:val="none" w:sz="0" w:space="0" w:color="auto"/>
        <w:right w:val="none" w:sz="0" w:space="0" w:color="auto"/>
      </w:divBdr>
      <w:divsChild>
        <w:div w:id="681323890">
          <w:marLeft w:val="0"/>
          <w:marRight w:val="0"/>
          <w:marTop w:val="0"/>
          <w:marBottom w:val="0"/>
          <w:divBdr>
            <w:top w:val="none" w:sz="0" w:space="0" w:color="auto"/>
            <w:left w:val="none" w:sz="0" w:space="0" w:color="auto"/>
            <w:bottom w:val="none" w:sz="0" w:space="0" w:color="auto"/>
            <w:right w:val="none" w:sz="0" w:space="0" w:color="auto"/>
          </w:divBdr>
          <w:divsChild>
            <w:div w:id="369650743">
              <w:marLeft w:val="0"/>
              <w:marRight w:val="0"/>
              <w:marTop w:val="0"/>
              <w:marBottom w:val="0"/>
              <w:divBdr>
                <w:top w:val="none" w:sz="0" w:space="0" w:color="auto"/>
                <w:left w:val="none" w:sz="0" w:space="0" w:color="auto"/>
                <w:bottom w:val="none" w:sz="0" w:space="0" w:color="auto"/>
                <w:right w:val="none" w:sz="0" w:space="0" w:color="auto"/>
              </w:divBdr>
              <w:divsChild>
                <w:div w:id="119080511">
                  <w:marLeft w:val="0"/>
                  <w:marRight w:val="0"/>
                  <w:marTop w:val="0"/>
                  <w:marBottom w:val="0"/>
                  <w:divBdr>
                    <w:top w:val="none" w:sz="0" w:space="0" w:color="auto"/>
                    <w:left w:val="none" w:sz="0" w:space="0" w:color="auto"/>
                    <w:bottom w:val="none" w:sz="0" w:space="0" w:color="auto"/>
                    <w:right w:val="none" w:sz="0" w:space="0" w:color="auto"/>
                  </w:divBdr>
                  <w:divsChild>
                    <w:div w:id="1797214797">
                      <w:marLeft w:val="0"/>
                      <w:marRight w:val="0"/>
                      <w:marTop w:val="0"/>
                      <w:marBottom w:val="0"/>
                      <w:divBdr>
                        <w:top w:val="none" w:sz="0" w:space="0" w:color="auto"/>
                        <w:left w:val="none" w:sz="0" w:space="0" w:color="auto"/>
                        <w:bottom w:val="none" w:sz="0" w:space="0" w:color="auto"/>
                        <w:right w:val="none" w:sz="0" w:space="0" w:color="auto"/>
                      </w:divBdr>
                      <w:divsChild>
                        <w:div w:id="583497592">
                          <w:marLeft w:val="0"/>
                          <w:marRight w:val="0"/>
                          <w:marTop w:val="0"/>
                          <w:marBottom w:val="0"/>
                          <w:divBdr>
                            <w:top w:val="none" w:sz="0" w:space="0" w:color="auto"/>
                            <w:left w:val="none" w:sz="0" w:space="0" w:color="auto"/>
                            <w:bottom w:val="none" w:sz="0" w:space="0" w:color="auto"/>
                            <w:right w:val="none" w:sz="0" w:space="0" w:color="auto"/>
                          </w:divBdr>
                          <w:divsChild>
                            <w:div w:id="240797892">
                              <w:marLeft w:val="2700"/>
                              <w:marRight w:val="3960"/>
                              <w:marTop w:val="0"/>
                              <w:marBottom w:val="0"/>
                              <w:divBdr>
                                <w:top w:val="none" w:sz="0" w:space="0" w:color="auto"/>
                                <w:left w:val="none" w:sz="0" w:space="0" w:color="auto"/>
                                <w:bottom w:val="none" w:sz="0" w:space="0" w:color="auto"/>
                                <w:right w:val="none" w:sz="0" w:space="0" w:color="auto"/>
                              </w:divBdr>
                              <w:divsChild>
                                <w:div w:id="1376273727">
                                  <w:marLeft w:val="0"/>
                                  <w:marRight w:val="0"/>
                                  <w:marTop w:val="0"/>
                                  <w:marBottom w:val="0"/>
                                  <w:divBdr>
                                    <w:top w:val="none" w:sz="0" w:space="0" w:color="auto"/>
                                    <w:left w:val="none" w:sz="0" w:space="0" w:color="auto"/>
                                    <w:bottom w:val="none" w:sz="0" w:space="0" w:color="auto"/>
                                    <w:right w:val="none" w:sz="0" w:space="0" w:color="auto"/>
                                  </w:divBdr>
                                  <w:divsChild>
                                    <w:div w:id="27151217">
                                      <w:marLeft w:val="0"/>
                                      <w:marRight w:val="0"/>
                                      <w:marTop w:val="0"/>
                                      <w:marBottom w:val="0"/>
                                      <w:divBdr>
                                        <w:top w:val="none" w:sz="0" w:space="0" w:color="auto"/>
                                        <w:left w:val="none" w:sz="0" w:space="0" w:color="auto"/>
                                        <w:bottom w:val="none" w:sz="0" w:space="0" w:color="auto"/>
                                        <w:right w:val="none" w:sz="0" w:space="0" w:color="auto"/>
                                      </w:divBdr>
                                      <w:divsChild>
                                        <w:div w:id="1496606774">
                                          <w:marLeft w:val="0"/>
                                          <w:marRight w:val="0"/>
                                          <w:marTop w:val="0"/>
                                          <w:marBottom w:val="0"/>
                                          <w:divBdr>
                                            <w:top w:val="none" w:sz="0" w:space="0" w:color="auto"/>
                                            <w:left w:val="none" w:sz="0" w:space="0" w:color="auto"/>
                                            <w:bottom w:val="none" w:sz="0" w:space="0" w:color="auto"/>
                                            <w:right w:val="none" w:sz="0" w:space="0" w:color="auto"/>
                                          </w:divBdr>
                                          <w:divsChild>
                                            <w:div w:id="791902702">
                                              <w:marLeft w:val="0"/>
                                              <w:marRight w:val="0"/>
                                              <w:marTop w:val="90"/>
                                              <w:marBottom w:val="0"/>
                                              <w:divBdr>
                                                <w:top w:val="none" w:sz="0" w:space="0" w:color="auto"/>
                                                <w:left w:val="none" w:sz="0" w:space="0" w:color="auto"/>
                                                <w:bottom w:val="none" w:sz="0" w:space="0" w:color="auto"/>
                                                <w:right w:val="none" w:sz="0" w:space="0" w:color="auto"/>
                                              </w:divBdr>
                                              <w:divsChild>
                                                <w:div w:id="1967274116">
                                                  <w:marLeft w:val="0"/>
                                                  <w:marRight w:val="0"/>
                                                  <w:marTop w:val="0"/>
                                                  <w:marBottom w:val="405"/>
                                                  <w:divBdr>
                                                    <w:top w:val="none" w:sz="0" w:space="0" w:color="auto"/>
                                                    <w:left w:val="none" w:sz="0" w:space="0" w:color="auto"/>
                                                    <w:bottom w:val="none" w:sz="0" w:space="0" w:color="auto"/>
                                                    <w:right w:val="none" w:sz="0" w:space="0" w:color="auto"/>
                                                  </w:divBdr>
                                                  <w:divsChild>
                                                    <w:div w:id="567496803">
                                                      <w:marLeft w:val="0"/>
                                                      <w:marRight w:val="0"/>
                                                      <w:marTop w:val="0"/>
                                                      <w:marBottom w:val="0"/>
                                                      <w:divBdr>
                                                        <w:top w:val="none" w:sz="0" w:space="0" w:color="auto"/>
                                                        <w:left w:val="none" w:sz="0" w:space="0" w:color="auto"/>
                                                        <w:bottom w:val="none" w:sz="0" w:space="0" w:color="auto"/>
                                                        <w:right w:val="none" w:sz="0" w:space="0" w:color="auto"/>
                                                      </w:divBdr>
                                                      <w:divsChild>
                                                        <w:div w:id="1796371205">
                                                          <w:marLeft w:val="0"/>
                                                          <w:marRight w:val="0"/>
                                                          <w:marTop w:val="0"/>
                                                          <w:marBottom w:val="0"/>
                                                          <w:divBdr>
                                                            <w:top w:val="single" w:sz="6" w:space="0" w:color="DFE1E5"/>
                                                            <w:left w:val="single" w:sz="6" w:space="0" w:color="DFE1E5"/>
                                                            <w:bottom w:val="single" w:sz="6" w:space="0" w:color="DFE1E5"/>
                                                            <w:right w:val="single" w:sz="6" w:space="0" w:color="DFE1E5"/>
                                                          </w:divBdr>
                                                          <w:divsChild>
                                                            <w:div w:id="242035631">
                                                              <w:marLeft w:val="0"/>
                                                              <w:marRight w:val="0"/>
                                                              <w:marTop w:val="0"/>
                                                              <w:marBottom w:val="0"/>
                                                              <w:divBdr>
                                                                <w:top w:val="none" w:sz="0" w:space="0" w:color="auto"/>
                                                                <w:left w:val="none" w:sz="0" w:space="0" w:color="auto"/>
                                                                <w:bottom w:val="none" w:sz="0" w:space="0" w:color="auto"/>
                                                                <w:right w:val="none" w:sz="0" w:space="0" w:color="auto"/>
                                                              </w:divBdr>
                                                              <w:divsChild>
                                                                <w:div w:id="1362627422">
                                                                  <w:marLeft w:val="0"/>
                                                                  <w:marRight w:val="0"/>
                                                                  <w:marTop w:val="0"/>
                                                                  <w:marBottom w:val="0"/>
                                                                  <w:divBdr>
                                                                    <w:top w:val="none" w:sz="0" w:space="0" w:color="auto"/>
                                                                    <w:left w:val="none" w:sz="0" w:space="0" w:color="auto"/>
                                                                    <w:bottom w:val="none" w:sz="0" w:space="0" w:color="auto"/>
                                                                    <w:right w:val="none" w:sz="0" w:space="0" w:color="auto"/>
                                                                  </w:divBdr>
                                                                  <w:divsChild>
                                                                    <w:div w:id="1326205903">
                                                                      <w:marLeft w:val="0"/>
                                                                      <w:marRight w:val="0"/>
                                                                      <w:marTop w:val="0"/>
                                                                      <w:marBottom w:val="0"/>
                                                                      <w:divBdr>
                                                                        <w:top w:val="none" w:sz="0" w:space="0" w:color="auto"/>
                                                                        <w:left w:val="none" w:sz="0" w:space="0" w:color="auto"/>
                                                                        <w:bottom w:val="none" w:sz="0" w:space="0" w:color="auto"/>
                                                                        <w:right w:val="none" w:sz="0" w:space="0" w:color="auto"/>
                                                                      </w:divBdr>
                                                                      <w:divsChild>
                                                                        <w:div w:id="649209087">
                                                                          <w:marLeft w:val="0"/>
                                                                          <w:marRight w:val="0"/>
                                                                          <w:marTop w:val="0"/>
                                                                          <w:marBottom w:val="0"/>
                                                                          <w:divBdr>
                                                                            <w:top w:val="none" w:sz="0" w:space="0" w:color="auto"/>
                                                                            <w:left w:val="none" w:sz="0" w:space="0" w:color="auto"/>
                                                                            <w:bottom w:val="none" w:sz="0" w:space="0" w:color="auto"/>
                                                                            <w:right w:val="none" w:sz="0" w:space="0" w:color="auto"/>
                                                                          </w:divBdr>
                                                                          <w:divsChild>
                                                                            <w:div w:id="459349028">
                                                                              <w:marLeft w:val="0"/>
                                                                              <w:marRight w:val="0"/>
                                                                              <w:marTop w:val="0"/>
                                                                              <w:marBottom w:val="0"/>
                                                                              <w:divBdr>
                                                                                <w:top w:val="none" w:sz="0" w:space="0" w:color="auto"/>
                                                                                <w:left w:val="none" w:sz="0" w:space="0" w:color="auto"/>
                                                                                <w:bottom w:val="none" w:sz="0" w:space="0" w:color="auto"/>
                                                                                <w:right w:val="none" w:sz="0" w:space="0" w:color="auto"/>
                                                                              </w:divBdr>
                                                                              <w:divsChild>
                                                                                <w:div w:id="738862747">
                                                                                  <w:marLeft w:val="0"/>
                                                                                  <w:marRight w:val="0"/>
                                                                                  <w:marTop w:val="0"/>
                                                                                  <w:marBottom w:val="0"/>
                                                                                  <w:divBdr>
                                                                                    <w:top w:val="none" w:sz="0" w:space="0" w:color="auto"/>
                                                                                    <w:left w:val="none" w:sz="0" w:space="0" w:color="auto"/>
                                                                                    <w:bottom w:val="none" w:sz="0" w:space="0" w:color="auto"/>
                                                                                    <w:right w:val="none" w:sz="0" w:space="0" w:color="auto"/>
                                                                                  </w:divBdr>
                                                                                  <w:divsChild>
                                                                                    <w:div w:id="10650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431478">
      <w:bodyDiv w:val="1"/>
      <w:marLeft w:val="0"/>
      <w:marRight w:val="0"/>
      <w:marTop w:val="0"/>
      <w:marBottom w:val="0"/>
      <w:divBdr>
        <w:top w:val="none" w:sz="0" w:space="0" w:color="auto"/>
        <w:left w:val="none" w:sz="0" w:space="0" w:color="auto"/>
        <w:bottom w:val="none" w:sz="0" w:space="0" w:color="auto"/>
        <w:right w:val="none" w:sz="0" w:space="0" w:color="auto"/>
      </w:divBdr>
      <w:divsChild>
        <w:div w:id="596139084">
          <w:marLeft w:val="0"/>
          <w:marRight w:val="0"/>
          <w:marTop w:val="0"/>
          <w:marBottom w:val="0"/>
          <w:divBdr>
            <w:top w:val="none" w:sz="0" w:space="0" w:color="auto"/>
            <w:left w:val="none" w:sz="0" w:space="0" w:color="auto"/>
            <w:bottom w:val="none" w:sz="0" w:space="0" w:color="auto"/>
            <w:right w:val="none" w:sz="0" w:space="0" w:color="auto"/>
          </w:divBdr>
          <w:divsChild>
            <w:div w:id="1582643001">
              <w:marLeft w:val="0"/>
              <w:marRight w:val="0"/>
              <w:marTop w:val="0"/>
              <w:marBottom w:val="0"/>
              <w:divBdr>
                <w:top w:val="none" w:sz="0" w:space="0" w:color="auto"/>
                <w:left w:val="none" w:sz="0" w:space="0" w:color="auto"/>
                <w:bottom w:val="none" w:sz="0" w:space="0" w:color="auto"/>
                <w:right w:val="none" w:sz="0" w:space="0" w:color="auto"/>
              </w:divBdr>
              <w:divsChild>
                <w:div w:id="1009672675">
                  <w:marLeft w:val="0"/>
                  <w:marRight w:val="0"/>
                  <w:marTop w:val="0"/>
                  <w:marBottom w:val="0"/>
                  <w:divBdr>
                    <w:top w:val="none" w:sz="0" w:space="0" w:color="auto"/>
                    <w:left w:val="none" w:sz="0" w:space="0" w:color="auto"/>
                    <w:bottom w:val="none" w:sz="0" w:space="0" w:color="auto"/>
                    <w:right w:val="none" w:sz="0" w:space="0" w:color="auto"/>
                  </w:divBdr>
                  <w:divsChild>
                    <w:div w:id="273367450">
                      <w:marLeft w:val="0"/>
                      <w:marRight w:val="0"/>
                      <w:marTop w:val="0"/>
                      <w:marBottom w:val="0"/>
                      <w:divBdr>
                        <w:top w:val="none" w:sz="0" w:space="0" w:color="auto"/>
                        <w:left w:val="none" w:sz="0" w:space="0" w:color="auto"/>
                        <w:bottom w:val="none" w:sz="0" w:space="0" w:color="auto"/>
                        <w:right w:val="none" w:sz="0" w:space="0" w:color="auto"/>
                      </w:divBdr>
                      <w:divsChild>
                        <w:div w:id="1247575242">
                          <w:marLeft w:val="0"/>
                          <w:marRight w:val="0"/>
                          <w:marTop w:val="0"/>
                          <w:marBottom w:val="0"/>
                          <w:divBdr>
                            <w:top w:val="none" w:sz="0" w:space="0" w:color="auto"/>
                            <w:left w:val="none" w:sz="0" w:space="0" w:color="auto"/>
                            <w:bottom w:val="none" w:sz="0" w:space="0" w:color="auto"/>
                            <w:right w:val="none" w:sz="0" w:space="0" w:color="auto"/>
                          </w:divBdr>
                          <w:divsChild>
                            <w:div w:id="1257245545">
                              <w:marLeft w:val="2700"/>
                              <w:marRight w:val="3960"/>
                              <w:marTop w:val="0"/>
                              <w:marBottom w:val="0"/>
                              <w:divBdr>
                                <w:top w:val="none" w:sz="0" w:space="0" w:color="auto"/>
                                <w:left w:val="none" w:sz="0" w:space="0" w:color="auto"/>
                                <w:bottom w:val="none" w:sz="0" w:space="0" w:color="auto"/>
                                <w:right w:val="none" w:sz="0" w:space="0" w:color="auto"/>
                              </w:divBdr>
                              <w:divsChild>
                                <w:div w:id="204878900">
                                  <w:marLeft w:val="0"/>
                                  <w:marRight w:val="0"/>
                                  <w:marTop w:val="0"/>
                                  <w:marBottom w:val="0"/>
                                  <w:divBdr>
                                    <w:top w:val="none" w:sz="0" w:space="0" w:color="auto"/>
                                    <w:left w:val="none" w:sz="0" w:space="0" w:color="auto"/>
                                    <w:bottom w:val="none" w:sz="0" w:space="0" w:color="auto"/>
                                    <w:right w:val="none" w:sz="0" w:space="0" w:color="auto"/>
                                  </w:divBdr>
                                  <w:divsChild>
                                    <w:div w:id="361175572">
                                      <w:marLeft w:val="0"/>
                                      <w:marRight w:val="0"/>
                                      <w:marTop w:val="0"/>
                                      <w:marBottom w:val="0"/>
                                      <w:divBdr>
                                        <w:top w:val="none" w:sz="0" w:space="0" w:color="auto"/>
                                        <w:left w:val="none" w:sz="0" w:space="0" w:color="auto"/>
                                        <w:bottom w:val="none" w:sz="0" w:space="0" w:color="auto"/>
                                        <w:right w:val="none" w:sz="0" w:space="0" w:color="auto"/>
                                      </w:divBdr>
                                      <w:divsChild>
                                        <w:div w:id="1937059443">
                                          <w:marLeft w:val="0"/>
                                          <w:marRight w:val="0"/>
                                          <w:marTop w:val="0"/>
                                          <w:marBottom w:val="0"/>
                                          <w:divBdr>
                                            <w:top w:val="none" w:sz="0" w:space="0" w:color="auto"/>
                                            <w:left w:val="none" w:sz="0" w:space="0" w:color="auto"/>
                                            <w:bottom w:val="none" w:sz="0" w:space="0" w:color="auto"/>
                                            <w:right w:val="none" w:sz="0" w:space="0" w:color="auto"/>
                                          </w:divBdr>
                                          <w:divsChild>
                                            <w:div w:id="1640301031">
                                              <w:marLeft w:val="0"/>
                                              <w:marRight w:val="0"/>
                                              <w:marTop w:val="90"/>
                                              <w:marBottom w:val="0"/>
                                              <w:divBdr>
                                                <w:top w:val="none" w:sz="0" w:space="0" w:color="auto"/>
                                                <w:left w:val="none" w:sz="0" w:space="0" w:color="auto"/>
                                                <w:bottom w:val="none" w:sz="0" w:space="0" w:color="auto"/>
                                                <w:right w:val="none" w:sz="0" w:space="0" w:color="auto"/>
                                              </w:divBdr>
                                              <w:divsChild>
                                                <w:div w:id="1346906814">
                                                  <w:marLeft w:val="0"/>
                                                  <w:marRight w:val="0"/>
                                                  <w:marTop w:val="0"/>
                                                  <w:marBottom w:val="405"/>
                                                  <w:divBdr>
                                                    <w:top w:val="none" w:sz="0" w:space="0" w:color="auto"/>
                                                    <w:left w:val="none" w:sz="0" w:space="0" w:color="auto"/>
                                                    <w:bottom w:val="none" w:sz="0" w:space="0" w:color="auto"/>
                                                    <w:right w:val="none" w:sz="0" w:space="0" w:color="auto"/>
                                                  </w:divBdr>
                                                  <w:divsChild>
                                                    <w:div w:id="1660838811">
                                                      <w:marLeft w:val="0"/>
                                                      <w:marRight w:val="0"/>
                                                      <w:marTop w:val="0"/>
                                                      <w:marBottom w:val="0"/>
                                                      <w:divBdr>
                                                        <w:top w:val="none" w:sz="0" w:space="0" w:color="auto"/>
                                                        <w:left w:val="none" w:sz="0" w:space="0" w:color="auto"/>
                                                        <w:bottom w:val="none" w:sz="0" w:space="0" w:color="auto"/>
                                                        <w:right w:val="none" w:sz="0" w:space="0" w:color="auto"/>
                                                      </w:divBdr>
                                                      <w:divsChild>
                                                        <w:div w:id="317542268">
                                                          <w:marLeft w:val="0"/>
                                                          <w:marRight w:val="0"/>
                                                          <w:marTop w:val="0"/>
                                                          <w:marBottom w:val="0"/>
                                                          <w:divBdr>
                                                            <w:top w:val="single" w:sz="6" w:space="0" w:color="DFE1E5"/>
                                                            <w:left w:val="single" w:sz="6" w:space="0" w:color="DFE1E5"/>
                                                            <w:bottom w:val="single" w:sz="6" w:space="0" w:color="DFE1E5"/>
                                                            <w:right w:val="single" w:sz="6" w:space="0" w:color="DFE1E5"/>
                                                          </w:divBdr>
                                                          <w:divsChild>
                                                            <w:div w:id="1522205186">
                                                              <w:marLeft w:val="0"/>
                                                              <w:marRight w:val="0"/>
                                                              <w:marTop w:val="0"/>
                                                              <w:marBottom w:val="0"/>
                                                              <w:divBdr>
                                                                <w:top w:val="none" w:sz="0" w:space="0" w:color="auto"/>
                                                                <w:left w:val="none" w:sz="0" w:space="0" w:color="auto"/>
                                                                <w:bottom w:val="none" w:sz="0" w:space="0" w:color="auto"/>
                                                                <w:right w:val="none" w:sz="0" w:space="0" w:color="auto"/>
                                                              </w:divBdr>
                                                              <w:divsChild>
                                                                <w:div w:id="932277511">
                                                                  <w:marLeft w:val="0"/>
                                                                  <w:marRight w:val="0"/>
                                                                  <w:marTop w:val="0"/>
                                                                  <w:marBottom w:val="0"/>
                                                                  <w:divBdr>
                                                                    <w:top w:val="none" w:sz="0" w:space="0" w:color="auto"/>
                                                                    <w:left w:val="none" w:sz="0" w:space="0" w:color="auto"/>
                                                                    <w:bottom w:val="none" w:sz="0" w:space="0" w:color="auto"/>
                                                                    <w:right w:val="none" w:sz="0" w:space="0" w:color="auto"/>
                                                                  </w:divBdr>
                                                                  <w:divsChild>
                                                                    <w:div w:id="426926021">
                                                                      <w:marLeft w:val="0"/>
                                                                      <w:marRight w:val="0"/>
                                                                      <w:marTop w:val="0"/>
                                                                      <w:marBottom w:val="0"/>
                                                                      <w:divBdr>
                                                                        <w:top w:val="none" w:sz="0" w:space="0" w:color="auto"/>
                                                                        <w:left w:val="none" w:sz="0" w:space="0" w:color="auto"/>
                                                                        <w:bottom w:val="none" w:sz="0" w:space="0" w:color="auto"/>
                                                                        <w:right w:val="none" w:sz="0" w:space="0" w:color="auto"/>
                                                                      </w:divBdr>
                                                                      <w:divsChild>
                                                                        <w:div w:id="742873158">
                                                                          <w:marLeft w:val="0"/>
                                                                          <w:marRight w:val="0"/>
                                                                          <w:marTop w:val="0"/>
                                                                          <w:marBottom w:val="0"/>
                                                                          <w:divBdr>
                                                                            <w:top w:val="none" w:sz="0" w:space="0" w:color="auto"/>
                                                                            <w:left w:val="none" w:sz="0" w:space="0" w:color="auto"/>
                                                                            <w:bottom w:val="none" w:sz="0" w:space="0" w:color="auto"/>
                                                                            <w:right w:val="none" w:sz="0" w:space="0" w:color="auto"/>
                                                                          </w:divBdr>
                                                                          <w:divsChild>
                                                                            <w:div w:id="2060468550">
                                                                              <w:marLeft w:val="0"/>
                                                                              <w:marRight w:val="0"/>
                                                                              <w:marTop w:val="0"/>
                                                                              <w:marBottom w:val="0"/>
                                                                              <w:divBdr>
                                                                                <w:top w:val="none" w:sz="0" w:space="0" w:color="auto"/>
                                                                                <w:left w:val="none" w:sz="0" w:space="0" w:color="auto"/>
                                                                                <w:bottom w:val="none" w:sz="0" w:space="0" w:color="auto"/>
                                                                                <w:right w:val="none" w:sz="0" w:space="0" w:color="auto"/>
                                                                              </w:divBdr>
                                                                              <w:divsChild>
                                                                                <w:div w:id="1371145493">
                                                                                  <w:marLeft w:val="0"/>
                                                                                  <w:marRight w:val="0"/>
                                                                                  <w:marTop w:val="0"/>
                                                                                  <w:marBottom w:val="0"/>
                                                                                  <w:divBdr>
                                                                                    <w:top w:val="none" w:sz="0" w:space="0" w:color="auto"/>
                                                                                    <w:left w:val="none" w:sz="0" w:space="0" w:color="auto"/>
                                                                                    <w:bottom w:val="none" w:sz="0" w:space="0" w:color="auto"/>
                                                                                    <w:right w:val="none" w:sz="0" w:space="0" w:color="auto"/>
                                                                                  </w:divBdr>
                                                                                  <w:divsChild>
                                                                                    <w:div w:id="159739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48380">
      <w:bodyDiv w:val="1"/>
      <w:marLeft w:val="0"/>
      <w:marRight w:val="0"/>
      <w:marTop w:val="0"/>
      <w:marBottom w:val="0"/>
      <w:divBdr>
        <w:top w:val="none" w:sz="0" w:space="0" w:color="auto"/>
        <w:left w:val="none" w:sz="0" w:space="0" w:color="auto"/>
        <w:bottom w:val="none" w:sz="0" w:space="0" w:color="auto"/>
        <w:right w:val="none" w:sz="0" w:space="0" w:color="auto"/>
      </w:divBdr>
      <w:divsChild>
        <w:div w:id="1728140110">
          <w:marLeft w:val="0"/>
          <w:marRight w:val="0"/>
          <w:marTop w:val="0"/>
          <w:marBottom w:val="0"/>
          <w:divBdr>
            <w:top w:val="none" w:sz="0" w:space="0" w:color="auto"/>
            <w:left w:val="none" w:sz="0" w:space="0" w:color="auto"/>
            <w:bottom w:val="none" w:sz="0" w:space="0" w:color="auto"/>
            <w:right w:val="none" w:sz="0" w:space="0" w:color="auto"/>
          </w:divBdr>
          <w:divsChild>
            <w:div w:id="2140684609">
              <w:marLeft w:val="0"/>
              <w:marRight w:val="0"/>
              <w:marTop w:val="0"/>
              <w:marBottom w:val="0"/>
              <w:divBdr>
                <w:top w:val="none" w:sz="0" w:space="0" w:color="auto"/>
                <w:left w:val="none" w:sz="0" w:space="0" w:color="auto"/>
                <w:bottom w:val="none" w:sz="0" w:space="0" w:color="auto"/>
                <w:right w:val="none" w:sz="0" w:space="0" w:color="auto"/>
              </w:divBdr>
              <w:divsChild>
                <w:div w:id="1020551872">
                  <w:marLeft w:val="0"/>
                  <w:marRight w:val="0"/>
                  <w:marTop w:val="0"/>
                  <w:marBottom w:val="0"/>
                  <w:divBdr>
                    <w:top w:val="none" w:sz="0" w:space="0" w:color="auto"/>
                    <w:left w:val="none" w:sz="0" w:space="0" w:color="auto"/>
                    <w:bottom w:val="none" w:sz="0" w:space="0" w:color="auto"/>
                    <w:right w:val="none" w:sz="0" w:space="0" w:color="auto"/>
                  </w:divBdr>
                  <w:divsChild>
                    <w:div w:id="2058314130">
                      <w:marLeft w:val="0"/>
                      <w:marRight w:val="0"/>
                      <w:marTop w:val="0"/>
                      <w:marBottom w:val="0"/>
                      <w:divBdr>
                        <w:top w:val="none" w:sz="0" w:space="0" w:color="auto"/>
                        <w:left w:val="none" w:sz="0" w:space="0" w:color="auto"/>
                        <w:bottom w:val="none" w:sz="0" w:space="0" w:color="auto"/>
                        <w:right w:val="none" w:sz="0" w:space="0" w:color="auto"/>
                      </w:divBdr>
                      <w:divsChild>
                        <w:div w:id="975986327">
                          <w:marLeft w:val="0"/>
                          <w:marRight w:val="0"/>
                          <w:marTop w:val="0"/>
                          <w:marBottom w:val="0"/>
                          <w:divBdr>
                            <w:top w:val="none" w:sz="0" w:space="0" w:color="auto"/>
                            <w:left w:val="none" w:sz="0" w:space="0" w:color="auto"/>
                            <w:bottom w:val="none" w:sz="0" w:space="0" w:color="auto"/>
                            <w:right w:val="none" w:sz="0" w:space="0" w:color="auto"/>
                          </w:divBdr>
                          <w:divsChild>
                            <w:div w:id="540048728">
                              <w:marLeft w:val="2700"/>
                              <w:marRight w:val="3960"/>
                              <w:marTop w:val="0"/>
                              <w:marBottom w:val="0"/>
                              <w:divBdr>
                                <w:top w:val="none" w:sz="0" w:space="0" w:color="auto"/>
                                <w:left w:val="none" w:sz="0" w:space="0" w:color="auto"/>
                                <w:bottom w:val="none" w:sz="0" w:space="0" w:color="auto"/>
                                <w:right w:val="none" w:sz="0" w:space="0" w:color="auto"/>
                              </w:divBdr>
                              <w:divsChild>
                                <w:div w:id="1165781744">
                                  <w:marLeft w:val="0"/>
                                  <w:marRight w:val="0"/>
                                  <w:marTop w:val="0"/>
                                  <w:marBottom w:val="0"/>
                                  <w:divBdr>
                                    <w:top w:val="none" w:sz="0" w:space="0" w:color="auto"/>
                                    <w:left w:val="none" w:sz="0" w:space="0" w:color="auto"/>
                                    <w:bottom w:val="none" w:sz="0" w:space="0" w:color="auto"/>
                                    <w:right w:val="none" w:sz="0" w:space="0" w:color="auto"/>
                                  </w:divBdr>
                                  <w:divsChild>
                                    <w:div w:id="1367834017">
                                      <w:marLeft w:val="0"/>
                                      <w:marRight w:val="0"/>
                                      <w:marTop w:val="0"/>
                                      <w:marBottom w:val="0"/>
                                      <w:divBdr>
                                        <w:top w:val="none" w:sz="0" w:space="0" w:color="auto"/>
                                        <w:left w:val="none" w:sz="0" w:space="0" w:color="auto"/>
                                        <w:bottom w:val="none" w:sz="0" w:space="0" w:color="auto"/>
                                        <w:right w:val="none" w:sz="0" w:space="0" w:color="auto"/>
                                      </w:divBdr>
                                      <w:divsChild>
                                        <w:div w:id="381369764">
                                          <w:marLeft w:val="0"/>
                                          <w:marRight w:val="0"/>
                                          <w:marTop w:val="0"/>
                                          <w:marBottom w:val="0"/>
                                          <w:divBdr>
                                            <w:top w:val="none" w:sz="0" w:space="0" w:color="auto"/>
                                            <w:left w:val="none" w:sz="0" w:space="0" w:color="auto"/>
                                            <w:bottom w:val="none" w:sz="0" w:space="0" w:color="auto"/>
                                            <w:right w:val="none" w:sz="0" w:space="0" w:color="auto"/>
                                          </w:divBdr>
                                          <w:divsChild>
                                            <w:div w:id="146090284">
                                              <w:marLeft w:val="0"/>
                                              <w:marRight w:val="0"/>
                                              <w:marTop w:val="90"/>
                                              <w:marBottom w:val="0"/>
                                              <w:divBdr>
                                                <w:top w:val="none" w:sz="0" w:space="0" w:color="auto"/>
                                                <w:left w:val="none" w:sz="0" w:space="0" w:color="auto"/>
                                                <w:bottom w:val="none" w:sz="0" w:space="0" w:color="auto"/>
                                                <w:right w:val="none" w:sz="0" w:space="0" w:color="auto"/>
                                              </w:divBdr>
                                              <w:divsChild>
                                                <w:div w:id="891238037">
                                                  <w:marLeft w:val="0"/>
                                                  <w:marRight w:val="0"/>
                                                  <w:marTop w:val="0"/>
                                                  <w:marBottom w:val="405"/>
                                                  <w:divBdr>
                                                    <w:top w:val="none" w:sz="0" w:space="0" w:color="auto"/>
                                                    <w:left w:val="none" w:sz="0" w:space="0" w:color="auto"/>
                                                    <w:bottom w:val="none" w:sz="0" w:space="0" w:color="auto"/>
                                                    <w:right w:val="none" w:sz="0" w:space="0" w:color="auto"/>
                                                  </w:divBdr>
                                                  <w:divsChild>
                                                    <w:div w:id="1294486114">
                                                      <w:marLeft w:val="0"/>
                                                      <w:marRight w:val="0"/>
                                                      <w:marTop w:val="0"/>
                                                      <w:marBottom w:val="0"/>
                                                      <w:divBdr>
                                                        <w:top w:val="none" w:sz="0" w:space="0" w:color="auto"/>
                                                        <w:left w:val="none" w:sz="0" w:space="0" w:color="auto"/>
                                                        <w:bottom w:val="none" w:sz="0" w:space="0" w:color="auto"/>
                                                        <w:right w:val="none" w:sz="0" w:space="0" w:color="auto"/>
                                                      </w:divBdr>
                                                      <w:divsChild>
                                                        <w:div w:id="1667317052">
                                                          <w:marLeft w:val="0"/>
                                                          <w:marRight w:val="0"/>
                                                          <w:marTop w:val="0"/>
                                                          <w:marBottom w:val="0"/>
                                                          <w:divBdr>
                                                            <w:top w:val="single" w:sz="6" w:space="0" w:color="DFE1E5"/>
                                                            <w:left w:val="single" w:sz="6" w:space="0" w:color="DFE1E5"/>
                                                            <w:bottom w:val="single" w:sz="6" w:space="0" w:color="DFE1E5"/>
                                                            <w:right w:val="single" w:sz="6" w:space="0" w:color="DFE1E5"/>
                                                          </w:divBdr>
                                                          <w:divsChild>
                                                            <w:div w:id="1603028482">
                                                              <w:marLeft w:val="0"/>
                                                              <w:marRight w:val="0"/>
                                                              <w:marTop w:val="0"/>
                                                              <w:marBottom w:val="0"/>
                                                              <w:divBdr>
                                                                <w:top w:val="none" w:sz="0" w:space="0" w:color="auto"/>
                                                                <w:left w:val="none" w:sz="0" w:space="0" w:color="auto"/>
                                                                <w:bottom w:val="none" w:sz="0" w:space="0" w:color="auto"/>
                                                                <w:right w:val="none" w:sz="0" w:space="0" w:color="auto"/>
                                                              </w:divBdr>
                                                              <w:divsChild>
                                                                <w:div w:id="100955954">
                                                                  <w:marLeft w:val="0"/>
                                                                  <w:marRight w:val="0"/>
                                                                  <w:marTop w:val="0"/>
                                                                  <w:marBottom w:val="0"/>
                                                                  <w:divBdr>
                                                                    <w:top w:val="none" w:sz="0" w:space="0" w:color="auto"/>
                                                                    <w:left w:val="none" w:sz="0" w:space="0" w:color="auto"/>
                                                                    <w:bottom w:val="none" w:sz="0" w:space="0" w:color="auto"/>
                                                                    <w:right w:val="none" w:sz="0" w:space="0" w:color="auto"/>
                                                                  </w:divBdr>
                                                                  <w:divsChild>
                                                                    <w:div w:id="1437794504">
                                                                      <w:marLeft w:val="0"/>
                                                                      <w:marRight w:val="0"/>
                                                                      <w:marTop w:val="0"/>
                                                                      <w:marBottom w:val="0"/>
                                                                      <w:divBdr>
                                                                        <w:top w:val="none" w:sz="0" w:space="0" w:color="auto"/>
                                                                        <w:left w:val="none" w:sz="0" w:space="0" w:color="auto"/>
                                                                        <w:bottom w:val="none" w:sz="0" w:space="0" w:color="auto"/>
                                                                        <w:right w:val="none" w:sz="0" w:space="0" w:color="auto"/>
                                                                      </w:divBdr>
                                                                      <w:divsChild>
                                                                        <w:div w:id="1428502094">
                                                                          <w:marLeft w:val="0"/>
                                                                          <w:marRight w:val="0"/>
                                                                          <w:marTop w:val="0"/>
                                                                          <w:marBottom w:val="0"/>
                                                                          <w:divBdr>
                                                                            <w:top w:val="none" w:sz="0" w:space="0" w:color="auto"/>
                                                                            <w:left w:val="none" w:sz="0" w:space="0" w:color="auto"/>
                                                                            <w:bottom w:val="none" w:sz="0" w:space="0" w:color="auto"/>
                                                                            <w:right w:val="none" w:sz="0" w:space="0" w:color="auto"/>
                                                                          </w:divBdr>
                                                                          <w:divsChild>
                                                                            <w:div w:id="304505745">
                                                                              <w:marLeft w:val="0"/>
                                                                              <w:marRight w:val="0"/>
                                                                              <w:marTop w:val="0"/>
                                                                              <w:marBottom w:val="0"/>
                                                                              <w:divBdr>
                                                                                <w:top w:val="none" w:sz="0" w:space="0" w:color="auto"/>
                                                                                <w:left w:val="none" w:sz="0" w:space="0" w:color="auto"/>
                                                                                <w:bottom w:val="none" w:sz="0" w:space="0" w:color="auto"/>
                                                                                <w:right w:val="none" w:sz="0" w:space="0" w:color="auto"/>
                                                                              </w:divBdr>
                                                                              <w:divsChild>
                                                                                <w:div w:id="1289631865">
                                                                                  <w:marLeft w:val="0"/>
                                                                                  <w:marRight w:val="0"/>
                                                                                  <w:marTop w:val="0"/>
                                                                                  <w:marBottom w:val="0"/>
                                                                                  <w:divBdr>
                                                                                    <w:top w:val="none" w:sz="0" w:space="0" w:color="auto"/>
                                                                                    <w:left w:val="none" w:sz="0" w:space="0" w:color="auto"/>
                                                                                    <w:bottom w:val="none" w:sz="0" w:space="0" w:color="auto"/>
                                                                                    <w:right w:val="none" w:sz="0" w:space="0" w:color="auto"/>
                                                                                  </w:divBdr>
                                                                                  <w:divsChild>
                                                                                    <w:div w:id="61159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243602">
      <w:bodyDiv w:val="1"/>
      <w:marLeft w:val="0"/>
      <w:marRight w:val="0"/>
      <w:marTop w:val="0"/>
      <w:marBottom w:val="0"/>
      <w:divBdr>
        <w:top w:val="none" w:sz="0" w:space="0" w:color="auto"/>
        <w:left w:val="none" w:sz="0" w:space="0" w:color="auto"/>
        <w:bottom w:val="none" w:sz="0" w:space="0" w:color="auto"/>
        <w:right w:val="none" w:sz="0" w:space="0" w:color="auto"/>
      </w:divBdr>
      <w:divsChild>
        <w:div w:id="2632971">
          <w:marLeft w:val="0"/>
          <w:marRight w:val="0"/>
          <w:marTop w:val="0"/>
          <w:marBottom w:val="0"/>
          <w:divBdr>
            <w:top w:val="none" w:sz="0" w:space="0" w:color="auto"/>
            <w:left w:val="none" w:sz="0" w:space="0" w:color="auto"/>
            <w:bottom w:val="none" w:sz="0" w:space="0" w:color="auto"/>
            <w:right w:val="none" w:sz="0" w:space="0" w:color="auto"/>
          </w:divBdr>
          <w:divsChild>
            <w:div w:id="2123452185">
              <w:marLeft w:val="0"/>
              <w:marRight w:val="0"/>
              <w:marTop w:val="0"/>
              <w:marBottom w:val="0"/>
              <w:divBdr>
                <w:top w:val="none" w:sz="0" w:space="0" w:color="auto"/>
                <w:left w:val="none" w:sz="0" w:space="0" w:color="auto"/>
                <w:bottom w:val="none" w:sz="0" w:space="0" w:color="auto"/>
                <w:right w:val="none" w:sz="0" w:space="0" w:color="auto"/>
              </w:divBdr>
              <w:divsChild>
                <w:div w:id="1197424811">
                  <w:marLeft w:val="0"/>
                  <w:marRight w:val="0"/>
                  <w:marTop w:val="0"/>
                  <w:marBottom w:val="0"/>
                  <w:divBdr>
                    <w:top w:val="none" w:sz="0" w:space="0" w:color="auto"/>
                    <w:left w:val="none" w:sz="0" w:space="0" w:color="auto"/>
                    <w:bottom w:val="none" w:sz="0" w:space="0" w:color="auto"/>
                    <w:right w:val="none" w:sz="0" w:space="0" w:color="auto"/>
                  </w:divBdr>
                  <w:divsChild>
                    <w:div w:id="1293167320">
                      <w:marLeft w:val="0"/>
                      <w:marRight w:val="0"/>
                      <w:marTop w:val="0"/>
                      <w:marBottom w:val="0"/>
                      <w:divBdr>
                        <w:top w:val="none" w:sz="0" w:space="0" w:color="auto"/>
                        <w:left w:val="none" w:sz="0" w:space="0" w:color="auto"/>
                        <w:bottom w:val="none" w:sz="0" w:space="0" w:color="auto"/>
                        <w:right w:val="none" w:sz="0" w:space="0" w:color="auto"/>
                      </w:divBdr>
                      <w:divsChild>
                        <w:div w:id="1570265993">
                          <w:marLeft w:val="0"/>
                          <w:marRight w:val="0"/>
                          <w:marTop w:val="0"/>
                          <w:marBottom w:val="0"/>
                          <w:divBdr>
                            <w:top w:val="none" w:sz="0" w:space="0" w:color="auto"/>
                            <w:left w:val="none" w:sz="0" w:space="0" w:color="auto"/>
                            <w:bottom w:val="none" w:sz="0" w:space="0" w:color="auto"/>
                            <w:right w:val="none" w:sz="0" w:space="0" w:color="auto"/>
                          </w:divBdr>
                          <w:divsChild>
                            <w:div w:id="2075397313">
                              <w:marLeft w:val="2700"/>
                              <w:marRight w:val="3960"/>
                              <w:marTop w:val="0"/>
                              <w:marBottom w:val="0"/>
                              <w:divBdr>
                                <w:top w:val="none" w:sz="0" w:space="0" w:color="auto"/>
                                <w:left w:val="none" w:sz="0" w:space="0" w:color="auto"/>
                                <w:bottom w:val="none" w:sz="0" w:space="0" w:color="auto"/>
                                <w:right w:val="none" w:sz="0" w:space="0" w:color="auto"/>
                              </w:divBdr>
                              <w:divsChild>
                                <w:div w:id="2139563264">
                                  <w:marLeft w:val="0"/>
                                  <w:marRight w:val="0"/>
                                  <w:marTop w:val="0"/>
                                  <w:marBottom w:val="0"/>
                                  <w:divBdr>
                                    <w:top w:val="none" w:sz="0" w:space="0" w:color="auto"/>
                                    <w:left w:val="none" w:sz="0" w:space="0" w:color="auto"/>
                                    <w:bottom w:val="none" w:sz="0" w:space="0" w:color="auto"/>
                                    <w:right w:val="none" w:sz="0" w:space="0" w:color="auto"/>
                                  </w:divBdr>
                                  <w:divsChild>
                                    <w:div w:id="324556986">
                                      <w:marLeft w:val="0"/>
                                      <w:marRight w:val="0"/>
                                      <w:marTop w:val="0"/>
                                      <w:marBottom w:val="0"/>
                                      <w:divBdr>
                                        <w:top w:val="none" w:sz="0" w:space="0" w:color="auto"/>
                                        <w:left w:val="none" w:sz="0" w:space="0" w:color="auto"/>
                                        <w:bottom w:val="none" w:sz="0" w:space="0" w:color="auto"/>
                                        <w:right w:val="none" w:sz="0" w:space="0" w:color="auto"/>
                                      </w:divBdr>
                                      <w:divsChild>
                                        <w:div w:id="1084454293">
                                          <w:marLeft w:val="0"/>
                                          <w:marRight w:val="0"/>
                                          <w:marTop w:val="0"/>
                                          <w:marBottom w:val="0"/>
                                          <w:divBdr>
                                            <w:top w:val="none" w:sz="0" w:space="0" w:color="auto"/>
                                            <w:left w:val="none" w:sz="0" w:space="0" w:color="auto"/>
                                            <w:bottom w:val="none" w:sz="0" w:space="0" w:color="auto"/>
                                            <w:right w:val="none" w:sz="0" w:space="0" w:color="auto"/>
                                          </w:divBdr>
                                          <w:divsChild>
                                            <w:div w:id="1474375171">
                                              <w:marLeft w:val="0"/>
                                              <w:marRight w:val="0"/>
                                              <w:marTop w:val="90"/>
                                              <w:marBottom w:val="0"/>
                                              <w:divBdr>
                                                <w:top w:val="none" w:sz="0" w:space="0" w:color="auto"/>
                                                <w:left w:val="none" w:sz="0" w:space="0" w:color="auto"/>
                                                <w:bottom w:val="none" w:sz="0" w:space="0" w:color="auto"/>
                                                <w:right w:val="none" w:sz="0" w:space="0" w:color="auto"/>
                                              </w:divBdr>
                                              <w:divsChild>
                                                <w:div w:id="830173798">
                                                  <w:marLeft w:val="0"/>
                                                  <w:marRight w:val="0"/>
                                                  <w:marTop w:val="0"/>
                                                  <w:marBottom w:val="405"/>
                                                  <w:divBdr>
                                                    <w:top w:val="none" w:sz="0" w:space="0" w:color="auto"/>
                                                    <w:left w:val="none" w:sz="0" w:space="0" w:color="auto"/>
                                                    <w:bottom w:val="none" w:sz="0" w:space="0" w:color="auto"/>
                                                    <w:right w:val="none" w:sz="0" w:space="0" w:color="auto"/>
                                                  </w:divBdr>
                                                  <w:divsChild>
                                                    <w:div w:id="979044264">
                                                      <w:marLeft w:val="0"/>
                                                      <w:marRight w:val="0"/>
                                                      <w:marTop w:val="0"/>
                                                      <w:marBottom w:val="0"/>
                                                      <w:divBdr>
                                                        <w:top w:val="none" w:sz="0" w:space="0" w:color="auto"/>
                                                        <w:left w:val="none" w:sz="0" w:space="0" w:color="auto"/>
                                                        <w:bottom w:val="none" w:sz="0" w:space="0" w:color="auto"/>
                                                        <w:right w:val="none" w:sz="0" w:space="0" w:color="auto"/>
                                                      </w:divBdr>
                                                      <w:divsChild>
                                                        <w:div w:id="1239554658">
                                                          <w:marLeft w:val="0"/>
                                                          <w:marRight w:val="0"/>
                                                          <w:marTop w:val="0"/>
                                                          <w:marBottom w:val="0"/>
                                                          <w:divBdr>
                                                            <w:top w:val="single" w:sz="6" w:space="0" w:color="DFE1E5"/>
                                                            <w:left w:val="single" w:sz="6" w:space="0" w:color="DFE1E5"/>
                                                            <w:bottom w:val="single" w:sz="6" w:space="0" w:color="DFE1E5"/>
                                                            <w:right w:val="single" w:sz="6" w:space="0" w:color="DFE1E5"/>
                                                          </w:divBdr>
                                                          <w:divsChild>
                                                            <w:div w:id="36008353">
                                                              <w:marLeft w:val="0"/>
                                                              <w:marRight w:val="0"/>
                                                              <w:marTop w:val="0"/>
                                                              <w:marBottom w:val="0"/>
                                                              <w:divBdr>
                                                                <w:top w:val="none" w:sz="0" w:space="0" w:color="auto"/>
                                                                <w:left w:val="none" w:sz="0" w:space="0" w:color="auto"/>
                                                                <w:bottom w:val="none" w:sz="0" w:space="0" w:color="auto"/>
                                                                <w:right w:val="none" w:sz="0" w:space="0" w:color="auto"/>
                                                              </w:divBdr>
                                                              <w:divsChild>
                                                                <w:div w:id="243152543">
                                                                  <w:marLeft w:val="0"/>
                                                                  <w:marRight w:val="0"/>
                                                                  <w:marTop w:val="0"/>
                                                                  <w:marBottom w:val="0"/>
                                                                  <w:divBdr>
                                                                    <w:top w:val="none" w:sz="0" w:space="0" w:color="auto"/>
                                                                    <w:left w:val="none" w:sz="0" w:space="0" w:color="auto"/>
                                                                    <w:bottom w:val="none" w:sz="0" w:space="0" w:color="auto"/>
                                                                    <w:right w:val="none" w:sz="0" w:space="0" w:color="auto"/>
                                                                  </w:divBdr>
                                                                  <w:divsChild>
                                                                    <w:div w:id="965431245">
                                                                      <w:marLeft w:val="0"/>
                                                                      <w:marRight w:val="0"/>
                                                                      <w:marTop w:val="0"/>
                                                                      <w:marBottom w:val="0"/>
                                                                      <w:divBdr>
                                                                        <w:top w:val="none" w:sz="0" w:space="0" w:color="auto"/>
                                                                        <w:left w:val="none" w:sz="0" w:space="0" w:color="auto"/>
                                                                        <w:bottom w:val="none" w:sz="0" w:space="0" w:color="auto"/>
                                                                        <w:right w:val="none" w:sz="0" w:space="0" w:color="auto"/>
                                                                      </w:divBdr>
                                                                      <w:divsChild>
                                                                        <w:div w:id="380250613">
                                                                          <w:marLeft w:val="0"/>
                                                                          <w:marRight w:val="0"/>
                                                                          <w:marTop w:val="0"/>
                                                                          <w:marBottom w:val="0"/>
                                                                          <w:divBdr>
                                                                            <w:top w:val="none" w:sz="0" w:space="0" w:color="auto"/>
                                                                            <w:left w:val="none" w:sz="0" w:space="0" w:color="auto"/>
                                                                            <w:bottom w:val="none" w:sz="0" w:space="0" w:color="auto"/>
                                                                            <w:right w:val="none" w:sz="0" w:space="0" w:color="auto"/>
                                                                          </w:divBdr>
                                                                          <w:divsChild>
                                                                            <w:div w:id="1532570034">
                                                                              <w:marLeft w:val="0"/>
                                                                              <w:marRight w:val="0"/>
                                                                              <w:marTop w:val="0"/>
                                                                              <w:marBottom w:val="0"/>
                                                                              <w:divBdr>
                                                                                <w:top w:val="none" w:sz="0" w:space="0" w:color="auto"/>
                                                                                <w:left w:val="none" w:sz="0" w:space="0" w:color="auto"/>
                                                                                <w:bottom w:val="none" w:sz="0" w:space="0" w:color="auto"/>
                                                                                <w:right w:val="none" w:sz="0" w:space="0" w:color="auto"/>
                                                                              </w:divBdr>
                                                                              <w:divsChild>
                                                                                <w:div w:id="471405585">
                                                                                  <w:marLeft w:val="0"/>
                                                                                  <w:marRight w:val="0"/>
                                                                                  <w:marTop w:val="0"/>
                                                                                  <w:marBottom w:val="0"/>
                                                                                  <w:divBdr>
                                                                                    <w:top w:val="none" w:sz="0" w:space="0" w:color="auto"/>
                                                                                    <w:left w:val="none" w:sz="0" w:space="0" w:color="auto"/>
                                                                                    <w:bottom w:val="none" w:sz="0" w:space="0" w:color="auto"/>
                                                                                    <w:right w:val="none" w:sz="0" w:space="0" w:color="auto"/>
                                                                                  </w:divBdr>
                                                                                  <w:divsChild>
                                                                                    <w:div w:id="85577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447198">
      <w:bodyDiv w:val="1"/>
      <w:marLeft w:val="0"/>
      <w:marRight w:val="0"/>
      <w:marTop w:val="0"/>
      <w:marBottom w:val="0"/>
      <w:divBdr>
        <w:top w:val="none" w:sz="0" w:space="0" w:color="auto"/>
        <w:left w:val="none" w:sz="0" w:space="0" w:color="auto"/>
        <w:bottom w:val="none" w:sz="0" w:space="0" w:color="auto"/>
        <w:right w:val="none" w:sz="0" w:space="0" w:color="auto"/>
      </w:divBdr>
    </w:div>
    <w:div w:id="178281522">
      <w:bodyDiv w:val="1"/>
      <w:marLeft w:val="0"/>
      <w:marRight w:val="0"/>
      <w:marTop w:val="0"/>
      <w:marBottom w:val="0"/>
      <w:divBdr>
        <w:top w:val="none" w:sz="0" w:space="0" w:color="auto"/>
        <w:left w:val="none" w:sz="0" w:space="0" w:color="auto"/>
        <w:bottom w:val="none" w:sz="0" w:space="0" w:color="auto"/>
        <w:right w:val="none" w:sz="0" w:space="0" w:color="auto"/>
      </w:divBdr>
      <w:divsChild>
        <w:div w:id="759257034">
          <w:marLeft w:val="0"/>
          <w:marRight w:val="0"/>
          <w:marTop w:val="0"/>
          <w:marBottom w:val="0"/>
          <w:divBdr>
            <w:top w:val="none" w:sz="0" w:space="0" w:color="auto"/>
            <w:left w:val="none" w:sz="0" w:space="0" w:color="auto"/>
            <w:bottom w:val="none" w:sz="0" w:space="0" w:color="auto"/>
            <w:right w:val="none" w:sz="0" w:space="0" w:color="auto"/>
          </w:divBdr>
          <w:divsChild>
            <w:div w:id="1002973972">
              <w:marLeft w:val="0"/>
              <w:marRight w:val="0"/>
              <w:marTop w:val="0"/>
              <w:marBottom w:val="0"/>
              <w:divBdr>
                <w:top w:val="none" w:sz="0" w:space="0" w:color="auto"/>
                <w:left w:val="none" w:sz="0" w:space="0" w:color="auto"/>
                <w:bottom w:val="none" w:sz="0" w:space="0" w:color="auto"/>
                <w:right w:val="none" w:sz="0" w:space="0" w:color="auto"/>
              </w:divBdr>
              <w:divsChild>
                <w:div w:id="341081859">
                  <w:marLeft w:val="0"/>
                  <w:marRight w:val="0"/>
                  <w:marTop w:val="0"/>
                  <w:marBottom w:val="0"/>
                  <w:divBdr>
                    <w:top w:val="none" w:sz="0" w:space="0" w:color="auto"/>
                    <w:left w:val="none" w:sz="0" w:space="0" w:color="auto"/>
                    <w:bottom w:val="none" w:sz="0" w:space="0" w:color="auto"/>
                    <w:right w:val="none" w:sz="0" w:space="0" w:color="auto"/>
                  </w:divBdr>
                  <w:divsChild>
                    <w:div w:id="871957882">
                      <w:marLeft w:val="0"/>
                      <w:marRight w:val="0"/>
                      <w:marTop w:val="0"/>
                      <w:marBottom w:val="0"/>
                      <w:divBdr>
                        <w:top w:val="none" w:sz="0" w:space="0" w:color="auto"/>
                        <w:left w:val="none" w:sz="0" w:space="0" w:color="auto"/>
                        <w:bottom w:val="none" w:sz="0" w:space="0" w:color="auto"/>
                        <w:right w:val="none" w:sz="0" w:space="0" w:color="auto"/>
                      </w:divBdr>
                      <w:divsChild>
                        <w:div w:id="1266424408">
                          <w:marLeft w:val="0"/>
                          <w:marRight w:val="0"/>
                          <w:marTop w:val="0"/>
                          <w:marBottom w:val="0"/>
                          <w:divBdr>
                            <w:top w:val="none" w:sz="0" w:space="0" w:color="auto"/>
                            <w:left w:val="none" w:sz="0" w:space="0" w:color="auto"/>
                            <w:bottom w:val="none" w:sz="0" w:space="0" w:color="auto"/>
                            <w:right w:val="none" w:sz="0" w:space="0" w:color="auto"/>
                          </w:divBdr>
                          <w:divsChild>
                            <w:div w:id="1053682">
                              <w:marLeft w:val="2700"/>
                              <w:marRight w:val="3960"/>
                              <w:marTop w:val="0"/>
                              <w:marBottom w:val="0"/>
                              <w:divBdr>
                                <w:top w:val="none" w:sz="0" w:space="0" w:color="auto"/>
                                <w:left w:val="none" w:sz="0" w:space="0" w:color="auto"/>
                                <w:bottom w:val="none" w:sz="0" w:space="0" w:color="auto"/>
                                <w:right w:val="none" w:sz="0" w:space="0" w:color="auto"/>
                              </w:divBdr>
                              <w:divsChild>
                                <w:div w:id="1293485373">
                                  <w:marLeft w:val="0"/>
                                  <w:marRight w:val="0"/>
                                  <w:marTop w:val="0"/>
                                  <w:marBottom w:val="0"/>
                                  <w:divBdr>
                                    <w:top w:val="none" w:sz="0" w:space="0" w:color="auto"/>
                                    <w:left w:val="none" w:sz="0" w:space="0" w:color="auto"/>
                                    <w:bottom w:val="none" w:sz="0" w:space="0" w:color="auto"/>
                                    <w:right w:val="none" w:sz="0" w:space="0" w:color="auto"/>
                                  </w:divBdr>
                                  <w:divsChild>
                                    <w:div w:id="285236319">
                                      <w:marLeft w:val="0"/>
                                      <w:marRight w:val="0"/>
                                      <w:marTop w:val="0"/>
                                      <w:marBottom w:val="0"/>
                                      <w:divBdr>
                                        <w:top w:val="none" w:sz="0" w:space="0" w:color="auto"/>
                                        <w:left w:val="none" w:sz="0" w:space="0" w:color="auto"/>
                                        <w:bottom w:val="none" w:sz="0" w:space="0" w:color="auto"/>
                                        <w:right w:val="none" w:sz="0" w:space="0" w:color="auto"/>
                                      </w:divBdr>
                                      <w:divsChild>
                                        <w:div w:id="1536456519">
                                          <w:marLeft w:val="0"/>
                                          <w:marRight w:val="0"/>
                                          <w:marTop w:val="0"/>
                                          <w:marBottom w:val="0"/>
                                          <w:divBdr>
                                            <w:top w:val="none" w:sz="0" w:space="0" w:color="auto"/>
                                            <w:left w:val="none" w:sz="0" w:space="0" w:color="auto"/>
                                            <w:bottom w:val="none" w:sz="0" w:space="0" w:color="auto"/>
                                            <w:right w:val="none" w:sz="0" w:space="0" w:color="auto"/>
                                          </w:divBdr>
                                          <w:divsChild>
                                            <w:div w:id="1824392268">
                                              <w:marLeft w:val="0"/>
                                              <w:marRight w:val="0"/>
                                              <w:marTop w:val="90"/>
                                              <w:marBottom w:val="0"/>
                                              <w:divBdr>
                                                <w:top w:val="none" w:sz="0" w:space="0" w:color="auto"/>
                                                <w:left w:val="none" w:sz="0" w:space="0" w:color="auto"/>
                                                <w:bottom w:val="none" w:sz="0" w:space="0" w:color="auto"/>
                                                <w:right w:val="none" w:sz="0" w:space="0" w:color="auto"/>
                                              </w:divBdr>
                                              <w:divsChild>
                                                <w:div w:id="1272401388">
                                                  <w:marLeft w:val="0"/>
                                                  <w:marRight w:val="0"/>
                                                  <w:marTop w:val="0"/>
                                                  <w:marBottom w:val="405"/>
                                                  <w:divBdr>
                                                    <w:top w:val="none" w:sz="0" w:space="0" w:color="auto"/>
                                                    <w:left w:val="none" w:sz="0" w:space="0" w:color="auto"/>
                                                    <w:bottom w:val="none" w:sz="0" w:space="0" w:color="auto"/>
                                                    <w:right w:val="none" w:sz="0" w:space="0" w:color="auto"/>
                                                  </w:divBdr>
                                                  <w:divsChild>
                                                    <w:div w:id="328825393">
                                                      <w:marLeft w:val="0"/>
                                                      <w:marRight w:val="0"/>
                                                      <w:marTop w:val="0"/>
                                                      <w:marBottom w:val="0"/>
                                                      <w:divBdr>
                                                        <w:top w:val="none" w:sz="0" w:space="0" w:color="auto"/>
                                                        <w:left w:val="none" w:sz="0" w:space="0" w:color="auto"/>
                                                        <w:bottom w:val="none" w:sz="0" w:space="0" w:color="auto"/>
                                                        <w:right w:val="none" w:sz="0" w:space="0" w:color="auto"/>
                                                      </w:divBdr>
                                                      <w:divsChild>
                                                        <w:div w:id="1863397670">
                                                          <w:marLeft w:val="0"/>
                                                          <w:marRight w:val="0"/>
                                                          <w:marTop w:val="0"/>
                                                          <w:marBottom w:val="0"/>
                                                          <w:divBdr>
                                                            <w:top w:val="single" w:sz="6" w:space="0" w:color="DFE1E5"/>
                                                            <w:left w:val="single" w:sz="6" w:space="0" w:color="DFE1E5"/>
                                                            <w:bottom w:val="single" w:sz="6" w:space="0" w:color="DFE1E5"/>
                                                            <w:right w:val="single" w:sz="6" w:space="0" w:color="DFE1E5"/>
                                                          </w:divBdr>
                                                          <w:divsChild>
                                                            <w:div w:id="1838033515">
                                                              <w:marLeft w:val="0"/>
                                                              <w:marRight w:val="0"/>
                                                              <w:marTop w:val="0"/>
                                                              <w:marBottom w:val="0"/>
                                                              <w:divBdr>
                                                                <w:top w:val="none" w:sz="0" w:space="0" w:color="auto"/>
                                                                <w:left w:val="none" w:sz="0" w:space="0" w:color="auto"/>
                                                                <w:bottom w:val="none" w:sz="0" w:space="0" w:color="auto"/>
                                                                <w:right w:val="none" w:sz="0" w:space="0" w:color="auto"/>
                                                              </w:divBdr>
                                                              <w:divsChild>
                                                                <w:div w:id="289092798">
                                                                  <w:marLeft w:val="0"/>
                                                                  <w:marRight w:val="0"/>
                                                                  <w:marTop w:val="0"/>
                                                                  <w:marBottom w:val="0"/>
                                                                  <w:divBdr>
                                                                    <w:top w:val="none" w:sz="0" w:space="0" w:color="auto"/>
                                                                    <w:left w:val="none" w:sz="0" w:space="0" w:color="auto"/>
                                                                    <w:bottom w:val="none" w:sz="0" w:space="0" w:color="auto"/>
                                                                    <w:right w:val="none" w:sz="0" w:space="0" w:color="auto"/>
                                                                  </w:divBdr>
                                                                  <w:divsChild>
                                                                    <w:div w:id="1719165802">
                                                                      <w:marLeft w:val="0"/>
                                                                      <w:marRight w:val="0"/>
                                                                      <w:marTop w:val="0"/>
                                                                      <w:marBottom w:val="0"/>
                                                                      <w:divBdr>
                                                                        <w:top w:val="none" w:sz="0" w:space="0" w:color="auto"/>
                                                                        <w:left w:val="none" w:sz="0" w:space="0" w:color="auto"/>
                                                                        <w:bottom w:val="none" w:sz="0" w:space="0" w:color="auto"/>
                                                                        <w:right w:val="none" w:sz="0" w:space="0" w:color="auto"/>
                                                                      </w:divBdr>
                                                                      <w:divsChild>
                                                                        <w:div w:id="1074818896">
                                                                          <w:marLeft w:val="0"/>
                                                                          <w:marRight w:val="0"/>
                                                                          <w:marTop w:val="0"/>
                                                                          <w:marBottom w:val="0"/>
                                                                          <w:divBdr>
                                                                            <w:top w:val="none" w:sz="0" w:space="0" w:color="auto"/>
                                                                            <w:left w:val="none" w:sz="0" w:space="0" w:color="auto"/>
                                                                            <w:bottom w:val="none" w:sz="0" w:space="0" w:color="auto"/>
                                                                            <w:right w:val="none" w:sz="0" w:space="0" w:color="auto"/>
                                                                          </w:divBdr>
                                                                          <w:divsChild>
                                                                            <w:div w:id="1989164078">
                                                                              <w:marLeft w:val="0"/>
                                                                              <w:marRight w:val="0"/>
                                                                              <w:marTop w:val="0"/>
                                                                              <w:marBottom w:val="0"/>
                                                                              <w:divBdr>
                                                                                <w:top w:val="none" w:sz="0" w:space="0" w:color="auto"/>
                                                                                <w:left w:val="none" w:sz="0" w:space="0" w:color="auto"/>
                                                                                <w:bottom w:val="none" w:sz="0" w:space="0" w:color="auto"/>
                                                                                <w:right w:val="none" w:sz="0" w:space="0" w:color="auto"/>
                                                                              </w:divBdr>
                                                                              <w:divsChild>
                                                                                <w:div w:id="1191264837">
                                                                                  <w:marLeft w:val="0"/>
                                                                                  <w:marRight w:val="0"/>
                                                                                  <w:marTop w:val="0"/>
                                                                                  <w:marBottom w:val="0"/>
                                                                                  <w:divBdr>
                                                                                    <w:top w:val="none" w:sz="0" w:space="0" w:color="auto"/>
                                                                                    <w:left w:val="none" w:sz="0" w:space="0" w:color="auto"/>
                                                                                    <w:bottom w:val="none" w:sz="0" w:space="0" w:color="auto"/>
                                                                                    <w:right w:val="none" w:sz="0" w:space="0" w:color="auto"/>
                                                                                  </w:divBdr>
                                                                                  <w:divsChild>
                                                                                    <w:div w:id="6294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74562">
      <w:bodyDiv w:val="1"/>
      <w:marLeft w:val="0"/>
      <w:marRight w:val="0"/>
      <w:marTop w:val="0"/>
      <w:marBottom w:val="0"/>
      <w:divBdr>
        <w:top w:val="none" w:sz="0" w:space="0" w:color="auto"/>
        <w:left w:val="none" w:sz="0" w:space="0" w:color="auto"/>
        <w:bottom w:val="none" w:sz="0" w:space="0" w:color="auto"/>
        <w:right w:val="none" w:sz="0" w:space="0" w:color="auto"/>
      </w:divBdr>
      <w:divsChild>
        <w:div w:id="1072893856">
          <w:marLeft w:val="0"/>
          <w:marRight w:val="0"/>
          <w:marTop w:val="0"/>
          <w:marBottom w:val="0"/>
          <w:divBdr>
            <w:top w:val="none" w:sz="0" w:space="0" w:color="auto"/>
            <w:left w:val="none" w:sz="0" w:space="0" w:color="auto"/>
            <w:bottom w:val="none" w:sz="0" w:space="0" w:color="auto"/>
            <w:right w:val="none" w:sz="0" w:space="0" w:color="auto"/>
          </w:divBdr>
          <w:divsChild>
            <w:div w:id="1140533099">
              <w:marLeft w:val="0"/>
              <w:marRight w:val="0"/>
              <w:marTop w:val="0"/>
              <w:marBottom w:val="0"/>
              <w:divBdr>
                <w:top w:val="none" w:sz="0" w:space="0" w:color="auto"/>
                <w:left w:val="none" w:sz="0" w:space="0" w:color="auto"/>
                <w:bottom w:val="none" w:sz="0" w:space="0" w:color="auto"/>
                <w:right w:val="none" w:sz="0" w:space="0" w:color="auto"/>
              </w:divBdr>
              <w:divsChild>
                <w:div w:id="1326010452">
                  <w:marLeft w:val="0"/>
                  <w:marRight w:val="0"/>
                  <w:marTop w:val="0"/>
                  <w:marBottom w:val="0"/>
                  <w:divBdr>
                    <w:top w:val="none" w:sz="0" w:space="0" w:color="auto"/>
                    <w:left w:val="none" w:sz="0" w:space="0" w:color="auto"/>
                    <w:bottom w:val="none" w:sz="0" w:space="0" w:color="auto"/>
                    <w:right w:val="none" w:sz="0" w:space="0" w:color="auto"/>
                  </w:divBdr>
                  <w:divsChild>
                    <w:div w:id="1673142253">
                      <w:marLeft w:val="0"/>
                      <w:marRight w:val="0"/>
                      <w:marTop w:val="0"/>
                      <w:marBottom w:val="0"/>
                      <w:divBdr>
                        <w:top w:val="none" w:sz="0" w:space="0" w:color="auto"/>
                        <w:left w:val="none" w:sz="0" w:space="0" w:color="auto"/>
                        <w:bottom w:val="none" w:sz="0" w:space="0" w:color="auto"/>
                        <w:right w:val="none" w:sz="0" w:space="0" w:color="auto"/>
                      </w:divBdr>
                      <w:divsChild>
                        <w:div w:id="728891638">
                          <w:marLeft w:val="0"/>
                          <w:marRight w:val="0"/>
                          <w:marTop w:val="0"/>
                          <w:marBottom w:val="0"/>
                          <w:divBdr>
                            <w:top w:val="none" w:sz="0" w:space="0" w:color="auto"/>
                            <w:left w:val="none" w:sz="0" w:space="0" w:color="auto"/>
                            <w:bottom w:val="none" w:sz="0" w:space="0" w:color="auto"/>
                            <w:right w:val="none" w:sz="0" w:space="0" w:color="auto"/>
                          </w:divBdr>
                          <w:divsChild>
                            <w:div w:id="1145121593">
                              <w:marLeft w:val="2700"/>
                              <w:marRight w:val="3960"/>
                              <w:marTop w:val="0"/>
                              <w:marBottom w:val="0"/>
                              <w:divBdr>
                                <w:top w:val="none" w:sz="0" w:space="0" w:color="auto"/>
                                <w:left w:val="none" w:sz="0" w:space="0" w:color="auto"/>
                                <w:bottom w:val="none" w:sz="0" w:space="0" w:color="auto"/>
                                <w:right w:val="none" w:sz="0" w:space="0" w:color="auto"/>
                              </w:divBdr>
                              <w:divsChild>
                                <w:div w:id="733504597">
                                  <w:marLeft w:val="0"/>
                                  <w:marRight w:val="0"/>
                                  <w:marTop w:val="0"/>
                                  <w:marBottom w:val="0"/>
                                  <w:divBdr>
                                    <w:top w:val="none" w:sz="0" w:space="0" w:color="auto"/>
                                    <w:left w:val="none" w:sz="0" w:space="0" w:color="auto"/>
                                    <w:bottom w:val="none" w:sz="0" w:space="0" w:color="auto"/>
                                    <w:right w:val="none" w:sz="0" w:space="0" w:color="auto"/>
                                  </w:divBdr>
                                  <w:divsChild>
                                    <w:div w:id="845558071">
                                      <w:marLeft w:val="0"/>
                                      <w:marRight w:val="0"/>
                                      <w:marTop w:val="0"/>
                                      <w:marBottom w:val="0"/>
                                      <w:divBdr>
                                        <w:top w:val="none" w:sz="0" w:space="0" w:color="auto"/>
                                        <w:left w:val="none" w:sz="0" w:space="0" w:color="auto"/>
                                        <w:bottom w:val="none" w:sz="0" w:space="0" w:color="auto"/>
                                        <w:right w:val="none" w:sz="0" w:space="0" w:color="auto"/>
                                      </w:divBdr>
                                      <w:divsChild>
                                        <w:div w:id="1334607375">
                                          <w:marLeft w:val="0"/>
                                          <w:marRight w:val="0"/>
                                          <w:marTop w:val="0"/>
                                          <w:marBottom w:val="0"/>
                                          <w:divBdr>
                                            <w:top w:val="none" w:sz="0" w:space="0" w:color="auto"/>
                                            <w:left w:val="none" w:sz="0" w:space="0" w:color="auto"/>
                                            <w:bottom w:val="none" w:sz="0" w:space="0" w:color="auto"/>
                                            <w:right w:val="none" w:sz="0" w:space="0" w:color="auto"/>
                                          </w:divBdr>
                                          <w:divsChild>
                                            <w:div w:id="969283044">
                                              <w:marLeft w:val="0"/>
                                              <w:marRight w:val="0"/>
                                              <w:marTop w:val="90"/>
                                              <w:marBottom w:val="0"/>
                                              <w:divBdr>
                                                <w:top w:val="none" w:sz="0" w:space="0" w:color="auto"/>
                                                <w:left w:val="none" w:sz="0" w:space="0" w:color="auto"/>
                                                <w:bottom w:val="none" w:sz="0" w:space="0" w:color="auto"/>
                                                <w:right w:val="none" w:sz="0" w:space="0" w:color="auto"/>
                                              </w:divBdr>
                                              <w:divsChild>
                                                <w:div w:id="279188836">
                                                  <w:marLeft w:val="0"/>
                                                  <w:marRight w:val="0"/>
                                                  <w:marTop w:val="0"/>
                                                  <w:marBottom w:val="405"/>
                                                  <w:divBdr>
                                                    <w:top w:val="none" w:sz="0" w:space="0" w:color="auto"/>
                                                    <w:left w:val="none" w:sz="0" w:space="0" w:color="auto"/>
                                                    <w:bottom w:val="none" w:sz="0" w:space="0" w:color="auto"/>
                                                    <w:right w:val="none" w:sz="0" w:space="0" w:color="auto"/>
                                                  </w:divBdr>
                                                  <w:divsChild>
                                                    <w:div w:id="1962835584">
                                                      <w:marLeft w:val="0"/>
                                                      <w:marRight w:val="0"/>
                                                      <w:marTop w:val="0"/>
                                                      <w:marBottom w:val="0"/>
                                                      <w:divBdr>
                                                        <w:top w:val="none" w:sz="0" w:space="0" w:color="auto"/>
                                                        <w:left w:val="none" w:sz="0" w:space="0" w:color="auto"/>
                                                        <w:bottom w:val="none" w:sz="0" w:space="0" w:color="auto"/>
                                                        <w:right w:val="none" w:sz="0" w:space="0" w:color="auto"/>
                                                      </w:divBdr>
                                                      <w:divsChild>
                                                        <w:div w:id="378550569">
                                                          <w:marLeft w:val="0"/>
                                                          <w:marRight w:val="0"/>
                                                          <w:marTop w:val="0"/>
                                                          <w:marBottom w:val="0"/>
                                                          <w:divBdr>
                                                            <w:top w:val="single" w:sz="6" w:space="0" w:color="DFE1E5"/>
                                                            <w:left w:val="single" w:sz="6" w:space="0" w:color="DFE1E5"/>
                                                            <w:bottom w:val="single" w:sz="6" w:space="0" w:color="DFE1E5"/>
                                                            <w:right w:val="single" w:sz="6" w:space="0" w:color="DFE1E5"/>
                                                          </w:divBdr>
                                                          <w:divsChild>
                                                            <w:div w:id="1941135911">
                                                              <w:marLeft w:val="0"/>
                                                              <w:marRight w:val="0"/>
                                                              <w:marTop w:val="0"/>
                                                              <w:marBottom w:val="0"/>
                                                              <w:divBdr>
                                                                <w:top w:val="none" w:sz="0" w:space="0" w:color="auto"/>
                                                                <w:left w:val="none" w:sz="0" w:space="0" w:color="auto"/>
                                                                <w:bottom w:val="none" w:sz="0" w:space="0" w:color="auto"/>
                                                                <w:right w:val="none" w:sz="0" w:space="0" w:color="auto"/>
                                                              </w:divBdr>
                                                              <w:divsChild>
                                                                <w:div w:id="1552572419">
                                                                  <w:marLeft w:val="0"/>
                                                                  <w:marRight w:val="0"/>
                                                                  <w:marTop w:val="0"/>
                                                                  <w:marBottom w:val="0"/>
                                                                  <w:divBdr>
                                                                    <w:top w:val="none" w:sz="0" w:space="0" w:color="auto"/>
                                                                    <w:left w:val="none" w:sz="0" w:space="0" w:color="auto"/>
                                                                    <w:bottom w:val="none" w:sz="0" w:space="0" w:color="auto"/>
                                                                    <w:right w:val="none" w:sz="0" w:space="0" w:color="auto"/>
                                                                  </w:divBdr>
                                                                  <w:divsChild>
                                                                    <w:div w:id="741221131">
                                                                      <w:marLeft w:val="0"/>
                                                                      <w:marRight w:val="0"/>
                                                                      <w:marTop w:val="0"/>
                                                                      <w:marBottom w:val="0"/>
                                                                      <w:divBdr>
                                                                        <w:top w:val="none" w:sz="0" w:space="0" w:color="auto"/>
                                                                        <w:left w:val="none" w:sz="0" w:space="0" w:color="auto"/>
                                                                        <w:bottom w:val="none" w:sz="0" w:space="0" w:color="auto"/>
                                                                        <w:right w:val="none" w:sz="0" w:space="0" w:color="auto"/>
                                                                      </w:divBdr>
                                                                      <w:divsChild>
                                                                        <w:div w:id="1408379147">
                                                                          <w:marLeft w:val="0"/>
                                                                          <w:marRight w:val="0"/>
                                                                          <w:marTop w:val="0"/>
                                                                          <w:marBottom w:val="0"/>
                                                                          <w:divBdr>
                                                                            <w:top w:val="none" w:sz="0" w:space="0" w:color="auto"/>
                                                                            <w:left w:val="none" w:sz="0" w:space="0" w:color="auto"/>
                                                                            <w:bottom w:val="none" w:sz="0" w:space="0" w:color="auto"/>
                                                                            <w:right w:val="none" w:sz="0" w:space="0" w:color="auto"/>
                                                                          </w:divBdr>
                                                                          <w:divsChild>
                                                                            <w:div w:id="2005552356">
                                                                              <w:marLeft w:val="0"/>
                                                                              <w:marRight w:val="0"/>
                                                                              <w:marTop w:val="0"/>
                                                                              <w:marBottom w:val="0"/>
                                                                              <w:divBdr>
                                                                                <w:top w:val="none" w:sz="0" w:space="0" w:color="auto"/>
                                                                                <w:left w:val="none" w:sz="0" w:space="0" w:color="auto"/>
                                                                                <w:bottom w:val="none" w:sz="0" w:space="0" w:color="auto"/>
                                                                                <w:right w:val="none" w:sz="0" w:space="0" w:color="auto"/>
                                                                              </w:divBdr>
                                                                              <w:divsChild>
                                                                                <w:div w:id="1796020589">
                                                                                  <w:marLeft w:val="0"/>
                                                                                  <w:marRight w:val="0"/>
                                                                                  <w:marTop w:val="0"/>
                                                                                  <w:marBottom w:val="0"/>
                                                                                  <w:divBdr>
                                                                                    <w:top w:val="none" w:sz="0" w:space="0" w:color="auto"/>
                                                                                    <w:left w:val="none" w:sz="0" w:space="0" w:color="auto"/>
                                                                                    <w:bottom w:val="none" w:sz="0" w:space="0" w:color="auto"/>
                                                                                    <w:right w:val="none" w:sz="0" w:space="0" w:color="auto"/>
                                                                                  </w:divBdr>
                                                                                  <w:divsChild>
                                                                                    <w:div w:id="481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63895">
      <w:bodyDiv w:val="1"/>
      <w:marLeft w:val="0"/>
      <w:marRight w:val="0"/>
      <w:marTop w:val="0"/>
      <w:marBottom w:val="0"/>
      <w:divBdr>
        <w:top w:val="none" w:sz="0" w:space="0" w:color="auto"/>
        <w:left w:val="none" w:sz="0" w:space="0" w:color="auto"/>
        <w:bottom w:val="none" w:sz="0" w:space="0" w:color="auto"/>
        <w:right w:val="none" w:sz="0" w:space="0" w:color="auto"/>
      </w:divBdr>
      <w:divsChild>
        <w:div w:id="386952987">
          <w:marLeft w:val="0"/>
          <w:marRight w:val="0"/>
          <w:marTop w:val="0"/>
          <w:marBottom w:val="0"/>
          <w:divBdr>
            <w:top w:val="none" w:sz="0" w:space="0" w:color="auto"/>
            <w:left w:val="none" w:sz="0" w:space="0" w:color="auto"/>
            <w:bottom w:val="none" w:sz="0" w:space="0" w:color="auto"/>
            <w:right w:val="none" w:sz="0" w:space="0" w:color="auto"/>
          </w:divBdr>
          <w:divsChild>
            <w:div w:id="389890667">
              <w:marLeft w:val="0"/>
              <w:marRight w:val="0"/>
              <w:marTop w:val="0"/>
              <w:marBottom w:val="0"/>
              <w:divBdr>
                <w:top w:val="none" w:sz="0" w:space="0" w:color="auto"/>
                <w:left w:val="none" w:sz="0" w:space="0" w:color="auto"/>
                <w:bottom w:val="none" w:sz="0" w:space="0" w:color="auto"/>
                <w:right w:val="none" w:sz="0" w:space="0" w:color="auto"/>
              </w:divBdr>
              <w:divsChild>
                <w:div w:id="207106692">
                  <w:marLeft w:val="0"/>
                  <w:marRight w:val="0"/>
                  <w:marTop w:val="0"/>
                  <w:marBottom w:val="0"/>
                  <w:divBdr>
                    <w:top w:val="none" w:sz="0" w:space="0" w:color="auto"/>
                    <w:left w:val="none" w:sz="0" w:space="0" w:color="auto"/>
                    <w:bottom w:val="none" w:sz="0" w:space="0" w:color="auto"/>
                    <w:right w:val="none" w:sz="0" w:space="0" w:color="auto"/>
                  </w:divBdr>
                  <w:divsChild>
                    <w:div w:id="920799591">
                      <w:marLeft w:val="0"/>
                      <w:marRight w:val="0"/>
                      <w:marTop w:val="0"/>
                      <w:marBottom w:val="0"/>
                      <w:divBdr>
                        <w:top w:val="none" w:sz="0" w:space="0" w:color="auto"/>
                        <w:left w:val="none" w:sz="0" w:space="0" w:color="auto"/>
                        <w:bottom w:val="none" w:sz="0" w:space="0" w:color="auto"/>
                        <w:right w:val="none" w:sz="0" w:space="0" w:color="auto"/>
                      </w:divBdr>
                      <w:divsChild>
                        <w:div w:id="933365125">
                          <w:marLeft w:val="0"/>
                          <w:marRight w:val="0"/>
                          <w:marTop w:val="0"/>
                          <w:marBottom w:val="0"/>
                          <w:divBdr>
                            <w:top w:val="none" w:sz="0" w:space="0" w:color="auto"/>
                            <w:left w:val="none" w:sz="0" w:space="0" w:color="auto"/>
                            <w:bottom w:val="none" w:sz="0" w:space="0" w:color="auto"/>
                            <w:right w:val="none" w:sz="0" w:space="0" w:color="auto"/>
                          </w:divBdr>
                          <w:divsChild>
                            <w:div w:id="1003896414">
                              <w:marLeft w:val="2700"/>
                              <w:marRight w:val="3960"/>
                              <w:marTop w:val="0"/>
                              <w:marBottom w:val="0"/>
                              <w:divBdr>
                                <w:top w:val="none" w:sz="0" w:space="0" w:color="auto"/>
                                <w:left w:val="none" w:sz="0" w:space="0" w:color="auto"/>
                                <w:bottom w:val="none" w:sz="0" w:space="0" w:color="auto"/>
                                <w:right w:val="none" w:sz="0" w:space="0" w:color="auto"/>
                              </w:divBdr>
                              <w:divsChild>
                                <w:div w:id="686565407">
                                  <w:marLeft w:val="0"/>
                                  <w:marRight w:val="0"/>
                                  <w:marTop w:val="0"/>
                                  <w:marBottom w:val="0"/>
                                  <w:divBdr>
                                    <w:top w:val="none" w:sz="0" w:space="0" w:color="auto"/>
                                    <w:left w:val="none" w:sz="0" w:space="0" w:color="auto"/>
                                    <w:bottom w:val="none" w:sz="0" w:space="0" w:color="auto"/>
                                    <w:right w:val="none" w:sz="0" w:space="0" w:color="auto"/>
                                  </w:divBdr>
                                  <w:divsChild>
                                    <w:div w:id="1389919879">
                                      <w:marLeft w:val="0"/>
                                      <w:marRight w:val="0"/>
                                      <w:marTop w:val="0"/>
                                      <w:marBottom w:val="0"/>
                                      <w:divBdr>
                                        <w:top w:val="none" w:sz="0" w:space="0" w:color="auto"/>
                                        <w:left w:val="none" w:sz="0" w:space="0" w:color="auto"/>
                                        <w:bottom w:val="none" w:sz="0" w:space="0" w:color="auto"/>
                                        <w:right w:val="none" w:sz="0" w:space="0" w:color="auto"/>
                                      </w:divBdr>
                                      <w:divsChild>
                                        <w:div w:id="1048845426">
                                          <w:marLeft w:val="0"/>
                                          <w:marRight w:val="0"/>
                                          <w:marTop w:val="0"/>
                                          <w:marBottom w:val="0"/>
                                          <w:divBdr>
                                            <w:top w:val="none" w:sz="0" w:space="0" w:color="auto"/>
                                            <w:left w:val="none" w:sz="0" w:space="0" w:color="auto"/>
                                            <w:bottom w:val="none" w:sz="0" w:space="0" w:color="auto"/>
                                            <w:right w:val="none" w:sz="0" w:space="0" w:color="auto"/>
                                          </w:divBdr>
                                          <w:divsChild>
                                            <w:div w:id="1963997633">
                                              <w:marLeft w:val="0"/>
                                              <w:marRight w:val="0"/>
                                              <w:marTop w:val="90"/>
                                              <w:marBottom w:val="0"/>
                                              <w:divBdr>
                                                <w:top w:val="none" w:sz="0" w:space="0" w:color="auto"/>
                                                <w:left w:val="none" w:sz="0" w:space="0" w:color="auto"/>
                                                <w:bottom w:val="none" w:sz="0" w:space="0" w:color="auto"/>
                                                <w:right w:val="none" w:sz="0" w:space="0" w:color="auto"/>
                                              </w:divBdr>
                                              <w:divsChild>
                                                <w:div w:id="2142258757">
                                                  <w:marLeft w:val="0"/>
                                                  <w:marRight w:val="0"/>
                                                  <w:marTop w:val="0"/>
                                                  <w:marBottom w:val="405"/>
                                                  <w:divBdr>
                                                    <w:top w:val="none" w:sz="0" w:space="0" w:color="auto"/>
                                                    <w:left w:val="none" w:sz="0" w:space="0" w:color="auto"/>
                                                    <w:bottom w:val="none" w:sz="0" w:space="0" w:color="auto"/>
                                                    <w:right w:val="none" w:sz="0" w:space="0" w:color="auto"/>
                                                  </w:divBdr>
                                                  <w:divsChild>
                                                    <w:div w:id="1307201685">
                                                      <w:marLeft w:val="0"/>
                                                      <w:marRight w:val="0"/>
                                                      <w:marTop w:val="0"/>
                                                      <w:marBottom w:val="0"/>
                                                      <w:divBdr>
                                                        <w:top w:val="none" w:sz="0" w:space="0" w:color="auto"/>
                                                        <w:left w:val="none" w:sz="0" w:space="0" w:color="auto"/>
                                                        <w:bottom w:val="none" w:sz="0" w:space="0" w:color="auto"/>
                                                        <w:right w:val="none" w:sz="0" w:space="0" w:color="auto"/>
                                                      </w:divBdr>
                                                      <w:divsChild>
                                                        <w:div w:id="1027217615">
                                                          <w:marLeft w:val="0"/>
                                                          <w:marRight w:val="0"/>
                                                          <w:marTop w:val="0"/>
                                                          <w:marBottom w:val="0"/>
                                                          <w:divBdr>
                                                            <w:top w:val="single" w:sz="6" w:space="0" w:color="DFE1E5"/>
                                                            <w:left w:val="single" w:sz="6" w:space="0" w:color="DFE1E5"/>
                                                            <w:bottom w:val="single" w:sz="6" w:space="0" w:color="DFE1E5"/>
                                                            <w:right w:val="single" w:sz="6" w:space="0" w:color="DFE1E5"/>
                                                          </w:divBdr>
                                                          <w:divsChild>
                                                            <w:div w:id="304089240">
                                                              <w:marLeft w:val="0"/>
                                                              <w:marRight w:val="0"/>
                                                              <w:marTop w:val="0"/>
                                                              <w:marBottom w:val="0"/>
                                                              <w:divBdr>
                                                                <w:top w:val="none" w:sz="0" w:space="0" w:color="auto"/>
                                                                <w:left w:val="none" w:sz="0" w:space="0" w:color="auto"/>
                                                                <w:bottom w:val="none" w:sz="0" w:space="0" w:color="auto"/>
                                                                <w:right w:val="none" w:sz="0" w:space="0" w:color="auto"/>
                                                              </w:divBdr>
                                                              <w:divsChild>
                                                                <w:div w:id="1159232134">
                                                                  <w:marLeft w:val="0"/>
                                                                  <w:marRight w:val="0"/>
                                                                  <w:marTop w:val="0"/>
                                                                  <w:marBottom w:val="0"/>
                                                                  <w:divBdr>
                                                                    <w:top w:val="none" w:sz="0" w:space="0" w:color="auto"/>
                                                                    <w:left w:val="none" w:sz="0" w:space="0" w:color="auto"/>
                                                                    <w:bottom w:val="none" w:sz="0" w:space="0" w:color="auto"/>
                                                                    <w:right w:val="none" w:sz="0" w:space="0" w:color="auto"/>
                                                                  </w:divBdr>
                                                                  <w:divsChild>
                                                                    <w:div w:id="2143158591">
                                                                      <w:marLeft w:val="0"/>
                                                                      <w:marRight w:val="0"/>
                                                                      <w:marTop w:val="0"/>
                                                                      <w:marBottom w:val="0"/>
                                                                      <w:divBdr>
                                                                        <w:top w:val="none" w:sz="0" w:space="0" w:color="auto"/>
                                                                        <w:left w:val="none" w:sz="0" w:space="0" w:color="auto"/>
                                                                        <w:bottom w:val="none" w:sz="0" w:space="0" w:color="auto"/>
                                                                        <w:right w:val="none" w:sz="0" w:space="0" w:color="auto"/>
                                                                      </w:divBdr>
                                                                      <w:divsChild>
                                                                        <w:div w:id="392579067">
                                                                          <w:marLeft w:val="0"/>
                                                                          <w:marRight w:val="0"/>
                                                                          <w:marTop w:val="0"/>
                                                                          <w:marBottom w:val="0"/>
                                                                          <w:divBdr>
                                                                            <w:top w:val="none" w:sz="0" w:space="0" w:color="auto"/>
                                                                            <w:left w:val="none" w:sz="0" w:space="0" w:color="auto"/>
                                                                            <w:bottom w:val="none" w:sz="0" w:space="0" w:color="auto"/>
                                                                            <w:right w:val="none" w:sz="0" w:space="0" w:color="auto"/>
                                                                          </w:divBdr>
                                                                          <w:divsChild>
                                                                            <w:div w:id="1760714742">
                                                                              <w:marLeft w:val="0"/>
                                                                              <w:marRight w:val="0"/>
                                                                              <w:marTop w:val="0"/>
                                                                              <w:marBottom w:val="0"/>
                                                                              <w:divBdr>
                                                                                <w:top w:val="none" w:sz="0" w:space="0" w:color="auto"/>
                                                                                <w:left w:val="none" w:sz="0" w:space="0" w:color="auto"/>
                                                                                <w:bottom w:val="none" w:sz="0" w:space="0" w:color="auto"/>
                                                                                <w:right w:val="none" w:sz="0" w:space="0" w:color="auto"/>
                                                                              </w:divBdr>
                                                                              <w:divsChild>
                                                                                <w:div w:id="2040011480">
                                                                                  <w:marLeft w:val="0"/>
                                                                                  <w:marRight w:val="0"/>
                                                                                  <w:marTop w:val="0"/>
                                                                                  <w:marBottom w:val="0"/>
                                                                                  <w:divBdr>
                                                                                    <w:top w:val="none" w:sz="0" w:space="0" w:color="auto"/>
                                                                                    <w:left w:val="none" w:sz="0" w:space="0" w:color="auto"/>
                                                                                    <w:bottom w:val="none" w:sz="0" w:space="0" w:color="auto"/>
                                                                                    <w:right w:val="none" w:sz="0" w:space="0" w:color="auto"/>
                                                                                  </w:divBdr>
                                                                                  <w:divsChild>
                                                                                    <w:div w:id="96686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618802">
      <w:bodyDiv w:val="1"/>
      <w:marLeft w:val="0"/>
      <w:marRight w:val="0"/>
      <w:marTop w:val="0"/>
      <w:marBottom w:val="0"/>
      <w:divBdr>
        <w:top w:val="none" w:sz="0" w:space="0" w:color="auto"/>
        <w:left w:val="none" w:sz="0" w:space="0" w:color="auto"/>
        <w:bottom w:val="none" w:sz="0" w:space="0" w:color="auto"/>
        <w:right w:val="none" w:sz="0" w:space="0" w:color="auto"/>
      </w:divBdr>
    </w:div>
    <w:div w:id="216286319">
      <w:bodyDiv w:val="1"/>
      <w:marLeft w:val="0"/>
      <w:marRight w:val="0"/>
      <w:marTop w:val="0"/>
      <w:marBottom w:val="0"/>
      <w:divBdr>
        <w:top w:val="none" w:sz="0" w:space="0" w:color="auto"/>
        <w:left w:val="none" w:sz="0" w:space="0" w:color="auto"/>
        <w:bottom w:val="none" w:sz="0" w:space="0" w:color="auto"/>
        <w:right w:val="none" w:sz="0" w:space="0" w:color="auto"/>
      </w:divBdr>
      <w:divsChild>
        <w:div w:id="665481131">
          <w:marLeft w:val="0"/>
          <w:marRight w:val="0"/>
          <w:marTop w:val="0"/>
          <w:marBottom w:val="0"/>
          <w:divBdr>
            <w:top w:val="none" w:sz="0" w:space="0" w:color="auto"/>
            <w:left w:val="none" w:sz="0" w:space="0" w:color="auto"/>
            <w:bottom w:val="none" w:sz="0" w:space="0" w:color="auto"/>
            <w:right w:val="none" w:sz="0" w:space="0" w:color="auto"/>
          </w:divBdr>
          <w:divsChild>
            <w:div w:id="1467625353">
              <w:marLeft w:val="0"/>
              <w:marRight w:val="0"/>
              <w:marTop w:val="0"/>
              <w:marBottom w:val="0"/>
              <w:divBdr>
                <w:top w:val="none" w:sz="0" w:space="0" w:color="auto"/>
                <w:left w:val="none" w:sz="0" w:space="0" w:color="auto"/>
                <w:bottom w:val="none" w:sz="0" w:space="0" w:color="auto"/>
                <w:right w:val="none" w:sz="0" w:space="0" w:color="auto"/>
              </w:divBdr>
              <w:divsChild>
                <w:div w:id="941567088">
                  <w:marLeft w:val="0"/>
                  <w:marRight w:val="0"/>
                  <w:marTop w:val="0"/>
                  <w:marBottom w:val="0"/>
                  <w:divBdr>
                    <w:top w:val="none" w:sz="0" w:space="0" w:color="auto"/>
                    <w:left w:val="none" w:sz="0" w:space="0" w:color="auto"/>
                    <w:bottom w:val="none" w:sz="0" w:space="0" w:color="auto"/>
                    <w:right w:val="none" w:sz="0" w:space="0" w:color="auto"/>
                  </w:divBdr>
                  <w:divsChild>
                    <w:div w:id="1862474218">
                      <w:marLeft w:val="0"/>
                      <w:marRight w:val="0"/>
                      <w:marTop w:val="0"/>
                      <w:marBottom w:val="0"/>
                      <w:divBdr>
                        <w:top w:val="none" w:sz="0" w:space="0" w:color="auto"/>
                        <w:left w:val="none" w:sz="0" w:space="0" w:color="auto"/>
                        <w:bottom w:val="none" w:sz="0" w:space="0" w:color="auto"/>
                        <w:right w:val="none" w:sz="0" w:space="0" w:color="auto"/>
                      </w:divBdr>
                      <w:divsChild>
                        <w:div w:id="601842608">
                          <w:marLeft w:val="0"/>
                          <w:marRight w:val="0"/>
                          <w:marTop w:val="0"/>
                          <w:marBottom w:val="0"/>
                          <w:divBdr>
                            <w:top w:val="none" w:sz="0" w:space="0" w:color="auto"/>
                            <w:left w:val="none" w:sz="0" w:space="0" w:color="auto"/>
                            <w:bottom w:val="none" w:sz="0" w:space="0" w:color="auto"/>
                            <w:right w:val="none" w:sz="0" w:space="0" w:color="auto"/>
                          </w:divBdr>
                          <w:divsChild>
                            <w:div w:id="1493450317">
                              <w:marLeft w:val="2700"/>
                              <w:marRight w:val="3960"/>
                              <w:marTop w:val="0"/>
                              <w:marBottom w:val="0"/>
                              <w:divBdr>
                                <w:top w:val="none" w:sz="0" w:space="0" w:color="auto"/>
                                <w:left w:val="none" w:sz="0" w:space="0" w:color="auto"/>
                                <w:bottom w:val="none" w:sz="0" w:space="0" w:color="auto"/>
                                <w:right w:val="none" w:sz="0" w:space="0" w:color="auto"/>
                              </w:divBdr>
                              <w:divsChild>
                                <w:div w:id="511266734">
                                  <w:marLeft w:val="0"/>
                                  <w:marRight w:val="0"/>
                                  <w:marTop w:val="0"/>
                                  <w:marBottom w:val="0"/>
                                  <w:divBdr>
                                    <w:top w:val="none" w:sz="0" w:space="0" w:color="auto"/>
                                    <w:left w:val="none" w:sz="0" w:space="0" w:color="auto"/>
                                    <w:bottom w:val="none" w:sz="0" w:space="0" w:color="auto"/>
                                    <w:right w:val="none" w:sz="0" w:space="0" w:color="auto"/>
                                  </w:divBdr>
                                  <w:divsChild>
                                    <w:div w:id="1230387868">
                                      <w:marLeft w:val="0"/>
                                      <w:marRight w:val="0"/>
                                      <w:marTop w:val="0"/>
                                      <w:marBottom w:val="0"/>
                                      <w:divBdr>
                                        <w:top w:val="none" w:sz="0" w:space="0" w:color="auto"/>
                                        <w:left w:val="none" w:sz="0" w:space="0" w:color="auto"/>
                                        <w:bottom w:val="none" w:sz="0" w:space="0" w:color="auto"/>
                                        <w:right w:val="none" w:sz="0" w:space="0" w:color="auto"/>
                                      </w:divBdr>
                                      <w:divsChild>
                                        <w:div w:id="885024770">
                                          <w:marLeft w:val="0"/>
                                          <w:marRight w:val="0"/>
                                          <w:marTop w:val="0"/>
                                          <w:marBottom w:val="0"/>
                                          <w:divBdr>
                                            <w:top w:val="none" w:sz="0" w:space="0" w:color="auto"/>
                                            <w:left w:val="none" w:sz="0" w:space="0" w:color="auto"/>
                                            <w:bottom w:val="none" w:sz="0" w:space="0" w:color="auto"/>
                                            <w:right w:val="none" w:sz="0" w:space="0" w:color="auto"/>
                                          </w:divBdr>
                                          <w:divsChild>
                                            <w:div w:id="2046252356">
                                              <w:marLeft w:val="0"/>
                                              <w:marRight w:val="0"/>
                                              <w:marTop w:val="90"/>
                                              <w:marBottom w:val="0"/>
                                              <w:divBdr>
                                                <w:top w:val="none" w:sz="0" w:space="0" w:color="auto"/>
                                                <w:left w:val="none" w:sz="0" w:space="0" w:color="auto"/>
                                                <w:bottom w:val="none" w:sz="0" w:space="0" w:color="auto"/>
                                                <w:right w:val="none" w:sz="0" w:space="0" w:color="auto"/>
                                              </w:divBdr>
                                              <w:divsChild>
                                                <w:div w:id="10187954">
                                                  <w:marLeft w:val="0"/>
                                                  <w:marRight w:val="0"/>
                                                  <w:marTop w:val="0"/>
                                                  <w:marBottom w:val="405"/>
                                                  <w:divBdr>
                                                    <w:top w:val="none" w:sz="0" w:space="0" w:color="auto"/>
                                                    <w:left w:val="none" w:sz="0" w:space="0" w:color="auto"/>
                                                    <w:bottom w:val="none" w:sz="0" w:space="0" w:color="auto"/>
                                                    <w:right w:val="none" w:sz="0" w:space="0" w:color="auto"/>
                                                  </w:divBdr>
                                                  <w:divsChild>
                                                    <w:div w:id="461308184">
                                                      <w:marLeft w:val="0"/>
                                                      <w:marRight w:val="0"/>
                                                      <w:marTop w:val="0"/>
                                                      <w:marBottom w:val="0"/>
                                                      <w:divBdr>
                                                        <w:top w:val="none" w:sz="0" w:space="0" w:color="auto"/>
                                                        <w:left w:val="none" w:sz="0" w:space="0" w:color="auto"/>
                                                        <w:bottom w:val="none" w:sz="0" w:space="0" w:color="auto"/>
                                                        <w:right w:val="none" w:sz="0" w:space="0" w:color="auto"/>
                                                      </w:divBdr>
                                                      <w:divsChild>
                                                        <w:div w:id="389957824">
                                                          <w:marLeft w:val="0"/>
                                                          <w:marRight w:val="0"/>
                                                          <w:marTop w:val="0"/>
                                                          <w:marBottom w:val="0"/>
                                                          <w:divBdr>
                                                            <w:top w:val="single" w:sz="6" w:space="0" w:color="DFE1E5"/>
                                                            <w:left w:val="single" w:sz="6" w:space="0" w:color="DFE1E5"/>
                                                            <w:bottom w:val="single" w:sz="6" w:space="0" w:color="DFE1E5"/>
                                                            <w:right w:val="single" w:sz="6" w:space="0" w:color="DFE1E5"/>
                                                          </w:divBdr>
                                                          <w:divsChild>
                                                            <w:div w:id="1409310203">
                                                              <w:marLeft w:val="0"/>
                                                              <w:marRight w:val="0"/>
                                                              <w:marTop w:val="0"/>
                                                              <w:marBottom w:val="0"/>
                                                              <w:divBdr>
                                                                <w:top w:val="none" w:sz="0" w:space="0" w:color="auto"/>
                                                                <w:left w:val="none" w:sz="0" w:space="0" w:color="auto"/>
                                                                <w:bottom w:val="none" w:sz="0" w:space="0" w:color="auto"/>
                                                                <w:right w:val="none" w:sz="0" w:space="0" w:color="auto"/>
                                                              </w:divBdr>
                                                              <w:divsChild>
                                                                <w:div w:id="1225723687">
                                                                  <w:marLeft w:val="0"/>
                                                                  <w:marRight w:val="0"/>
                                                                  <w:marTop w:val="0"/>
                                                                  <w:marBottom w:val="0"/>
                                                                  <w:divBdr>
                                                                    <w:top w:val="none" w:sz="0" w:space="0" w:color="auto"/>
                                                                    <w:left w:val="none" w:sz="0" w:space="0" w:color="auto"/>
                                                                    <w:bottom w:val="none" w:sz="0" w:space="0" w:color="auto"/>
                                                                    <w:right w:val="none" w:sz="0" w:space="0" w:color="auto"/>
                                                                  </w:divBdr>
                                                                  <w:divsChild>
                                                                    <w:div w:id="2039433300">
                                                                      <w:marLeft w:val="0"/>
                                                                      <w:marRight w:val="0"/>
                                                                      <w:marTop w:val="0"/>
                                                                      <w:marBottom w:val="0"/>
                                                                      <w:divBdr>
                                                                        <w:top w:val="none" w:sz="0" w:space="0" w:color="auto"/>
                                                                        <w:left w:val="none" w:sz="0" w:space="0" w:color="auto"/>
                                                                        <w:bottom w:val="none" w:sz="0" w:space="0" w:color="auto"/>
                                                                        <w:right w:val="none" w:sz="0" w:space="0" w:color="auto"/>
                                                                      </w:divBdr>
                                                                      <w:divsChild>
                                                                        <w:div w:id="2013679651">
                                                                          <w:marLeft w:val="0"/>
                                                                          <w:marRight w:val="0"/>
                                                                          <w:marTop w:val="0"/>
                                                                          <w:marBottom w:val="0"/>
                                                                          <w:divBdr>
                                                                            <w:top w:val="none" w:sz="0" w:space="0" w:color="auto"/>
                                                                            <w:left w:val="none" w:sz="0" w:space="0" w:color="auto"/>
                                                                            <w:bottom w:val="none" w:sz="0" w:space="0" w:color="auto"/>
                                                                            <w:right w:val="none" w:sz="0" w:space="0" w:color="auto"/>
                                                                          </w:divBdr>
                                                                          <w:divsChild>
                                                                            <w:div w:id="1373724345">
                                                                              <w:marLeft w:val="0"/>
                                                                              <w:marRight w:val="0"/>
                                                                              <w:marTop w:val="0"/>
                                                                              <w:marBottom w:val="0"/>
                                                                              <w:divBdr>
                                                                                <w:top w:val="none" w:sz="0" w:space="0" w:color="auto"/>
                                                                                <w:left w:val="none" w:sz="0" w:space="0" w:color="auto"/>
                                                                                <w:bottom w:val="none" w:sz="0" w:space="0" w:color="auto"/>
                                                                                <w:right w:val="none" w:sz="0" w:space="0" w:color="auto"/>
                                                                              </w:divBdr>
                                                                              <w:divsChild>
                                                                                <w:div w:id="283585087">
                                                                                  <w:marLeft w:val="0"/>
                                                                                  <w:marRight w:val="0"/>
                                                                                  <w:marTop w:val="0"/>
                                                                                  <w:marBottom w:val="0"/>
                                                                                  <w:divBdr>
                                                                                    <w:top w:val="none" w:sz="0" w:space="0" w:color="auto"/>
                                                                                    <w:left w:val="none" w:sz="0" w:space="0" w:color="auto"/>
                                                                                    <w:bottom w:val="none" w:sz="0" w:space="0" w:color="auto"/>
                                                                                    <w:right w:val="none" w:sz="0" w:space="0" w:color="auto"/>
                                                                                  </w:divBdr>
                                                                                  <w:divsChild>
                                                                                    <w:div w:id="1259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7883398">
      <w:bodyDiv w:val="1"/>
      <w:marLeft w:val="0"/>
      <w:marRight w:val="0"/>
      <w:marTop w:val="0"/>
      <w:marBottom w:val="0"/>
      <w:divBdr>
        <w:top w:val="none" w:sz="0" w:space="0" w:color="auto"/>
        <w:left w:val="none" w:sz="0" w:space="0" w:color="auto"/>
        <w:bottom w:val="none" w:sz="0" w:space="0" w:color="auto"/>
        <w:right w:val="none" w:sz="0" w:space="0" w:color="auto"/>
      </w:divBdr>
    </w:div>
    <w:div w:id="255136217">
      <w:bodyDiv w:val="1"/>
      <w:marLeft w:val="0"/>
      <w:marRight w:val="0"/>
      <w:marTop w:val="0"/>
      <w:marBottom w:val="0"/>
      <w:divBdr>
        <w:top w:val="none" w:sz="0" w:space="0" w:color="auto"/>
        <w:left w:val="none" w:sz="0" w:space="0" w:color="auto"/>
        <w:bottom w:val="none" w:sz="0" w:space="0" w:color="auto"/>
        <w:right w:val="none" w:sz="0" w:space="0" w:color="auto"/>
      </w:divBdr>
      <w:divsChild>
        <w:div w:id="573440244">
          <w:marLeft w:val="0"/>
          <w:marRight w:val="0"/>
          <w:marTop w:val="0"/>
          <w:marBottom w:val="0"/>
          <w:divBdr>
            <w:top w:val="none" w:sz="0" w:space="0" w:color="auto"/>
            <w:left w:val="none" w:sz="0" w:space="0" w:color="auto"/>
            <w:bottom w:val="none" w:sz="0" w:space="0" w:color="auto"/>
            <w:right w:val="none" w:sz="0" w:space="0" w:color="auto"/>
          </w:divBdr>
          <w:divsChild>
            <w:div w:id="815100203">
              <w:marLeft w:val="0"/>
              <w:marRight w:val="0"/>
              <w:marTop w:val="0"/>
              <w:marBottom w:val="0"/>
              <w:divBdr>
                <w:top w:val="none" w:sz="0" w:space="0" w:color="auto"/>
                <w:left w:val="none" w:sz="0" w:space="0" w:color="auto"/>
                <w:bottom w:val="none" w:sz="0" w:space="0" w:color="auto"/>
                <w:right w:val="none" w:sz="0" w:space="0" w:color="auto"/>
              </w:divBdr>
              <w:divsChild>
                <w:div w:id="950623480">
                  <w:marLeft w:val="0"/>
                  <w:marRight w:val="0"/>
                  <w:marTop w:val="0"/>
                  <w:marBottom w:val="0"/>
                  <w:divBdr>
                    <w:top w:val="none" w:sz="0" w:space="0" w:color="auto"/>
                    <w:left w:val="none" w:sz="0" w:space="0" w:color="auto"/>
                    <w:bottom w:val="none" w:sz="0" w:space="0" w:color="auto"/>
                    <w:right w:val="none" w:sz="0" w:space="0" w:color="auto"/>
                  </w:divBdr>
                  <w:divsChild>
                    <w:div w:id="822083866">
                      <w:marLeft w:val="0"/>
                      <w:marRight w:val="0"/>
                      <w:marTop w:val="0"/>
                      <w:marBottom w:val="0"/>
                      <w:divBdr>
                        <w:top w:val="none" w:sz="0" w:space="0" w:color="auto"/>
                        <w:left w:val="none" w:sz="0" w:space="0" w:color="auto"/>
                        <w:bottom w:val="none" w:sz="0" w:space="0" w:color="auto"/>
                        <w:right w:val="none" w:sz="0" w:space="0" w:color="auto"/>
                      </w:divBdr>
                      <w:divsChild>
                        <w:div w:id="2007895733">
                          <w:marLeft w:val="0"/>
                          <w:marRight w:val="0"/>
                          <w:marTop w:val="0"/>
                          <w:marBottom w:val="0"/>
                          <w:divBdr>
                            <w:top w:val="none" w:sz="0" w:space="0" w:color="auto"/>
                            <w:left w:val="none" w:sz="0" w:space="0" w:color="auto"/>
                            <w:bottom w:val="none" w:sz="0" w:space="0" w:color="auto"/>
                            <w:right w:val="none" w:sz="0" w:space="0" w:color="auto"/>
                          </w:divBdr>
                          <w:divsChild>
                            <w:div w:id="1251239442">
                              <w:marLeft w:val="2700"/>
                              <w:marRight w:val="3960"/>
                              <w:marTop w:val="0"/>
                              <w:marBottom w:val="0"/>
                              <w:divBdr>
                                <w:top w:val="none" w:sz="0" w:space="0" w:color="auto"/>
                                <w:left w:val="none" w:sz="0" w:space="0" w:color="auto"/>
                                <w:bottom w:val="none" w:sz="0" w:space="0" w:color="auto"/>
                                <w:right w:val="none" w:sz="0" w:space="0" w:color="auto"/>
                              </w:divBdr>
                              <w:divsChild>
                                <w:div w:id="1321234985">
                                  <w:marLeft w:val="0"/>
                                  <w:marRight w:val="0"/>
                                  <w:marTop w:val="0"/>
                                  <w:marBottom w:val="0"/>
                                  <w:divBdr>
                                    <w:top w:val="none" w:sz="0" w:space="0" w:color="auto"/>
                                    <w:left w:val="none" w:sz="0" w:space="0" w:color="auto"/>
                                    <w:bottom w:val="none" w:sz="0" w:space="0" w:color="auto"/>
                                    <w:right w:val="none" w:sz="0" w:space="0" w:color="auto"/>
                                  </w:divBdr>
                                  <w:divsChild>
                                    <w:div w:id="1721057797">
                                      <w:marLeft w:val="0"/>
                                      <w:marRight w:val="0"/>
                                      <w:marTop w:val="0"/>
                                      <w:marBottom w:val="0"/>
                                      <w:divBdr>
                                        <w:top w:val="none" w:sz="0" w:space="0" w:color="auto"/>
                                        <w:left w:val="none" w:sz="0" w:space="0" w:color="auto"/>
                                        <w:bottom w:val="none" w:sz="0" w:space="0" w:color="auto"/>
                                        <w:right w:val="none" w:sz="0" w:space="0" w:color="auto"/>
                                      </w:divBdr>
                                      <w:divsChild>
                                        <w:div w:id="894511363">
                                          <w:marLeft w:val="0"/>
                                          <w:marRight w:val="0"/>
                                          <w:marTop w:val="0"/>
                                          <w:marBottom w:val="0"/>
                                          <w:divBdr>
                                            <w:top w:val="none" w:sz="0" w:space="0" w:color="auto"/>
                                            <w:left w:val="none" w:sz="0" w:space="0" w:color="auto"/>
                                            <w:bottom w:val="none" w:sz="0" w:space="0" w:color="auto"/>
                                            <w:right w:val="none" w:sz="0" w:space="0" w:color="auto"/>
                                          </w:divBdr>
                                          <w:divsChild>
                                            <w:div w:id="2087652034">
                                              <w:marLeft w:val="0"/>
                                              <w:marRight w:val="0"/>
                                              <w:marTop w:val="90"/>
                                              <w:marBottom w:val="0"/>
                                              <w:divBdr>
                                                <w:top w:val="none" w:sz="0" w:space="0" w:color="auto"/>
                                                <w:left w:val="none" w:sz="0" w:space="0" w:color="auto"/>
                                                <w:bottom w:val="none" w:sz="0" w:space="0" w:color="auto"/>
                                                <w:right w:val="none" w:sz="0" w:space="0" w:color="auto"/>
                                              </w:divBdr>
                                              <w:divsChild>
                                                <w:div w:id="874540556">
                                                  <w:marLeft w:val="0"/>
                                                  <w:marRight w:val="0"/>
                                                  <w:marTop w:val="0"/>
                                                  <w:marBottom w:val="405"/>
                                                  <w:divBdr>
                                                    <w:top w:val="none" w:sz="0" w:space="0" w:color="auto"/>
                                                    <w:left w:val="none" w:sz="0" w:space="0" w:color="auto"/>
                                                    <w:bottom w:val="none" w:sz="0" w:space="0" w:color="auto"/>
                                                    <w:right w:val="none" w:sz="0" w:space="0" w:color="auto"/>
                                                  </w:divBdr>
                                                  <w:divsChild>
                                                    <w:div w:id="161354091">
                                                      <w:marLeft w:val="0"/>
                                                      <w:marRight w:val="0"/>
                                                      <w:marTop w:val="0"/>
                                                      <w:marBottom w:val="0"/>
                                                      <w:divBdr>
                                                        <w:top w:val="none" w:sz="0" w:space="0" w:color="auto"/>
                                                        <w:left w:val="none" w:sz="0" w:space="0" w:color="auto"/>
                                                        <w:bottom w:val="none" w:sz="0" w:space="0" w:color="auto"/>
                                                        <w:right w:val="none" w:sz="0" w:space="0" w:color="auto"/>
                                                      </w:divBdr>
                                                      <w:divsChild>
                                                        <w:div w:id="2000310174">
                                                          <w:marLeft w:val="0"/>
                                                          <w:marRight w:val="0"/>
                                                          <w:marTop w:val="0"/>
                                                          <w:marBottom w:val="0"/>
                                                          <w:divBdr>
                                                            <w:top w:val="single" w:sz="6" w:space="0" w:color="DFE1E5"/>
                                                            <w:left w:val="single" w:sz="6" w:space="0" w:color="DFE1E5"/>
                                                            <w:bottom w:val="single" w:sz="6" w:space="0" w:color="DFE1E5"/>
                                                            <w:right w:val="single" w:sz="6" w:space="0" w:color="DFE1E5"/>
                                                          </w:divBdr>
                                                          <w:divsChild>
                                                            <w:div w:id="1125271120">
                                                              <w:marLeft w:val="0"/>
                                                              <w:marRight w:val="0"/>
                                                              <w:marTop w:val="0"/>
                                                              <w:marBottom w:val="0"/>
                                                              <w:divBdr>
                                                                <w:top w:val="none" w:sz="0" w:space="0" w:color="auto"/>
                                                                <w:left w:val="none" w:sz="0" w:space="0" w:color="auto"/>
                                                                <w:bottom w:val="none" w:sz="0" w:space="0" w:color="auto"/>
                                                                <w:right w:val="none" w:sz="0" w:space="0" w:color="auto"/>
                                                              </w:divBdr>
                                                              <w:divsChild>
                                                                <w:div w:id="1051271792">
                                                                  <w:marLeft w:val="0"/>
                                                                  <w:marRight w:val="0"/>
                                                                  <w:marTop w:val="0"/>
                                                                  <w:marBottom w:val="0"/>
                                                                  <w:divBdr>
                                                                    <w:top w:val="none" w:sz="0" w:space="0" w:color="auto"/>
                                                                    <w:left w:val="none" w:sz="0" w:space="0" w:color="auto"/>
                                                                    <w:bottom w:val="none" w:sz="0" w:space="0" w:color="auto"/>
                                                                    <w:right w:val="none" w:sz="0" w:space="0" w:color="auto"/>
                                                                  </w:divBdr>
                                                                  <w:divsChild>
                                                                    <w:div w:id="770860624">
                                                                      <w:marLeft w:val="0"/>
                                                                      <w:marRight w:val="0"/>
                                                                      <w:marTop w:val="0"/>
                                                                      <w:marBottom w:val="0"/>
                                                                      <w:divBdr>
                                                                        <w:top w:val="none" w:sz="0" w:space="0" w:color="auto"/>
                                                                        <w:left w:val="none" w:sz="0" w:space="0" w:color="auto"/>
                                                                        <w:bottom w:val="none" w:sz="0" w:space="0" w:color="auto"/>
                                                                        <w:right w:val="none" w:sz="0" w:space="0" w:color="auto"/>
                                                                      </w:divBdr>
                                                                      <w:divsChild>
                                                                        <w:div w:id="1191987163">
                                                                          <w:marLeft w:val="0"/>
                                                                          <w:marRight w:val="0"/>
                                                                          <w:marTop w:val="0"/>
                                                                          <w:marBottom w:val="0"/>
                                                                          <w:divBdr>
                                                                            <w:top w:val="none" w:sz="0" w:space="0" w:color="auto"/>
                                                                            <w:left w:val="none" w:sz="0" w:space="0" w:color="auto"/>
                                                                            <w:bottom w:val="none" w:sz="0" w:space="0" w:color="auto"/>
                                                                            <w:right w:val="none" w:sz="0" w:space="0" w:color="auto"/>
                                                                          </w:divBdr>
                                                                          <w:divsChild>
                                                                            <w:div w:id="1935355122">
                                                                              <w:marLeft w:val="0"/>
                                                                              <w:marRight w:val="0"/>
                                                                              <w:marTop w:val="0"/>
                                                                              <w:marBottom w:val="0"/>
                                                                              <w:divBdr>
                                                                                <w:top w:val="none" w:sz="0" w:space="0" w:color="auto"/>
                                                                                <w:left w:val="none" w:sz="0" w:space="0" w:color="auto"/>
                                                                                <w:bottom w:val="none" w:sz="0" w:space="0" w:color="auto"/>
                                                                                <w:right w:val="none" w:sz="0" w:space="0" w:color="auto"/>
                                                                              </w:divBdr>
                                                                              <w:divsChild>
                                                                                <w:div w:id="1302464102">
                                                                                  <w:marLeft w:val="0"/>
                                                                                  <w:marRight w:val="0"/>
                                                                                  <w:marTop w:val="0"/>
                                                                                  <w:marBottom w:val="0"/>
                                                                                  <w:divBdr>
                                                                                    <w:top w:val="none" w:sz="0" w:space="0" w:color="auto"/>
                                                                                    <w:left w:val="none" w:sz="0" w:space="0" w:color="auto"/>
                                                                                    <w:bottom w:val="none" w:sz="0" w:space="0" w:color="auto"/>
                                                                                    <w:right w:val="none" w:sz="0" w:space="0" w:color="auto"/>
                                                                                  </w:divBdr>
                                                                                  <w:divsChild>
                                                                                    <w:div w:id="153337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495526">
      <w:bodyDiv w:val="1"/>
      <w:marLeft w:val="0"/>
      <w:marRight w:val="0"/>
      <w:marTop w:val="0"/>
      <w:marBottom w:val="0"/>
      <w:divBdr>
        <w:top w:val="none" w:sz="0" w:space="0" w:color="auto"/>
        <w:left w:val="none" w:sz="0" w:space="0" w:color="auto"/>
        <w:bottom w:val="none" w:sz="0" w:space="0" w:color="auto"/>
        <w:right w:val="none" w:sz="0" w:space="0" w:color="auto"/>
      </w:divBdr>
      <w:divsChild>
        <w:div w:id="537158013">
          <w:marLeft w:val="0"/>
          <w:marRight w:val="0"/>
          <w:marTop w:val="0"/>
          <w:marBottom w:val="0"/>
          <w:divBdr>
            <w:top w:val="none" w:sz="0" w:space="0" w:color="auto"/>
            <w:left w:val="none" w:sz="0" w:space="0" w:color="auto"/>
            <w:bottom w:val="none" w:sz="0" w:space="0" w:color="auto"/>
            <w:right w:val="none" w:sz="0" w:space="0" w:color="auto"/>
          </w:divBdr>
          <w:divsChild>
            <w:div w:id="115296112">
              <w:marLeft w:val="0"/>
              <w:marRight w:val="0"/>
              <w:marTop w:val="0"/>
              <w:marBottom w:val="0"/>
              <w:divBdr>
                <w:top w:val="none" w:sz="0" w:space="0" w:color="auto"/>
                <w:left w:val="none" w:sz="0" w:space="0" w:color="auto"/>
                <w:bottom w:val="none" w:sz="0" w:space="0" w:color="auto"/>
                <w:right w:val="none" w:sz="0" w:space="0" w:color="auto"/>
              </w:divBdr>
              <w:divsChild>
                <w:div w:id="1827630354">
                  <w:marLeft w:val="0"/>
                  <w:marRight w:val="0"/>
                  <w:marTop w:val="0"/>
                  <w:marBottom w:val="0"/>
                  <w:divBdr>
                    <w:top w:val="none" w:sz="0" w:space="0" w:color="auto"/>
                    <w:left w:val="none" w:sz="0" w:space="0" w:color="auto"/>
                    <w:bottom w:val="none" w:sz="0" w:space="0" w:color="auto"/>
                    <w:right w:val="none" w:sz="0" w:space="0" w:color="auto"/>
                  </w:divBdr>
                  <w:divsChild>
                    <w:div w:id="1987929765">
                      <w:marLeft w:val="0"/>
                      <w:marRight w:val="0"/>
                      <w:marTop w:val="0"/>
                      <w:marBottom w:val="0"/>
                      <w:divBdr>
                        <w:top w:val="none" w:sz="0" w:space="0" w:color="auto"/>
                        <w:left w:val="none" w:sz="0" w:space="0" w:color="auto"/>
                        <w:bottom w:val="none" w:sz="0" w:space="0" w:color="auto"/>
                        <w:right w:val="none" w:sz="0" w:space="0" w:color="auto"/>
                      </w:divBdr>
                      <w:divsChild>
                        <w:div w:id="633799893">
                          <w:marLeft w:val="0"/>
                          <w:marRight w:val="0"/>
                          <w:marTop w:val="0"/>
                          <w:marBottom w:val="0"/>
                          <w:divBdr>
                            <w:top w:val="none" w:sz="0" w:space="0" w:color="auto"/>
                            <w:left w:val="none" w:sz="0" w:space="0" w:color="auto"/>
                            <w:bottom w:val="none" w:sz="0" w:space="0" w:color="auto"/>
                            <w:right w:val="none" w:sz="0" w:space="0" w:color="auto"/>
                          </w:divBdr>
                          <w:divsChild>
                            <w:div w:id="266734330">
                              <w:marLeft w:val="2700"/>
                              <w:marRight w:val="3960"/>
                              <w:marTop w:val="0"/>
                              <w:marBottom w:val="0"/>
                              <w:divBdr>
                                <w:top w:val="none" w:sz="0" w:space="0" w:color="auto"/>
                                <w:left w:val="none" w:sz="0" w:space="0" w:color="auto"/>
                                <w:bottom w:val="none" w:sz="0" w:space="0" w:color="auto"/>
                                <w:right w:val="none" w:sz="0" w:space="0" w:color="auto"/>
                              </w:divBdr>
                              <w:divsChild>
                                <w:div w:id="966819456">
                                  <w:marLeft w:val="0"/>
                                  <w:marRight w:val="0"/>
                                  <w:marTop w:val="0"/>
                                  <w:marBottom w:val="0"/>
                                  <w:divBdr>
                                    <w:top w:val="none" w:sz="0" w:space="0" w:color="auto"/>
                                    <w:left w:val="none" w:sz="0" w:space="0" w:color="auto"/>
                                    <w:bottom w:val="none" w:sz="0" w:space="0" w:color="auto"/>
                                    <w:right w:val="none" w:sz="0" w:space="0" w:color="auto"/>
                                  </w:divBdr>
                                  <w:divsChild>
                                    <w:div w:id="647781771">
                                      <w:marLeft w:val="0"/>
                                      <w:marRight w:val="0"/>
                                      <w:marTop w:val="0"/>
                                      <w:marBottom w:val="0"/>
                                      <w:divBdr>
                                        <w:top w:val="none" w:sz="0" w:space="0" w:color="auto"/>
                                        <w:left w:val="none" w:sz="0" w:space="0" w:color="auto"/>
                                        <w:bottom w:val="none" w:sz="0" w:space="0" w:color="auto"/>
                                        <w:right w:val="none" w:sz="0" w:space="0" w:color="auto"/>
                                      </w:divBdr>
                                      <w:divsChild>
                                        <w:div w:id="874389320">
                                          <w:marLeft w:val="0"/>
                                          <w:marRight w:val="0"/>
                                          <w:marTop w:val="0"/>
                                          <w:marBottom w:val="0"/>
                                          <w:divBdr>
                                            <w:top w:val="none" w:sz="0" w:space="0" w:color="auto"/>
                                            <w:left w:val="none" w:sz="0" w:space="0" w:color="auto"/>
                                            <w:bottom w:val="none" w:sz="0" w:space="0" w:color="auto"/>
                                            <w:right w:val="none" w:sz="0" w:space="0" w:color="auto"/>
                                          </w:divBdr>
                                          <w:divsChild>
                                            <w:div w:id="1368339120">
                                              <w:marLeft w:val="0"/>
                                              <w:marRight w:val="0"/>
                                              <w:marTop w:val="90"/>
                                              <w:marBottom w:val="0"/>
                                              <w:divBdr>
                                                <w:top w:val="none" w:sz="0" w:space="0" w:color="auto"/>
                                                <w:left w:val="none" w:sz="0" w:space="0" w:color="auto"/>
                                                <w:bottom w:val="none" w:sz="0" w:space="0" w:color="auto"/>
                                                <w:right w:val="none" w:sz="0" w:space="0" w:color="auto"/>
                                              </w:divBdr>
                                              <w:divsChild>
                                                <w:div w:id="29377683">
                                                  <w:marLeft w:val="0"/>
                                                  <w:marRight w:val="0"/>
                                                  <w:marTop w:val="0"/>
                                                  <w:marBottom w:val="405"/>
                                                  <w:divBdr>
                                                    <w:top w:val="none" w:sz="0" w:space="0" w:color="auto"/>
                                                    <w:left w:val="none" w:sz="0" w:space="0" w:color="auto"/>
                                                    <w:bottom w:val="none" w:sz="0" w:space="0" w:color="auto"/>
                                                    <w:right w:val="none" w:sz="0" w:space="0" w:color="auto"/>
                                                  </w:divBdr>
                                                  <w:divsChild>
                                                    <w:div w:id="1999068116">
                                                      <w:marLeft w:val="0"/>
                                                      <w:marRight w:val="0"/>
                                                      <w:marTop w:val="0"/>
                                                      <w:marBottom w:val="0"/>
                                                      <w:divBdr>
                                                        <w:top w:val="none" w:sz="0" w:space="0" w:color="auto"/>
                                                        <w:left w:val="none" w:sz="0" w:space="0" w:color="auto"/>
                                                        <w:bottom w:val="none" w:sz="0" w:space="0" w:color="auto"/>
                                                        <w:right w:val="none" w:sz="0" w:space="0" w:color="auto"/>
                                                      </w:divBdr>
                                                      <w:divsChild>
                                                        <w:div w:id="692266527">
                                                          <w:marLeft w:val="0"/>
                                                          <w:marRight w:val="0"/>
                                                          <w:marTop w:val="0"/>
                                                          <w:marBottom w:val="0"/>
                                                          <w:divBdr>
                                                            <w:top w:val="single" w:sz="6" w:space="0" w:color="DFE1E5"/>
                                                            <w:left w:val="single" w:sz="6" w:space="0" w:color="DFE1E5"/>
                                                            <w:bottom w:val="single" w:sz="6" w:space="0" w:color="DFE1E5"/>
                                                            <w:right w:val="single" w:sz="6" w:space="0" w:color="DFE1E5"/>
                                                          </w:divBdr>
                                                          <w:divsChild>
                                                            <w:div w:id="907347012">
                                                              <w:marLeft w:val="0"/>
                                                              <w:marRight w:val="0"/>
                                                              <w:marTop w:val="0"/>
                                                              <w:marBottom w:val="0"/>
                                                              <w:divBdr>
                                                                <w:top w:val="none" w:sz="0" w:space="0" w:color="auto"/>
                                                                <w:left w:val="none" w:sz="0" w:space="0" w:color="auto"/>
                                                                <w:bottom w:val="none" w:sz="0" w:space="0" w:color="auto"/>
                                                                <w:right w:val="none" w:sz="0" w:space="0" w:color="auto"/>
                                                              </w:divBdr>
                                                              <w:divsChild>
                                                                <w:div w:id="516309388">
                                                                  <w:marLeft w:val="0"/>
                                                                  <w:marRight w:val="0"/>
                                                                  <w:marTop w:val="0"/>
                                                                  <w:marBottom w:val="0"/>
                                                                  <w:divBdr>
                                                                    <w:top w:val="none" w:sz="0" w:space="0" w:color="auto"/>
                                                                    <w:left w:val="none" w:sz="0" w:space="0" w:color="auto"/>
                                                                    <w:bottom w:val="none" w:sz="0" w:space="0" w:color="auto"/>
                                                                    <w:right w:val="none" w:sz="0" w:space="0" w:color="auto"/>
                                                                  </w:divBdr>
                                                                  <w:divsChild>
                                                                    <w:div w:id="1113014107">
                                                                      <w:marLeft w:val="0"/>
                                                                      <w:marRight w:val="0"/>
                                                                      <w:marTop w:val="0"/>
                                                                      <w:marBottom w:val="0"/>
                                                                      <w:divBdr>
                                                                        <w:top w:val="none" w:sz="0" w:space="0" w:color="auto"/>
                                                                        <w:left w:val="none" w:sz="0" w:space="0" w:color="auto"/>
                                                                        <w:bottom w:val="none" w:sz="0" w:space="0" w:color="auto"/>
                                                                        <w:right w:val="none" w:sz="0" w:space="0" w:color="auto"/>
                                                                      </w:divBdr>
                                                                      <w:divsChild>
                                                                        <w:div w:id="1837721826">
                                                                          <w:marLeft w:val="0"/>
                                                                          <w:marRight w:val="0"/>
                                                                          <w:marTop w:val="0"/>
                                                                          <w:marBottom w:val="0"/>
                                                                          <w:divBdr>
                                                                            <w:top w:val="none" w:sz="0" w:space="0" w:color="auto"/>
                                                                            <w:left w:val="none" w:sz="0" w:space="0" w:color="auto"/>
                                                                            <w:bottom w:val="none" w:sz="0" w:space="0" w:color="auto"/>
                                                                            <w:right w:val="none" w:sz="0" w:space="0" w:color="auto"/>
                                                                          </w:divBdr>
                                                                          <w:divsChild>
                                                                            <w:div w:id="1798640023">
                                                                              <w:marLeft w:val="0"/>
                                                                              <w:marRight w:val="0"/>
                                                                              <w:marTop w:val="0"/>
                                                                              <w:marBottom w:val="0"/>
                                                                              <w:divBdr>
                                                                                <w:top w:val="none" w:sz="0" w:space="0" w:color="auto"/>
                                                                                <w:left w:val="none" w:sz="0" w:space="0" w:color="auto"/>
                                                                                <w:bottom w:val="none" w:sz="0" w:space="0" w:color="auto"/>
                                                                                <w:right w:val="none" w:sz="0" w:space="0" w:color="auto"/>
                                                                              </w:divBdr>
                                                                              <w:divsChild>
                                                                                <w:div w:id="813642051">
                                                                                  <w:marLeft w:val="0"/>
                                                                                  <w:marRight w:val="0"/>
                                                                                  <w:marTop w:val="0"/>
                                                                                  <w:marBottom w:val="0"/>
                                                                                  <w:divBdr>
                                                                                    <w:top w:val="none" w:sz="0" w:space="0" w:color="auto"/>
                                                                                    <w:left w:val="none" w:sz="0" w:space="0" w:color="auto"/>
                                                                                    <w:bottom w:val="none" w:sz="0" w:space="0" w:color="auto"/>
                                                                                    <w:right w:val="none" w:sz="0" w:space="0" w:color="auto"/>
                                                                                  </w:divBdr>
                                                                                  <w:divsChild>
                                                                                    <w:div w:id="11021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6647158">
      <w:bodyDiv w:val="1"/>
      <w:marLeft w:val="0"/>
      <w:marRight w:val="0"/>
      <w:marTop w:val="0"/>
      <w:marBottom w:val="0"/>
      <w:divBdr>
        <w:top w:val="none" w:sz="0" w:space="0" w:color="auto"/>
        <w:left w:val="none" w:sz="0" w:space="0" w:color="auto"/>
        <w:bottom w:val="none" w:sz="0" w:space="0" w:color="auto"/>
        <w:right w:val="none" w:sz="0" w:space="0" w:color="auto"/>
      </w:divBdr>
      <w:divsChild>
        <w:div w:id="2098012686">
          <w:marLeft w:val="0"/>
          <w:marRight w:val="0"/>
          <w:marTop w:val="0"/>
          <w:marBottom w:val="0"/>
          <w:divBdr>
            <w:top w:val="none" w:sz="0" w:space="0" w:color="auto"/>
            <w:left w:val="none" w:sz="0" w:space="0" w:color="auto"/>
            <w:bottom w:val="none" w:sz="0" w:space="0" w:color="auto"/>
            <w:right w:val="none" w:sz="0" w:space="0" w:color="auto"/>
          </w:divBdr>
          <w:divsChild>
            <w:div w:id="48580543">
              <w:marLeft w:val="0"/>
              <w:marRight w:val="0"/>
              <w:marTop w:val="0"/>
              <w:marBottom w:val="0"/>
              <w:divBdr>
                <w:top w:val="none" w:sz="0" w:space="0" w:color="auto"/>
                <w:left w:val="none" w:sz="0" w:space="0" w:color="auto"/>
                <w:bottom w:val="none" w:sz="0" w:space="0" w:color="auto"/>
                <w:right w:val="none" w:sz="0" w:space="0" w:color="auto"/>
              </w:divBdr>
              <w:divsChild>
                <w:div w:id="1118375460">
                  <w:marLeft w:val="0"/>
                  <w:marRight w:val="0"/>
                  <w:marTop w:val="0"/>
                  <w:marBottom w:val="0"/>
                  <w:divBdr>
                    <w:top w:val="none" w:sz="0" w:space="0" w:color="auto"/>
                    <w:left w:val="none" w:sz="0" w:space="0" w:color="auto"/>
                    <w:bottom w:val="none" w:sz="0" w:space="0" w:color="auto"/>
                    <w:right w:val="none" w:sz="0" w:space="0" w:color="auto"/>
                  </w:divBdr>
                  <w:divsChild>
                    <w:div w:id="192041151">
                      <w:marLeft w:val="0"/>
                      <w:marRight w:val="0"/>
                      <w:marTop w:val="0"/>
                      <w:marBottom w:val="0"/>
                      <w:divBdr>
                        <w:top w:val="none" w:sz="0" w:space="0" w:color="auto"/>
                        <w:left w:val="none" w:sz="0" w:space="0" w:color="auto"/>
                        <w:bottom w:val="none" w:sz="0" w:space="0" w:color="auto"/>
                        <w:right w:val="none" w:sz="0" w:space="0" w:color="auto"/>
                      </w:divBdr>
                      <w:divsChild>
                        <w:div w:id="704794927">
                          <w:marLeft w:val="0"/>
                          <w:marRight w:val="0"/>
                          <w:marTop w:val="0"/>
                          <w:marBottom w:val="0"/>
                          <w:divBdr>
                            <w:top w:val="none" w:sz="0" w:space="0" w:color="auto"/>
                            <w:left w:val="none" w:sz="0" w:space="0" w:color="auto"/>
                            <w:bottom w:val="none" w:sz="0" w:space="0" w:color="auto"/>
                            <w:right w:val="none" w:sz="0" w:space="0" w:color="auto"/>
                          </w:divBdr>
                          <w:divsChild>
                            <w:div w:id="1480539455">
                              <w:marLeft w:val="2700"/>
                              <w:marRight w:val="3960"/>
                              <w:marTop w:val="0"/>
                              <w:marBottom w:val="0"/>
                              <w:divBdr>
                                <w:top w:val="none" w:sz="0" w:space="0" w:color="auto"/>
                                <w:left w:val="none" w:sz="0" w:space="0" w:color="auto"/>
                                <w:bottom w:val="none" w:sz="0" w:space="0" w:color="auto"/>
                                <w:right w:val="none" w:sz="0" w:space="0" w:color="auto"/>
                              </w:divBdr>
                              <w:divsChild>
                                <w:div w:id="1829207738">
                                  <w:marLeft w:val="0"/>
                                  <w:marRight w:val="0"/>
                                  <w:marTop w:val="0"/>
                                  <w:marBottom w:val="0"/>
                                  <w:divBdr>
                                    <w:top w:val="none" w:sz="0" w:space="0" w:color="auto"/>
                                    <w:left w:val="none" w:sz="0" w:space="0" w:color="auto"/>
                                    <w:bottom w:val="none" w:sz="0" w:space="0" w:color="auto"/>
                                    <w:right w:val="none" w:sz="0" w:space="0" w:color="auto"/>
                                  </w:divBdr>
                                  <w:divsChild>
                                    <w:div w:id="391658089">
                                      <w:marLeft w:val="0"/>
                                      <w:marRight w:val="0"/>
                                      <w:marTop w:val="0"/>
                                      <w:marBottom w:val="0"/>
                                      <w:divBdr>
                                        <w:top w:val="none" w:sz="0" w:space="0" w:color="auto"/>
                                        <w:left w:val="none" w:sz="0" w:space="0" w:color="auto"/>
                                        <w:bottom w:val="none" w:sz="0" w:space="0" w:color="auto"/>
                                        <w:right w:val="none" w:sz="0" w:space="0" w:color="auto"/>
                                      </w:divBdr>
                                      <w:divsChild>
                                        <w:div w:id="2120829434">
                                          <w:marLeft w:val="0"/>
                                          <w:marRight w:val="0"/>
                                          <w:marTop w:val="0"/>
                                          <w:marBottom w:val="0"/>
                                          <w:divBdr>
                                            <w:top w:val="none" w:sz="0" w:space="0" w:color="auto"/>
                                            <w:left w:val="none" w:sz="0" w:space="0" w:color="auto"/>
                                            <w:bottom w:val="none" w:sz="0" w:space="0" w:color="auto"/>
                                            <w:right w:val="none" w:sz="0" w:space="0" w:color="auto"/>
                                          </w:divBdr>
                                          <w:divsChild>
                                            <w:div w:id="964509307">
                                              <w:marLeft w:val="0"/>
                                              <w:marRight w:val="0"/>
                                              <w:marTop w:val="90"/>
                                              <w:marBottom w:val="0"/>
                                              <w:divBdr>
                                                <w:top w:val="none" w:sz="0" w:space="0" w:color="auto"/>
                                                <w:left w:val="none" w:sz="0" w:space="0" w:color="auto"/>
                                                <w:bottom w:val="none" w:sz="0" w:space="0" w:color="auto"/>
                                                <w:right w:val="none" w:sz="0" w:space="0" w:color="auto"/>
                                              </w:divBdr>
                                              <w:divsChild>
                                                <w:div w:id="687684757">
                                                  <w:marLeft w:val="0"/>
                                                  <w:marRight w:val="0"/>
                                                  <w:marTop w:val="0"/>
                                                  <w:marBottom w:val="405"/>
                                                  <w:divBdr>
                                                    <w:top w:val="none" w:sz="0" w:space="0" w:color="auto"/>
                                                    <w:left w:val="none" w:sz="0" w:space="0" w:color="auto"/>
                                                    <w:bottom w:val="none" w:sz="0" w:space="0" w:color="auto"/>
                                                    <w:right w:val="none" w:sz="0" w:space="0" w:color="auto"/>
                                                  </w:divBdr>
                                                  <w:divsChild>
                                                    <w:div w:id="1050693945">
                                                      <w:marLeft w:val="0"/>
                                                      <w:marRight w:val="0"/>
                                                      <w:marTop w:val="0"/>
                                                      <w:marBottom w:val="0"/>
                                                      <w:divBdr>
                                                        <w:top w:val="none" w:sz="0" w:space="0" w:color="auto"/>
                                                        <w:left w:val="none" w:sz="0" w:space="0" w:color="auto"/>
                                                        <w:bottom w:val="none" w:sz="0" w:space="0" w:color="auto"/>
                                                        <w:right w:val="none" w:sz="0" w:space="0" w:color="auto"/>
                                                      </w:divBdr>
                                                      <w:divsChild>
                                                        <w:div w:id="320545249">
                                                          <w:marLeft w:val="0"/>
                                                          <w:marRight w:val="0"/>
                                                          <w:marTop w:val="0"/>
                                                          <w:marBottom w:val="0"/>
                                                          <w:divBdr>
                                                            <w:top w:val="single" w:sz="6" w:space="0" w:color="DFE1E5"/>
                                                            <w:left w:val="single" w:sz="6" w:space="0" w:color="DFE1E5"/>
                                                            <w:bottom w:val="single" w:sz="6" w:space="0" w:color="DFE1E5"/>
                                                            <w:right w:val="single" w:sz="6" w:space="0" w:color="DFE1E5"/>
                                                          </w:divBdr>
                                                          <w:divsChild>
                                                            <w:div w:id="418134768">
                                                              <w:marLeft w:val="0"/>
                                                              <w:marRight w:val="0"/>
                                                              <w:marTop w:val="0"/>
                                                              <w:marBottom w:val="0"/>
                                                              <w:divBdr>
                                                                <w:top w:val="none" w:sz="0" w:space="0" w:color="auto"/>
                                                                <w:left w:val="none" w:sz="0" w:space="0" w:color="auto"/>
                                                                <w:bottom w:val="none" w:sz="0" w:space="0" w:color="auto"/>
                                                                <w:right w:val="none" w:sz="0" w:space="0" w:color="auto"/>
                                                              </w:divBdr>
                                                              <w:divsChild>
                                                                <w:div w:id="285310555">
                                                                  <w:marLeft w:val="0"/>
                                                                  <w:marRight w:val="0"/>
                                                                  <w:marTop w:val="0"/>
                                                                  <w:marBottom w:val="0"/>
                                                                  <w:divBdr>
                                                                    <w:top w:val="none" w:sz="0" w:space="0" w:color="auto"/>
                                                                    <w:left w:val="none" w:sz="0" w:space="0" w:color="auto"/>
                                                                    <w:bottom w:val="none" w:sz="0" w:space="0" w:color="auto"/>
                                                                    <w:right w:val="none" w:sz="0" w:space="0" w:color="auto"/>
                                                                  </w:divBdr>
                                                                  <w:divsChild>
                                                                    <w:div w:id="861748619">
                                                                      <w:marLeft w:val="0"/>
                                                                      <w:marRight w:val="0"/>
                                                                      <w:marTop w:val="0"/>
                                                                      <w:marBottom w:val="0"/>
                                                                      <w:divBdr>
                                                                        <w:top w:val="none" w:sz="0" w:space="0" w:color="auto"/>
                                                                        <w:left w:val="none" w:sz="0" w:space="0" w:color="auto"/>
                                                                        <w:bottom w:val="none" w:sz="0" w:space="0" w:color="auto"/>
                                                                        <w:right w:val="none" w:sz="0" w:space="0" w:color="auto"/>
                                                                      </w:divBdr>
                                                                      <w:divsChild>
                                                                        <w:div w:id="1834486436">
                                                                          <w:marLeft w:val="0"/>
                                                                          <w:marRight w:val="0"/>
                                                                          <w:marTop w:val="0"/>
                                                                          <w:marBottom w:val="0"/>
                                                                          <w:divBdr>
                                                                            <w:top w:val="none" w:sz="0" w:space="0" w:color="auto"/>
                                                                            <w:left w:val="none" w:sz="0" w:space="0" w:color="auto"/>
                                                                            <w:bottom w:val="none" w:sz="0" w:space="0" w:color="auto"/>
                                                                            <w:right w:val="none" w:sz="0" w:space="0" w:color="auto"/>
                                                                          </w:divBdr>
                                                                          <w:divsChild>
                                                                            <w:div w:id="1826822849">
                                                                              <w:marLeft w:val="0"/>
                                                                              <w:marRight w:val="0"/>
                                                                              <w:marTop w:val="0"/>
                                                                              <w:marBottom w:val="0"/>
                                                                              <w:divBdr>
                                                                                <w:top w:val="none" w:sz="0" w:space="0" w:color="auto"/>
                                                                                <w:left w:val="none" w:sz="0" w:space="0" w:color="auto"/>
                                                                                <w:bottom w:val="none" w:sz="0" w:space="0" w:color="auto"/>
                                                                                <w:right w:val="none" w:sz="0" w:space="0" w:color="auto"/>
                                                                              </w:divBdr>
                                                                              <w:divsChild>
                                                                                <w:div w:id="1451784403">
                                                                                  <w:marLeft w:val="0"/>
                                                                                  <w:marRight w:val="0"/>
                                                                                  <w:marTop w:val="0"/>
                                                                                  <w:marBottom w:val="0"/>
                                                                                  <w:divBdr>
                                                                                    <w:top w:val="none" w:sz="0" w:space="0" w:color="auto"/>
                                                                                    <w:left w:val="none" w:sz="0" w:space="0" w:color="auto"/>
                                                                                    <w:bottom w:val="none" w:sz="0" w:space="0" w:color="auto"/>
                                                                                    <w:right w:val="none" w:sz="0" w:space="0" w:color="auto"/>
                                                                                  </w:divBdr>
                                                                                  <w:divsChild>
                                                                                    <w:div w:id="15246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7032798">
      <w:bodyDiv w:val="1"/>
      <w:marLeft w:val="0"/>
      <w:marRight w:val="0"/>
      <w:marTop w:val="0"/>
      <w:marBottom w:val="0"/>
      <w:divBdr>
        <w:top w:val="none" w:sz="0" w:space="0" w:color="auto"/>
        <w:left w:val="none" w:sz="0" w:space="0" w:color="auto"/>
        <w:bottom w:val="none" w:sz="0" w:space="0" w:color="auto"/>
        <w:right w:val="none" w:sz="0" w:space="0" w:color="auto"/>
      </w:divBdr>
      <w:divsChild>
        <w:div w:id="563025054">
          <w:marLeft w:val="0"/>
          <w:marRight w:val="0"/>
          <w:marTop w:val="0"/>
          <w:marBottom w:val="0"/>
          <w:divBdr>
            <w:top w:val="none" w:sz="0" w:space="0" w:color="auto"/>
            <w:left w:val="none" w:sz="0" w:space="0" w:color="auto"/>
            <w:bottom w:val="none" w:sz="0" w:space="0" w:color="auto"/>
            <w:right w:val="none" w:sz="0" w:space="0" w:color="auto"/>
          </w:divBdr>
          <w:divsChild>
            <w:div w:id="861091334">
              <w:marLeft w:val="0"/>
              <w:marRight w:val="0"/>
              <w:marTop w:val="0"/>
              <w:marBottom w:val="0"/>
              <w:divBdr>
                <w:top w:val="none" w:sz="0" w:space="0" w:color="auto"/>
                <w:left w:val="none" w:sz="0" w:space="0" w:color="auto"/>
                <w:bottom w:val="none" w:sz="0" w:space="0" w:color="auto"/>
                <w:right w:val="none" w:sz="0" w:space="0" w:color="auto"/>
              </w:divBdr>
              <w:divsChild>
                <w:div w:id="1008875462">
                  <w:marLeft w:val="0"/>
                  <w:marRight w:val="0"/>
                  <w:marTop w:val="0"/>
                  <w:marBottom w:val="0"/>
                  <w:divBdr>
                    <w:top w:val="none" w:sz="0" w:space="0" w:color="auto"/>
                    <w:left w:val="none" w:sz="0" w:space="0" w:color="auto"/>
                    <w:bottom w:val="none" w:sz="0" w:space="0" w:color="auto"/>
                    <w:right w:val="none" w:sz="0" w:space="0" w:color="auto"/>
                  </w:divBdr>
                  <w:divsChild>
                    <w:div w:id="197665442">
                      <w:marLeft w:val="0"/>
                      <w:marRight w:val="0"/>
                      <w:marTop w:val="0"/>
                      <w:marBottom w:val="0"/>
                      <w:divBdr>
                        <w:top w:val="none" w:sz="0" w:space="0" w:color="auto"/>
                        <w:left w:val="none" w:sz="0" w:space="0" w:color="auto"/>
                        <w:bottom w:val="none" w:sz="0" w:space="0" w:color="auto"/>
                        <w:right w:val="none" w:sz="0" w:space="0" w:color="auto"/>
                      </w:divBdr>
                      <w:divsChild>
                        <w:div w:id="473373888">
                          <w:marLeft w:val="0"/>
                          <w:marRight w:val="0"/>
                          <w:marTop w:val="0"/>
                          <w:marBottom w:val="0"/>
                          <w:divBdr>
                            <w:top w:val="none" w:sz="0" w:space="0" w:color="auto"/>
                            <w:left w:val="none" w:sz="0" w:space="0" w:color="auto"/>
                            <w:bottom w:val="none" w:sz="0" w:space="0" w:color="auto"/>
                            <w:right w:val="none" w:sz="0" w:space="0" w:color="auto"/>
                          </w:divBdr>
                          <w:divsChild>
                            <w:div w:id="580454398">
                              <w:marLeft w:val="2700"/>
                              <w:marRight w:val="3960"/>
                              <w:marTop w:val="0"/>
                              <w:marBottom w:val="0"/>
                              <w:divBdr>
                                <w:top w:val="none" w:sz="0" w:space="0" w:color="auto"/>
                                <w:left w:val="none" w:sz="0" w:space="0" w:color="auto"/>
                                <w:bottom w:val="none" w:sz="0" w:space="0" w:color="auto"/>
                                <w:right w:val="none" w:sz="0" w:space="0" w:color="auto"/>
                              </w:divBdr>
                              <w:divsChild>
                                <w:div w:id="517696143">
                                  <w:marLeft w:val="0"/>
                                  <w:marRight w:val="0"/>
                                  <w:marTop w:val="0"/>
                                  <w:marBottom w:val="0"/>
                                  <w:divBdr>
                                    <w:top w:val="none" w:sz="0" w:space="0" w:color="auto"/>
                                    <w:left w:val="none" w:sz="0" w:space="0" w:color="auto"/>
                                    <w:bottom w:val="none" w:sz="0" w:space="0" w:color="auto"/>
                                    <w:right w:val="none" w:sz="0" w:space="0" w:color="auto"/>
                                  </w:divBdr>
                                  <w:divsChild>
                                    <w:div w:id="1013612400">
                                      <w:marLeft w:val="0"/>
                                      <w:marRight w:val="0"/>
                                      <w:marTop w:val="0"/>
                                      <w:marBottom w:val="0"/>
                                      <w:divBdr>
                                        <w:top w:val="none" w:sz="0" w:space="0" w:color="auto"/>
                                        <w:left w:val="none" w:sz="0" w:space="0" w:color="auto"/>
                                        <w:bottom w:val="none" w:sz="0" w:space="0" w:color="auto"/>
                                        <w:right w:val="none" w:sz="0" w:space="0" w:color="auto"/>
                                      </w:divBdr>
                                      <w:divsChild>
                                        <w:div w:id="1701121643">
                                          <w:marLeft w:val="0"/>
                                          <w:marRight w:val="0"/>
                                          <w:marTop w:val="0"/>
                                          <w:marBottom w:val="0"/>
                                          <w:divBdr>
                                            <w:top w:val="none" w:sz="0" w:space="0" w:color="auto"/>
                                            <w:left w:val="none" w:sz="0" w:space="0" w:color="auto"/>
                                            <w:bottom w:val="none" w:sz="0" w:space="0" w:color="auto"/>
                                            <w:right w:val="none" w:sz="0" w:space="0" w:color="auto"/>
                                          </w:divBdr>
                                          <w:divsChild>
                                            <w:div w:id="1188983545">
                                              <w:marLeft w:val="0"/>
                                              <w:marRight w:val="0"/>
                                              <w:marTop w:val="90"/>
                                              <w:marBottom w:val="0"/>
                                              <w:divBdr>
                                                <w:top w:val="none" w:sz="0" w:space="0" w:color="auto"/>
                                                <w:left w:val="none" w:sz="0" w:space="0" w:color="auto"/>
                                                <w:bottom w:val="none" w:sz="0" w:space="0" w:color="auto"/>
                                                <w:right w:val="none" w:sz="0" w:space="0" w:color="auto"/>
                                              </w:divBdr>
                                              <w:divsChild>
                                                <w:div w:id="2037536986">
                                                  <w:marLeft w:val="0"/>
                                                  <w:marRight w:val="0"/>
                                                  <w:marTop w:val="0"/>
                                                  <w:marBottom w:val="405"/>
                                                  <w:divBdr>
                                                    <w:top w:val="none" w:sz="0" w:space="0" w:color="auto"/>
                                                    <w:left w:val="none" w:sz="0" w:space="0" w:color="auto"/>
                                                    <w:bottom w:val="none" w:sz="0" w:space="0" w:color="auto"/>
                                                    <w:right w:val="none" w:sz="0" w:space="0" w:color="auto"/>
                                                  </w:divBdr>
                                                  <w:divsChild>
                                                    <w:div w:id="105972519">
                                                      <w:marLeft w:val="0"/>
                                                      <w:marRight w:val="0"/>
                                                      <w:marTop w:val="0"/>
                                                      <w:marBottom w:val="0"/>
                                                      <w:divBdr>
                                                        <w:top w:val="none" w:sz="0" w:space="0" w:color="auto"/>
                                                        <w:left w:val="none" w:sz="0" w:space="0" w:color="auto"/>
                                                        <w:bottom w:val="none" w:sz="0" w:space="0" w:color="auto"/>
                                                        <w:right w:val="none" w:sz="0" w:space="0" w:color="auto"/>
                                                      </w:divBdr>
                                                      <w:divsChild>
                                                        <w:div w:id="2043824300">
                                                          <w:marLeft w:val="0"/>
                                                          <w:marRight w:val="0"/>
                                                          <w:marTop w:val="0"/>
                                                          <w:marBottom w:val="0"/>
                                                          <w:divBdr>
                                                            <w:top w:val="single" w:sz="6" w:space="0" w:color="DFE1E5"/>
                                                            <w:left w:val="single" w:sz="6" w:space="0" w:color="DFE1E5"/>
                                                            <w:bottom w:val="single" w:sz="6" w:space="0" w:color="DFE1E5"/>
                                                            <w:right w:val="single" w:sz="6" w:space="0" w:color="DFE1E5"/>
                                                          </w:divBdr>
                                                          <w:divsChild>
                                                            <w:div w:id="1282570585">
                                                              <w:marLeft w:val="0"/>
                                                              <w:marRight w:val="0"/>
                                                              <w:marTop w:val="0"/>
                                                              <w:marBottom w:val="0"/>
                                                              <w:divBdr>
                                                                <w:top w:val="none" w:sz="0" w:space="0" w:color="auto"/>
                                                                <w:left w:val="none" w:sz="0" w:space="0" w:color="auto"/>
                                                                <w:bottom w:val="none" w:sz="0" w:space="0" w:color="auto"/>
                                                                <w:right w:val="none" w:sz="0" w:space="0" w:color="auto"/>
                                                              </w:divBdr>
                                                              <w:divsChild>
                                                                <w:div w:id="32268310">
                                                                  <w:marLeft w:val="0"/>
                                                                  <w:marRight w:val="0"/>
                                                                  <w:marTop w:val="0"/>
                                                                  <w:marBottom w:val="0"/>
                                                                  <w:divBdr>
                                                                    <w:top w:val="none" w:sz="0" w:space="0" w:color="auto"/>
                                                                    <w:left w:val="none" w:sz="0" w:space="0" w:color="auto"/>
                                                                    <w:bottom w:val="none" w:sz="0" w:space="0" w:color="auto"/>
                                                                    <w:right w:val="none" w:sz="0" w:space="0" w:color="auto"/>
                                                                  </w:divBdr>
                                                                  <w:divsChild>
                                                                    <w:div w:id="1597061090">
                                                                      <w:marLeft w:val="0"/>
                                                                      <w:marRight w:val="0"/>
                                                                      <w:marTop w:val="0"/>
                                                                      <w:marBottom w:val="0"/>
                                                                      <w:divBdr>
                                                                        <w:top w:val="none" w:sz="0" w:space="0" w:color="auto"/>
                                                                        <w:left w:val="none" w:sz="0" w:space="0" w:color="auto"/>
                                                                        <w:bottom w:val="none" w:sz="0" w:space="0" w:color="auto"/>
                                                                        <w:right w:val="none" w:sz="0" w:space="0" w:color="auto"/>
                                                                      </w:divBdr>
                                                                      <w:divsChild>
                                                                        <w:div w:id="1689477316">
                                                                          <w:marLeft w:val="0"/>
                                                                          <w:marRight w:val="0"/>
                                                                          <w:marTop w:val="0"/>
                                                                          <w:marBottom w:val="0"/>
                                                                          <w:divBdr>
                                                                            <w:top w:val="none" w:sz="0" w:space="0" w:color="auto"/>
                                                                            <w:left w:val="none" w:sz="0" w:space="0" w:color="auto"/>
                                                                            <w:bottom w:val="none" w:sz="0" w:space="0" w:color="auto"/>
                                                                            <w:right w:val="none" w:sz="0" w:space="0" w:color="auto"/>
                                                                          </w:divBdr>
                                                                          <w:divsChild>
                                                                            <w:div w:id="643781273">
                                                                              <w:marLeft w:val="0"/>
                                                                              <w:marRight w:val="0"/>
                                                                              <w:marTop w:val="0"/>
                                                                              <w:marBottom w:val="0"/>
                                                                              <w:divBdr>
                                                                                <w:top w:val="none" w:sz="0" w:space="0" w:color="auto"/>
                                                                                <w:left w:val="none" w:sz="0" w:space="0" w:color="auto"/>
                                                                                <w:bottom w:val="none" w:sz="0" w:space="0" w:color="auto"/>
                                                                                <w:right w:val="none" w:sz="0" w:space="0" w:color="auto"/>
                                                                              </w:divBdr>
                                                                              <w:divsChild>
                                                                                <w:div w:id="1463382592">
                                                                                  <w:marLeft w:val="0"/>
                                                                                  <w:marRight w:val="0"/>
                                                                                  <w:marTop w:val="0"/>
                                                                                  <w:marBottom w:val="0"/>
                                                                                  <w:divBdr>
                                                                                    <w:top w:val="none" w:sz="0" w:space="0" w:color="auto"/>
                                                                                    <w:left w:val="none" w:sz="0" w:space="0" w:color="auto"/>
                                                                                    <w:bottom w:val="none" w:sz="0" w:space="0" w:color="auto"/>
                                                                                    <w:right w:val="none" w:sz="0" w:space="0" w:color="auto"/>
                                                                                  </w:divBdr>
                                                                                  <w:divsChild>
                                                                                    <w:div w:id="177906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7826728">
      <w:bodyDiv w:val="1"/>
      <w:marLeft w:val="0"/>
      <w:marRight w:val="0"/>
      <w:marTop w:val="0"/>
      <w:marBottom w:val="0"/>
      <w:divBdr>
        <w:top w:val="none" w:sz="0" w:space="0" w:color="auto"/>
        <w:left w:val="none" w:sz="0" w:space="0" w:color="auto"/>
        <w:bottom w:val="none" w:sz="0" w:space="0" w:color="auto"/>
        <w:right w:val="none" w:sz="0" w:space="0" w:color="auto"/>
      </w:divBdr>
      <w:divsChild>
        <w:div w:id="861743501">
          <w:marLeft w:val="0"/>
          <w:marRight w:val="0"/>
          <w:marTop w:val="0"/>
          <w:marBottom w:val="0"/>
          <w:divBdr>
            <w:top w:val="none" w:sz="0" w:space="0" w:color="auto"/>
            <w:left w:val="none" w:sz="0" w:space="0" w:color="auto"/>
            <w:bottom w:val="none" w:sz="0" w:space="0" w:color="auto"/>
            <w:right w:val="none" w:sz="0" w:space="0" w:color="auto"/>
          </w:divBdr>
          <w:divsChild>
            <w:div w:id="1949967637">
              <w:marLeft w:val="0"/>
              <w:marRight w:val="0"/>
              <w:marTop w:val="0"/>
              <w:marBottom w:val="0"/>
              <w:divBdr>
                <w:top w:val="none" w:sz="0" w:space="0" w:color="auto"/>
                <w:left w:val="none" w:sz="0" w:space="0" w:color="auto"/>
                <w:bottom w:val="none" w:sz="0" w:space="0" w:color="auto"/>
                <w:right w:val="none" w:sz="0" w:space="0" w:color="auto"/>
              </w:divBdr>
              <w:divsChild>
                <w:div w:id="1822040776">
                  <w:marLeft w:val="0"/>
                  <w:marRight w:val="0"/>
                  <w:marTop w:val="0"/>
                  <w:marBottom w:val="0"/>
                  <w:divBdr>
                    <w:top w:val="none" w:sz="0" w:space="0" w:color="auto"/>
                    <w:left w:val="none" w:sz="0" w:space="0" w:color="auto"/>
                    <w:bottom w:val="none" w:sz="0" w:space="0" w:color="auto"/>
                    <w:right w:val="none" w:sz="0" w:space="0" w:color="auto"/>
                  </w:divBdr>
                  <w:divsChild>
                    <w:div w:id="1379087333">
                      <w:marLeft w:val="0"/>
                      <w:marRight w:val="0"/>
                      <w:marTop w:val="0"/>
                      <w:marBottom w:val="0"/>
                      <w:divBdr>
                        <w:top w:val="none" w:sz="0" w:space="0" w:color="auto"/>
                        <w:left w:val="none" w:sz="0" w:space="0" w:color="auto"/>
                        <w:bottom w:val="none" w:sz="0" w:space="0" w:color="auto"/>
                        <w:right w:val="none" w:sz="0" w:space="0" w:color="auto"/>
                      </w:divBdr>
                      <w:divsChild>
                        <w:div w:id="455442256">
                          <w:marLeft w:val="0"/>
                          <w:marRight w:val="0"/>
                          <w:marTop w:val="0"/>
                          <w:marBottom w:val="0"/>
                          <w:divBdr>
                            <w:top w:val="none" w:sz="0" w:space="0" w:color="auto"/>
                            <w:left w:val="none" w:sz="0" w:space="0" w:color="auto"/>
                            <w:bottom w:val="none" w:sz="0" w:space="0" w:color="auto"/>
                            <w:right w:val="none" w:sz="0" w:space="0" w:color="auto"/>
                          </w:divBdr>
                          <w:divsChild>
                            <w:div w:id="1426849826">
                              <w:marLeft w:val="2700"/>
                              <w:marRight w:val="3960"/>
                              <w:marTop w:val="0"/>
                              <w:marBottom w:val="0"/>
                              <w:divBdr>
                                <w:top w:val="none" w:sz="0" w:space="0" w:color="auto"/>
                                <w:left w:val="none" w:sz="0" w:space="0" w:color="auto"/>
                                <w:bottom w:val="none" w:sz="0" w:space="0" w:color="auto"/>
                                <w:right w:val="none" w:sz="0" w:space="0" w:color="auto"/>
                              </w:divBdr>
                              <w:divsChild>
                                <w:div w:id="734935259">
                                  <w:marLeft w:val="0"/>
                                  <w:marRight w:val="0"/>
                                  <w:marTop w:val="0"/>
                                  <w:marBottom w:val="0"/>
                                  <w:divBdr>
                                    <w:top w:val="none" w:sz="0" w:space="0" w:color="auto"/>
                                    <w:left w:val="none" w:sz="0" w:space="0" w:color="auto"/>
                                    <w:bottom w:val="none" w:sz="0" w:space="0" w:color="auto"/>
                                    <w:right w:val="none" w:sz="0" w:space="0" w:color="auto"/>
                                  </w:divBdr>
                                  <w:divsChild>
                                    <w:div w:id="2109420388">
                                      <w:marLeft w:val="0"/>
                                      <w:marRight w:val="0"/>
                                      <w:marTop w:val="0"/>
                                      <w:marBottom w:val="0"/>
                                      <w:divBdr>
                                        <w:top w:val="none" w:sz="0" w:space="0" w:color="auto"/>
                                        <w:left w:val="none" w:sz="0" w:space="0" w:color="auto"/>
                                        <w:bottom w:val="none" w:sz="0" w:space="0" w:color="auto"/>
                                        <w:right w:val="none" w:sz="0" w:space="0" w:color="auto"/>
                                      </w:divBdr>
                                      <w:divsChild>
                                        <w:div w:id="544098179">
                                          <w:marLeft w:val="0"/>
                                          <w:marRight w:val="0"/>
                                          <w:marTop w:val="0"/>
                                          <w:marBottom w:val="0"/>
                                          <w:divBdr>
                                            <w:top w:val="none" w:sz="0" w:space="0" w:color="auto"/>
                                            <w:left w:val="none" w:sz="0" w:space="0" w:color="auto"/>
                                            <w:bottom w:val="none" w:sz="0" w:space="0" w:color="auto"/>
                                            <w:right w:val="none" w:sz="0" w:space="0" w:color="auto"/>
                                          </w:divBdr>
                                          <w:divsChild>
                                            <w:div w:id="1295986679">
                                              <w:marLeft w:val="0"/>
                                              <w:marRight w:val="0"/>
                                              <w:marTop w:val="90"/>
                                              <w:marBottom w:val="0"/>
                                              <w:divBdr>
                                                <w:top w:val="none" w:sz="0" w:space="0" w:color="auto"/>
                                                <w:left w:val="none" w:sz="0" w:space="0" w:color="auto"/>
                                                <w:bottom w:val="none" w:sz="0" w:space="0" w:color="auto"/>
                                                <w:right w:val="none" w:sz="0" w:space="0" w:color="auto"/>
                                              </w:divBdr>
                                              <w:divsChild>
                                                <w:div w:id="884752440">
                                                  <w:marLeft w:val="0"/>
                                                  <w:marRight w:val="0"/>
                                                  <w:marTop w:val="0"/>
                                                  <w:marBottom w:val="405"/>
                                                  <w:divBdr>
                                                    <w:top w:val="none" w:sz="0" w:space="0" w:color="auto"/>
                                                    <w:left w:val="none" w:sz="0" w:space="0" w:color="auto"/>
                                                    <w:bottom w:val="none" w:sz="0" w:space="0" w:color="auto"/>
                                                    <w:right w:val="none" w:sz="0" w:space="0" w:color="auto"/>
                                                  </w:divBdr>
                                                  <w:divsChild>
                                                    <w:div w:id="2029333545">
                                                      <w:marLeft w:val="0"/>
                                                      <w:marRight w:val="0"/>
                                                      <w:marTop w:val="0"/>
                                                      <w:marBottom w:val="0"/>
                                                      <w:divBdr>
                                                        <w:top w:val="none" w:sz="0" w:space="0" w:color="auto"/>
                                                        <w:left w:val="none" w:sz="0" w:space="0" w:color="auto"/>
                                                        <w:bottom w:val="none" w:sz="0" w:space="0" w:color="auto"/>
                                                        <w:right w:val="none" w:sz="0" w:space="0" w:color="auto"/>
                                                      </w:divBdr>
                                                      <w:divsChild>
                                                        <w:div w:id="803425152">
                                                          <w:marLeft w:val="0"/>
                                                          <w:marRight w:val="0"/>
                                                          <w:marTop w:val="0"/>
                                                          <w:marBottom w:val="0"/>
                                                          <w:divBdr>
                                                            <w:top w:val="single" w:sz="6" w:space="0" w:color="DFE1E5"/>
                                                            <w:left w:val="single" w:sz="6" w:space="0" w:color="DFE1E5"/>
                                                            <w:bottom w:val="single" w:sz="6" w:space="0" w:color="DFE1E5"/>
                                                            <w:right w:val="single" w:sz="6" w:space="0" w:color="DFE1E5"/>
                                                          </w:divBdr>
                                                          <w:divsChild>
                                                            <w:div w:id="757024050">
                                                              <w:marLeft w:val="0"/>
                                                              <w:marRight w:val="0"/>
                                                              <w:marTop w:val="0"/>
                                                              <w:marBottom w:val="0"/>
                                                              <w:divBdr>
                                                                <w:top w:val="none" w:sz="0" w:space="0" w:color="auto"/>
                                                                <w:left w:val="none" w:sz="0" w:space="0" w:color="auto"/>
                                                                <w:bottom w:val="none" w:sz="0" w:space="0" w:color="auto"/>
                                                                <w:right w:val="none" w:sz="0" w:space="0" w:color="auto"/>
                                                              </w:divBdr>
                                                              <w:divsChild>
                                                                <w:div w:id="248198376">
                                                                  <w:marLeft w:val="0"/>
                                                                  <w:marRight w:val="0"/>
                                                                  <w:marTop w:val="0"/>
                                                                  <w:marBottom w:val="0"/>
                                                                  <w:divBdr>
                                                                    <w:top w:val="none" w:sz="0" w:space="0" w:color="auto"/>
                                                                    <w:left w:val="none" w:sz="0" w:space="0" w:color="auto"/>
                                                                    <w:bottom w:val="none" w:sz="0" w:space="0" w:color="auto"/>
                                                                    <w:right w:val="none" w:sz="0" w:space="0" w:color="auto"/>
                                                                  </w:divBdr>
                                                                  <w:divsChild>
                                                                    <w:div w:id="1902328967">
                                                                      <w:marLeft w:val="0"/>
                                                                      <w:marRight w:val="0"/>
                                                                      <w:marTop w:val="0"/>
                                                                      <w:marBottom w:val="0"/>
                                                                      <w:divBdr>
                                                                        <w:top w:val="none" w:sz="0" w:space="0" w:color="auto"/>
                                                                        <w:left w:val="none" w:sz="0" w:space="0" w:color="auto"/>
                                                                        <w:bottom w:val="none" w:sz="0" w:space="0" w:color="auto"/>
                                                                        <w:right w:val="none" w:sz="0" w:space="0" w:color="auto"/>
                                                                      </w:divBdr>
                                                                      <w:divsChild>
                                                                        <w:div w:id="1576550627">
                                                                          <w:marLeft w:val="0"/>
                                                                          <w:marRight w:val="0"/>
                                                                          <w:marTop w:val="0"/>
                                                                          <w:marBottom w:val="0"/>
                                                                          <w:divBdr>
                                                                            <w:top w:val="none" w:sz="0" w:space="0" w:color="auto"/>
                                                                            <w:left w:val="none" w:sz="0" w:space="0" w:color="auto"/>
                                                                            <w:bottom w:val="none" w:sz="0" w:space="0" w:color="auto"/>
                                                                            <w:right w:val="none" w:sz="0" w:space="0" w:color="auto"/>
                                                                          </w:divBdr>
                                                                          <w:divsChild>
                                                                            <w:div w:id="1966963046">
                                                                              <w:marLeft w:val="0"/>
                                                                              <w:marRight w:val="0"/>
                                                                              <w:marTop w:val="0"/>
                                                                              <w:marBottom w:val="0"/>
                                                                              <w:divBdr>
                                                                                <w:top w:val="none" w:sz="0" w:space="0" w:color="auto"/>
                                                                                <w:left w:val="none" w:sz="0" w:space="0" w:color="auto"/>
                                                                                <w:bottom w:val="none" w:sz="0" w:space="0" w:color="auto"/>
                                                                                <w:right w:val="none" w:sz="0" w:space="0" w:color="auto"/>
                                                                              </w:divBdr>
                                                                              <w:divsChild>
                                                                                <w:div w:id="1191383338">
                                                                                  <w:marLeft w:val="0"/>
                                                                                  <w:marRight w:val="0"/>
                                                                                  <w:marTop w:val="0"/>
                                                                                  <w:marBottom w:val="0"/>
                                                                                  <w:divBdr>
                                                                                    <w:top w:val="none" w:sz="0" w:space="0" w:color="auto"/>
                                                                                    <w:left w:val="none" w:sz="0" w:space="0" w:color="auto"/>
                                                                                    <w:bottom w:val="none" w:sz="0" w:space="0" w:color="auto"/>
                                                                                    <w:right w:val="none" w:sz="0" w:space="0" w:color="auto"/>
                                                                                  </w:divBdr>
                                                                                  <w:divsChild>
                                                                                    <w:div w:id="191269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2489342">
      <w:bodyDiv w:val="1"/>
      <w:marLeft w:val="0"/>
      <w:marRight w:val="0"/>
      <w:marTop w:val="0"/>
      <w:marBottom w:val="0"/>
      <w:divBdr>
        <w:top w:val="none" w:sz="0" w:space="0" w:color="auto"/>
        <w:left w:val="none" w:sz="0" w:space="0" w:color="auto"/>
        <w:bottom w:val="none" w:sz="0" w:space="0" w:color="auto"/>
        <w:right w:val="none" w:sz="0" w:space="0" w:color="auto"/>
      </w:divBdr>
    </w:div>
    <w:div w:id="344091833">
      <w:bodyDiv w:val="1"/>
      <w:marLeft w:val="0"/>
      <w:marRight w:val="0"/>
      <w:marTop w:val="0"/>
      <w:marBottom w:val="0"/>
      <w:divBdr>
        <w:top w:val="none" w:sz="0" w:space="0" w:color="auto"/>
        <w:left w:val="none" w:sz="0" w:space="0" w:color="auto"/>
        <w:bottom w:val="none" w:sz="0" w:space="0" w:color="auto"/>
        <w:right w:val="none" w:sz="0" w:space="0" w:color="auto"/>
      </w:divBdr>
    </w:div>
    <w:div w:id="347104775">
      <w:bodyDiv w:val="1"/>
      <w:marLeft w:val="0"/>
      <w:marRight w:val="0"/>
      <w:marTop w:val="0"/>
      <w:marBottom w:val="0"/>
      <w:divBdr>
        <w:top w:val="none" w:sz="0" w:space="0" w:color="auto"/>
        <w:left w:val="none" w:sz="0" w:space="0" w:color="auto"/>
        <w:bottom w:val="none" w:sz="0" w:space="0" w:color="auto"/>
        <w:right w:val="none" w:sz="0" w:space="0" w:color="auto"/>
      </w:divBdr>
      <w:divsChild>
        <w:div w:id="2002928538">
          <w:marLeft w:val="0"/>
          <w:marRight w:val="0"/>
          <w:marTop w:val="0"/>
          <w:marBottom w:val="0"/>
          <w:divBdr>
            <w:top w:val="none" w:sz="0" w:space="0" w:color="auto"/>
            <w:left w:val="none" w:sz="0" w:space="0" w:color="auto"/>
            <w:bottom w:val="none" w:sz="0" w:space="0" w:color="auto"/>
            <w:right w:val="none" w:sz="0" w:space="0" w:color="auto"/>
          </w:divBdr>
          <w:divsChild>
            <w:div w:id="1989168090">
              <w:marLeft w:val="0"/>
              <w:marRight w:val="0"/>
              <w:marTop w:val="0"/>
              <w:marBottom w:val="0"/>
              <w:divBdr>
                <w:top w:val="none" w:sz="0" w:space="0" w:color="auto"/>
                <w:left w:val="none" w:sz="0" w:space="0" w:color="auto"/>
                <w:bottom w:val="none" w:sz="0" w:space="0" w:color="auto"/>
                <w:right w:val="none" w:sz="0" w:space="0" w:color="auto"/>
              </w:divBdr>
              <w:divsChild>
                <w:div w:id="2094813656">
                  <w:marLeft w:val="0"/>
                  <w:marRight w:val="0"/>
                  <w:marTop w:val="0"/>
                  <w:marBottom w:val="0"/>
                  <w:divBdr>
                    <w:top w:val="none" w:sz="0" w:space="0" w:color="auto"/>
                    <w:left w:val="none" w:sz="0" w:space="0" w:color="auto"/>
                    <w:bottom w:val="none" w:sz="0" w:space="0" w:color="auto"/>
                    <w:right w:val="none" w:sz="0" w:space="0" w:color="auto"/>
                  </w:divBdr>
                  <w:divsChild>
                    <w:div w:id="1481574620">
                      <w:marLeft w:val="0"/>
                      <w:marRight w:val="0"/>
                      <w:marTop w:val="0"/>
                      <w:marBottom w:val="0"/>
                      <w:divBdr>
                        <w:top w:val="none" w:sz="0" w:space="0" w:color="auto"/>
                        <w:left w:val="none" w:sz="0" w:space="0" w:color="auto"/>
                        <w:bottom w:val="none" w:sz="0" w:space="0" w:color="auto"/>
                        <w:right w:val="none" w:sz="0" w:space="0" w:color="auto"/>
                      </w:divBdr>
                      <w:divsChild>
                        <w:div w:id="1314139755">
                          <w:marLeft w:val="0"/>
                          <w:marRight w:val="0"/>
                          <w:marTop w:val="0"/>
                          <w:marBottom w:val="0"/>
                          <w:divBdr>
                            <w:top w:val="none" w:sz="0" w:space="0" w:color="auto"/>
                            <w:left w:val="none" w:sz="0" w:space="0" w:color="auto"/>
                            <w:bottom w:val="none" w:sz="0" w:space="0" w:color="auto"/>
                            <w:right w:val="none" w:sz="0" w:space="0" w:color="auto"/>
                          </w:divBdr>
                          <w:divsChild>
                            <w:div w:id="444033704">
                              <w:marLeft w:val="2700"/>
                              <w:marRight w:val="3960"/>
                              <w:marTop w:val="0"/>
                              <w:marBottom w:val="0"/>
                              <w:divBdr>
                                <w:top w:val="none" w:sz="0" w:space="0" w:color="auto"/>
                                <w:left w:val="none" w:sz="0" w:space="0" w:color="auto"/>
                                <w:bottom w:val="none" w:sz="0" w:space="0" w:color="auto"/>
                                <w:right w:val="none" w:sz="0" w:space="0" w:color="auto"/>
                              </w:divBdr>
                              <w:divsChild>
                                <w:div w:id="573126917">
                                  <w:marLeft w:val="0"/>
                                  <w:marRight w:val="0"/>
                                  <w:marTop w:val="0"/>
                                  <w:marBottom w:val="0"/>
                                  <w:divBdr>
                                    <w:top w:val="none" w:sz="0" w:space="0" w:color="auto"/>
                                    <w:left w:val="none" w:sz="0" w:space="0" w:color="auto"/>
                                    <w:bottom w:val="none" w:sz="0" w:space="0" w:color="auto"/>
                                    <w:right w:val="none" w:sz="0" w:space="0" w:color="auto"/>
                                  </w:divBdr>
                                  <w:divsChild>
                                    <w:div w:id="1929272661">
                                      <w:marLeft w:val="0"/>
                                      <w:marRight w:val="0"/>
                                      <w:marTop w:val="0"/>
                                      <w:marBottom w:val="0"/>
                                      <w:divBdr>
                                        <w:top w:val="none" w:sz="0" w:space="0" w:color="auto"/>
                                        <w:left w:val="none" w:sz="0" w:space="0" w:color="auto"/>
                                        <w:bottom w:val="none" w:sz="0" w:space="0" w:color="auto"/>
                                        <w:right w:val="none" w:sz="0" w:space="0" w:color="auto"/>
                                      </w:divBdr>
                                      <w:divsChild>
                                        <w:div w:id="720713304">
                                          <w:marLeft w:val="0"/>
                                          <w:marRight w:val="0"/>
                                          <w:marTop w:val="0"/>
                                          <w:marBottom w:val="0"/>
                                          <w:divBdr>
                                            <w:top w:val="none" w:sz="0" w:space="0" w:color="auto"/>
                                            <w:left w:val="none" w:sz="0" w:space="0" w:color="auto"/>
                                            <w:bottom w:val="none" w:sz="0" w:space="0" w:color="auto"/>
                                            <w:right w:val="none" w:sz="0" w:space="0" w:color="auto"/>
                                          </w:divBdr>
                                          <w:divsChild>
                                            <w:div w:id="1712420880">
                                              <w:marLeft w:val="0"/>
                                              <w:marRight w:val="0"/>
                                              <w:marTop w:val="90"/>
                                              <w:marBottom w:val="0"/>
                                              <w:divBdr>
                                                <w:top w:val="none" w:sz="0" w:space="0" w:color="auto"/>
                                                <w:left w:val="none" w:sz="0" w:space="0" w:color="auto"/>
                                                <w:bottom w:val="none" w:sz="0" w:space="0" w:color="auto"/>
                                                <w:right w:val="none" w:sz="0" w:space="0" w:color="auto"/>
                                              </w:divBdr>
                                              <w:divsChild>
                                                <w:div w:id="1924990946">
                                                  <w:marLeft w:val="0"/>
                                                  <w:marRight w:val="0"/>
                                                  <w:marTop w:val="0"/>
                                                  <w:marBottom w:val="405"/>
                                                  <w:divBdr>
                                                    <w:top w:val="none" w:sz="0" w:space="0" w:color="auto"/>
                                                    <w:left w:val="none" w:sz="0" w:space="0" w:color="auto"/>
                                                    <w:bottom w:val="none" w:sz="0" w:space="0" w:color="auto"/>
                                                    <w:right w:val="none" w:sz="0" w:space="0" w:color="auto"/>
                                                  </w:divBdr>
                                                  <w:divsChild>
                                                    <w:div w:id="346518876">
                                                      <w:marLeft w:val="0"/>
                                                      <w:marRight w:val="0"/>
                                                      <w:marTop w:val="0"/>
                                                      <w:marBottom w:val="0"/>
                                                      <w:divBdr>
                                                        <w:top w:val="none" w:sz="0" w:space="0" w:color="auto"/>
                                                        <w:left w:val="none" w:sz="0" w:space="0" w:color="auto"/>
                                                        <w:bottom w:val="none" w:sz="0" w:space="0" w:color="auto"/>
                                                        <w:right w:val="none" w:sz="0" w:space="0" w:color="auto"/>
                                                      </w:divBdr>
                                                      <w:divsChild>
                                                        <w:div w:id="2015112336">
                                                          <w:marLeft w:val="0"/>
                                                          <w:marRight w:val="0"/>
                                                          <w:marTop w:val="0"/>
                                                          <w:marBottom w:val="0"/>
                                                          <w:divBdr>
                                                            <w:top w:val="single" w:sz="6" w:space="0" w:color="DFE1E5"/>
                                                            <w:left w:val="single" w:sz="6" w:space="0" w:color="DFE1E5"/>
                                                            <w:bottom w:val="single" w:sz="6" w:space="0" w:color="DFE1E5"/>
                                                            <w:right w:val="single" w:sz="6" w:space="0" w:color="DFE1E5"/>
                                                          </w:divBdr>
                                                          <w:divsChild>
                                                            <w:div w:id="1970427486">
                                                              <w:marLeft w:val="0"/>
                                                              <w:marRight w:val="0"/>
                                                              <w:marTop w:val="0"/>
                                                              <w:marBottom w:val="0"/>
                                                              <w:divBdr>
                                                                <w:top w:val="none" w:sz="0" w:space="0" w:color="auto"/>
                                                                <w:left w:val="none" w:sz="0" w:space="0" w:color="auto"/>
                                                                <w:bottom w:val="none" w:sz="0" w:space="0" w:color="auto"/>
                                                                <w:right w:val="none" w:sz="0" w:space="0" w:color="auto"/>
                                                              </w:divBdr>
                                                              <w:divsChild>
                                                                <w:div w:id="1841195125">
                                                                  <w:marLeft w:val="0"/>
                                                                  <w:marRight w:val="0"/>
                                                                  <w:marTop w:val="0"/>
                                                                  <w:marBottom w:val="0"/>
                                                                  <w:divBdr>
                                                                    <w:top w:val="none" w:sz="0" w:space="0" w:color="auto"/>
                                                                    <w:left w:val="none" w:sz="0" w:space="0" w:color="auto"/>
                                                                    <w:bottom w:val="none" w:sz="0" w:space="0" w:color="auto"/>
                                                                    <w:right w:val="none" w:sz="0" w:space="0" w:color="auto"/>
                                                                  </w:divBdr>
                                                                  <w:divsChild>
                                                                    <w:div w:id="885146048">
                                                                      <w:marLeft w:val="0"/>
                                                                      <w:marRight w:val="0"/>
                                                                      <w:marTop w:val="0"/>
                                                                      <w:marBottom w:val="0"/>
                                                                      <w:divBdr>
                                                                        <w:top w:val="none" w:sz="0" w:space="0" w:color="auto"/>
                                                                        <w:left w:val="none" w:sz="0" w:space="0" w:color="auto"/>
                                                                        <w:bottom w:val="none" w:sz="0" w:space="0" w:color="auto"/>
                                                                        <w:right w:val="none" w:sz="0" w:space="0" w:color="auto"/>
                                                                      </w:divBdr>
                                                                      <w:divsChild>
                                                                        <w:div w:id="1937446074">
                                                                          <w:marLeft w:val="0"/>
                                                                          <w:marRight w:val="0"/>
                                                                          <w:marTop w:val="0"/>
                                                                          <w:marBottom w:val="0"/>
                                                                          <w:divBdr>
                                                                            <w:top w:val="none" w:sz="0" w:space="0" w:color="auto"/>
                                                                            <w:left w:val="none" w:sz="0" w:space="0" w:color="auto"/>
                                                                            <w:bottom w:val="none" w:sz="0" w:space="0" w:color="auto"/>
                                                                            <w:right w:val="none" w:sz="0" w:space="0" w:color="auto"/>
                                                                          </w:divBdr>
                                                                          <w:divsChild>
                                                                            <w:div w:id="1505633943">
                                                                              <w:marLeft w:val="0"/>
                                                                              <w:marRight w:val="0"/>
                                                                              <w:marTop w:val="0"/>
                                                                              <w:marBottom w:val="0"/>
                                                                              <w:divBdr>
                                                                                <w:top w:val="none" w:sz="0" w:space="0" w:color="auto"/>
                                                                                <w:left w:val="none" w:sz="0" w:space="0" w:color="auto"/>
                                                                                <w:bottom w:val="none" w:sz="0" w:space="0" w:color="auto"/>
                                                                                <w:right w:val="none" w:sz="0" w:space="0" w:color="auto"/>
                                                                              </w:divBdr>
                                                                              <w:divsChild>
                                                                                <w:div w:id="1794903056">
                                                                                  <w:marLeft w:val="0"/>
                                                                                  <w:marRight w:val="0"/>
                                                                                  <w:marTop w:val="0"/>
                                                                                  <w:marBottom w:val="0"/>
                                                                                  <w:divBdr>
                                                                                    <w:top w:val="none" w:sz="0" w:space="0" w:color="auto"/>
                                                                                    <w:left w:val="none" w:sz="0" w:space="0" w:color="auto"/>
                                                                                    <w:bottom w:val="none" w:sz="0" w:space="0" w:color="auto"/>
                                                                                    <w:right w:val="none" w:sz="0" w:space="0" w:color="auto"/>
                                                                                  </w:divBdr>
                                                                                  <w:divsChild>
                                                                                    <w:div w:id="209442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517763">
      <w:bodyDiv w:val="1"/>
      <w:marLeft w:val="0"/>
      <w:marRight w:val="0"/>
      <w:marTop w:val="0"/>
      <w:marBottom w:val="0"/>
      <w:divBdr>
        <w:top w:val="none" w:sz="0" w:space="0" w:color="auto"/>
        <w:left w:val="none" w:sz="0" w:space="0" w:color="auto"/>
        <w:bottom w:val="none" w:sz="0" w:space="0" w:color="auto"/>
        <w:right w:val="none" w:sz="0" w:space="0" w:color="auto"/>
      </w:divBdr>
    </w:div>
    <w:div w:id="401417145">
      <w:bodyDiv w:val="1"/>
      <w:marLeft w:val="0"/>
      <w:marRight w:val="0"/>
      <w:marTop w:val="0"/>
      <w:marBottom w:val="0"/>
      <w:divBdr>
        <w:top w:val="none" w:sz="0" w:space="0" w:color="auto"/>
        <w:left w:val="none" w:sz="0" w:space="0" w:color="auto"/>
        <w:bottom w:val="none" w:sz="0" w:space="0" w:color="auto"/>
        <w:right w:val="none" w:sz="0" w:space="0" w:color="auto"/>
      </w:divBdr>
      <w:divsChild>
        <w:div w:id="1149135356">
          <w:marLeft w:val="0"/>
          <w:marRight w:val="0"/>
          <w:marTop w:val="0"/>
          <w:marBottom w:val="0"/>
          <w:divBdr>
            <w:top w:val="none" w:sz="0" w:space="0" w:color="auto"/>
            <w:left w:val="none" w:sz="0" w:space="0" w:color="auto"/>
            <w:bottom w:val="none" w:sz="0" w:space="0" w:color="auto"/>
            <w:right w:val="none" w:sz="0" w:space="0" w:color="auto"/>
          </w:divBdr>
          <w:divsChild>
            <w:div w:id="1674844607">
              <w:marLeft w:val="0"/>
              <w:marRight w:val="0"/>
              <w:marTop w:val="0"/>
              <w:marBottom w:val="0"/>
              <w:divBdr>
                <w:top w:val="none" w:sz="0" w:space="0" w:color="auto"/>
                <w:left w:val="none" w:sz="0" w:space="0" w:color="auto"/>
                <w:bottom w:val="none" w:sz="0" w:space="0" w:color="auto"/>
                <w:right w:val="none" w:sz="0" w:space="0" w:color="auto"/>
              </w:divBdr>
              <w:divsChild>
                <w:div w:id="334038736">
                  <w:marLeft w:val="0"/>
                  <w:marRight w:val="0"/>
                  <w:marTop w:val="0"/>
                  <w:marBottom w:val="0"/>
                  <w:divBdr>
                    <w:top w:val="none" w:sz="0" w:space="0" w:color="auto"/>
                    <w:left w:val="none" w:sz="0" w:space="0" w:color="auto"/>
                    <w:bottom w:val="none" w:sz="0" w:space="0" w:color="auto"/>
                    <w:right w:val="none" w:sz="0" w:space="0" w:color="auto"/>
                  </w:divBdr>
                  <w:divsChild>
                    <w:div w:id="1271664438">
                      <w:marLeft w:val="0"/>
                      <w:marRight w:val="0"/>
                      <w:marTop w:val="0"/>
                      <w:marBottom w:val="0"/>
                      <w:divBdr>
                        <w:top w:val="none" w:sz="0" w:space="0" w:color="auto"/>
                        <w:left w:val="none" w:sz="0" w:space="0" w:color="auto"/>
                        <w:bottom w:val="none" w:sz="0" w:space="0" w:color="auto"/>
                        <w:right w:val="none" w:sz="0" w:space="0" w:color="auto"/>
                      </w:divBdr>
                      <w:divsChild>
                        <w:div w:id="738022314">
                          <w:marLeft w:val="0"/>
                          <w:marRight w:val="0"/>
                          <w:marTop w:val="0"/>
                          <w:marBottom w:val="0"/>
                          <w:divBdr>
                            <w:top w:val="none" w:sz="0" w:space="0" w:color="auto"/>
                            <w:left w:val="none" w:sz="0" w:space="0" w:color="auto"/>
                            <w:bottom w:val="none" w:sz="0" w:space="0" w:color="auto"/>
                            <w:right w:val="none" w:sz="0" w:space="0" w:color="auto"/>
                          </w:divBdr>
                          <w:divsChild>
                            <w:div w:id="323436012">
                              <w:marLeft w:val="2700"/>
                              <w:marRight w:val="3960"/>
                              <w:marTop w:val="0"/>
                              <w:marBottom w:val="0"/>
                              <w:divBdr>
                                <w:top w:val="none" w:sz="0" w:space="0" w:color="auto"/>
                                <w:left w:val="none" w:sz="0" w:space="0" w:color="auto"/>
                                <w:bottom w:val="none" w:sz="0" w:space="0" w:color="auto"/>
                                <w:right w:val="none" w:sz="0" w:space="0" w:color="auto"/>
                              </w:divBdr>
                              <w:divsChild>
                                <w:div w:id="279655461">
                                  <w:marLeft w:val="0"/>
                                  <w:marRight w:val="0"/>
                                  <w:marTop w:val="0"/>
                                  <w:marBottom w:val="0"/>
                                  <w:divBdr>
                                    <w:top w:val="none" w:sz="0" w:space="0" w:color="auto"/>
                                    <w:left w:val="none" w:sz="0" w:space="0" w:color="auto"/>
                                    <w:bottom w:val="none" w:sz="0" w:space="0" w:color="auto"/>
                                    <w:right w:val="none" w:sz="0" w:space="0" w:color="auto"/>
                                  </w:divBdr>
                                  <w:divsChild>
                                    <w:div w:id="1548027691">
                                      <w:marLeft w:val="0"/>
                                      <w:marRight w:val="0"/>
                                      <w:marTop w:val="0"/>
                                      <w:marBottom w:val="0"/>
                                      <w:divBdr>
                                        <w:top w:val="none" w:sz="0" w:space="0" w:color="auto"/>
                                        <w:left w:val="none" w:sz="0" w:space="0" w:color="auto"/>
                                        <w:bottom w:val="none" w:sz="0" w:space="0" w:color="auto"/>
                                        <w:right w:val="none" w:sz="0" w:space="0" w:color="auto"/>
                                      </w:divBdr>
                                      <w:divsChild>
                                        <w:div w:id="168833590">
                                          <w:marLeft w:val="0"/>
                                          <w:marRight w:val="0"/>
                                          <w:marTop w:val="0"/>
                                          <w:marBottom w:val="0"/>
                                          <w:divBdr>
                                            <w:top w:val="none" w:sz="0" w:space="0" w:color="auto"/>
                                            <w:left w:val="none" w:sz="0" w:space="0" w:color="auto"/>
                                            <w:bottom w:val="none" w:sz="0" w:space="0" w:color="auto"/>
                                            <w:right w:val="none" w:sz="0" w:space="0" w:color="auto"/>
                                          </w:divBdr>
                                          <w:divsChild>
                                            <w:div w:id="1609697377">
                                              <w:marLeft w:val="0"/>
                                              <w:marRight w:val="0"/>
                                              <w:marTop w:val="90"/>
                                              <w:marBottom w:val="0"/>
                                              <w:divBdr>
                                                <w:top w:val="none" w:sz="0" w:space="0" w:color="auto"/>
                                                <w:left w:val="none" w:sz="0" w:space="0" w:color="auto"/>
                                                <w:bottom w:val="none" w:sz="0" w:space="0" w:color="auto"/>
                                                <w:right w:val="none" w:sz="0" w:space="0" w:color="auto"/>
                                              </w:divBdr>
                                              <w:divsChild>
                                                <w:div w:id="1230770647">
                                                  <w:marLeft w:val="0"/>
                                                  <w:marRight w:val="0"/>
                                                  <w:marTop w:val="0"/>
                                                  <w:marBottom w:val="405"/>
                                                  <w:divBdr>
                                                    <w:top w:val="none" w:sz="0" w:space="0" w:color="auto"/>
                                                    <w:left w:val="none" w:sz="0" w:space="0" w:color="auto"/>
                                                    <w:bottom w:val="none" w:sz="0" w:space="0" w:color="auto"/>
                                                    <w:right w:val="none" w:sz="0" w:space="0" w:color="auto"/>
                                                  </w:divBdr>
                                                  <w:divsChild>
                                                    <w:div w:id="356195862">
                                                      <w:marLeft w:val="0"/>
                                                      <w:marRight w:val="0"/>
                                                      <w:marTop w:val="0"/>
                                                      <w:marBottom w:val="0"/>
                                                      <w:divBdr>
                                                        <w:top w:val="none" w:sz="0" w:space="0" w:color="auto"/>
                                                        <w:left w:val="none" w:sz="0" w:space="0" w:color="auto"/>
                                                        <w:bottom w:val="none" w:sz="0" w:space="0" w:color="auto"/>
                                                        <w:right w:val="none" w:sz="0" w:space="0" w:color="auto"/>
                                                      </w:divBdr>
                                                      <w:divsChild>
                                                        <w:div w:id="1912427700">
                                                          <w:marLeft w:val="0"/>
                                                          <w:marRight w:val="0"/>
                                                          <w:marTop w:val="0"/>
                                                          <w:marBottom w:val="0"/>
                                                          <w:divBdr>
                                                            <w:top w:val="single" w:sz="6" w:space="0" w:color="DFE1E5"/>
                                                            <w:left w:val="single" w:sz="6" w:space="0" w:color="DFE1E5"/>
                                                            <w:bottom w:val="single" w:sz="6" w:space="0" w:color="DFE1E5"/>
                                                            <w:right w:val="single" w:sz="6" w:space="0" w:color="DFE1E5"/>
                                                          </w:divBdr>
                                                          <w:divsChild>
                                                            <w:div w:id="389305303">
                                                              <w:marLeft w:val="0"/>
                                                              <w:marRight w:val="0"/>
                                                              <w:marTop w:val="0"/>
                                                              <w:marBottom w:val="0"/>
                                                              <w:divBdr>
                                                                <w:top w:val="none" w:sz="0" w:space="0" w:color="auto"/>
                                                                <w:left w:val="none" w:sz="0" w:space="0" w:color="auto"/>
                                                                <w:bottom w:val="none" w:sz="0" w:space="0" w:color="auto"/>
                                                                <w:right w:val="none" w:sz="0" w:space="0" w:color="auto"/>
                                                              </w:divBdr>
                                                              <w:divsChild>
                                                                <w:div w:id="2099789245">
                                                                  <w:marLeft w:val="0"/>
                                                                  <w:marRight w:val="0"/>
                                                                  <w:marTop w:val="0"/>
                                                                  <w:marBottom w:val="0"/>
                                                                  <w:divBdr>
                                                                    <w:top w:val="none" w:sz="0" w:space="0" w:color="auto"/>
                                                                    <w:left w:val="none" w:sz="0" w:space="0" w:color="auto"/>
                                                                    <w:bottom w:val="none" w:sz="0" w:space="0" w:color="auto"/>
                                                                    <w:right w:val="none" w:sz="0" w:space="0" w:color="auto"/>
                                                                  </w:divBdr>
                                                                  <w:divsChild>
                                                                    <w:div w:id="726147458">
                                                                      <w:marLeft w:val="0"/>
                                                                      <w:marRight w:val="0"/>
                                                                      <w:marTop w:val="0"/>
                                                                      <w:marBottom w:val="0"/>
                                                                      <w:divBdr>
                                                                        <w:top w:val="none" w:sz="0" w:space="0" w:color="auto"/>
                                                                        <w:left w:val="none" w:sz="0" w:space="0" w:color="auto"/>
                                                                        <w:bottom w:val="none" w:sz="0" w:space="0" w:color="auto"/>
                                                                        <w:right w:val="none" w:sz="0" w:space="0" w:color="auto"/>
                                                                      </w:divBdr>
                                                                      <w:divsChild>
                                                                        <w:div w:id="2011564274">
                                                                          <w:marLeft w:val="0"/>
                                                                          <w:marRight w:val="0"/>
                                                                          <w:marTop w:val="0"/>
                                                                          <w:marBottom w:val="0"/>
                                                                          <w:divBdr>
                                                                            <w:top w:val="none" w:sz="0" w:space="0" w:color="auto"/>
                                                                            <w:left w:val="none" w:sz="0" w:space="0" w:color="auto"/>
                                                                            <w:bottom w:val="none" w:sz="0" w:space="0" w:color="auto"/>
                                                                            <w:right w:val="none" w:sz="0" w:space="0" w:color="auto"/>
                                                                          </w:divBdr>
                                                                          <w:divsChild>
                                                                            <w:div w:id="491720071">
                                                                              <w:marLeft w:val="0"/>
                                                                              <w:marRight w:val="0"/>
                                                                              <w:marTop w:val="0"/>
                                                                              <w:marBottom w:val="0"/>
                                                                              <w:divBdr>
                                                                                <w:top w:val="none" w:sz="0" w:space="0" w:color="auto"/>
                                                                                <w:left w:val="none" w:sz="0" w:space="0" w:color="auto"/>
                                                                                <w:bottom w:val="none" w:sz="0" w:space="0" w:color="auto"/>
                                                                                <w:right w:val="none" w:sz="0" w:space="0" w:color="auto"/>
                                                                              </w:divBdr>
                                                                              <w:divsChild>
                                                                                <w:div w:id="1604993546">
                                                                                  <w:marLeft w:val="0"/>
                                                                                  <w:marRight w:val="0"/>
                                                                                  <w:marTop w:val="0"/>
                                                                                  <w:marBottom w:val="0"/>
                                                                                  <w:divBdr>
                                                                                    <w:top w:val="none" w:sz="0" w:space="0" w:color="auto"/>
                                                                                    <w:left w:val="none" w:sz="0" w:space="0" w:color="auto"/>
                                                                                    <w:bottom w:val="none" w:sz="0" w:space="0" w:color="auto"/>
                                                                                    <w:right w:val="none" w:sz="0" w:space="0" w:color="auto"/>
                                                                                  </w:divBdr>
                                                                                  <w:divsChild>
                                                                                    <w:div w:id="91864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683410">
      <w:bodyDiv w:val="1"/>
      <w:marLeft w:val="0"/>
      <w:marRight w:val="0"/>
      <w:marTop w:val="0"/>
      <w:marBottom w:val="0"/>
      <w:divBdr>
        <w:top w:val="none" w:sz="0" w:space="0" w:color="auto"/>
        <w:left w:val="none" w:sz="0" w:space="0" w:color="auto"/>
        <w:bottom w:val="none" w:sz="0" w:space="0" w:color="auto"/>
        <w:right w:val="none" w:sz="0" w:space="0" w:color="auto"/>
      </w:divBdr>
    </w:div>
    <w:div w:id="405953901">
      <w:bodyDiv w:val="1"/>
      <w:marLeft w:val="0"/>
      <w:marRight w:val="0"/>
      <w:marTop w:val="0"/>
      <w:marBottom w:val="0"/>
      <w:divBdr>
        <w:top w:val="none" w:sz="0" w:space="0" w:color="auto"/>
        <w:left w:val="none" w:sz="0" w:space="0" w:color="auto"/>
        <w:bottom w:val="none" w:sz="0" w:space="0" w:color="auto"/>
        <w:right w:val="none" w:sz="0" w:space="0" w:color="auto"/>
      </w:divBdr>
    </w:div>
    <w:div w:id="446971450">
      <w:bodyDiv w:val="1"/>
      <w:marLeft w:val="0"/>
      <w:marRight w:val="0"/>
      <w:marTop w:val="0"/>
      <w:marBottom w:val="0"/>
      <w:divBdr>
        <w:top w:val="none" w:sz="0" w:space="0" w:color="auto"/>
        <w:left w:val="none" w:sz="0" w:space="0" w:color="auto"/>
        <w:bottom w:val="none" w:sz="0" w:space="0" w:color="auto"/>
        <w:right w:val="none" w:sz="0" w:space="0" w:color="auto"/>
      </w:divBdr>
    </w:div>
    <w:div w:id="474761902">
      <w:bodyDiv w:val="1"/>
      <w:marLeft w:val="0"/>
      <w:marRight w:val="0"/>
      <w:marTop w:val="0"/>
      <w:marBottom w:val="0"/>
      <w:divBdr>
        <w:top w:val="none" w:sz="0" w:space="0" w:color="auto"/>
        <w:left w:val="none" w:sz="0" w:space="0" w:color="auto"/>
        <w:bottom w:val="none" w:sz="0" w:space="0" w:color="auto"/>
        <w:right w:val="none" w:sz="0" w:space="0" w:color="auto"/>
      </w:divBdr>
      <w:divsChild>
        <w:div w:id="2091658534">
          <w:marLeft w:val="0"/>
          <w:marRight w:val="0"/>
          <w:marTop w:val="0"/>
          <w:marBottom w:val="0"/>
          <w:divBdr>
            <w:top w:val="none" w:sz="0" w:space="0" w:color="auto"/>
            <w:left w:val="none" w:sz="0" w:space="0" w:color="auto"/>
            <w:bottom w:val="none" w:sz="0" w:space="0" w:color="auto"/>
            <w:right w:val="none" w:sz="0" w:space="0" w:color="auto"/>
          </w:divBdr>
          <w:divsChild>
            <w:div w:id="2042319247">
              <w:marLeft w:val="0"/>
              <w:marRight w:val="0"/>
              <w:marTop w:val="0"/>
              <w:marBottom w:val="0"/>
              <w:divBdr>
                <w:top w:val="none" w:sz="0" w:space="0" w:color="auto"/>
                <w:left w:val="none" w:sz="0" w:space="0" w:color="auto"/>
                <w:bottom w:val="none" w:sz="0" w:space="0" w:color="auto"/>
                <w:right w:val="none" w:sz="0" w:space="0" w:color="auto"/>
              </w:divBdr>
              <w:divsChild>
                <w:div w:id="591166906">
                  <w:marLeft w:val="0"/>
                  <w:marRight w:val="0"/>
                  <w:marTop w:val="0"/>
                  <w:marBottom w:val="0"/>
                  <w:divBdr>
                    <w:top w:val="none" w:sz="0" w:space="0" w:color="auto"/>
                    <w:left w:val="none" w:sz="0" w:space="0" w:color="auto"/>
                    <w:bottom w:val="none" w:sz="0" w:space="0" w:color="auto"/>
                    <w:right w:val="none" w:sz="0" w:space="0" w:color="auto"/>
                  </w:divBdr>
                  <w:divsChild>
                    <w:div w:id="2055306727">
                      <w:marLeft w:val="0"/>
                      <w:marRight w:val="0"/>
                      <w:marTop w:val="0"/>
                      <w:marBottom w:val="0"/>
                      <w:divBdr>
                        <w:top w:val="none" w:sz="0" w:space="0" w:color="auto"/>
                        <w:left w:val="none" w:sz="0" w:space="0" w:color="auto"/>
                        <w:bottom w:val="none" w:sz="0" w:space="0" w:color="auto"/>
                        <w:right w:val="none" w:sz="0" w:space="0" w:color="auto"/>
                      </w:divBdr>
                      <w:divsChild>
                        <w:div w:id="1093552606">
                          <w:marLeft w:val="0"/>
                          <w:marRight w:val="0"/>
                          <w:marTop w:val="0"/>
                          <w:marBottom w:val="0"/>
                          <w:divBdr>
                            <w:top w:val="none" w:sz="0" w:space="0" w:color="auto"/>
                            <w:left w:val="none" w:sz="0" w:space="0" w:color="auto"/>
                            <w:bottom w:val="none" w:sz="0" w:space="0" w:color="auto"/>
                            <w:right w:val="none" w:sz="0" w:space="0" w:color="auto"/>
                          </w:divBdr>
                          <w:divsChild>
                            <w:div w:id="478419614">
                              <w:marLeft w:val="2700"/>
                              <w:marRight w:val="3960"/>
                              <w:marTop w:val="0"/>
                              <w:marBottom w:val="0"/>
                              <w:divBdr>
                                <w:top w:val="none" w:sz="0" w:space="0" w:color="auto"/>
                                <w:left w:val="none" w:sz="0" w:space="0" w:color="auto"/>
                                <w:bottom w:val="none" w:sz="0" w:space="0" w:color="auto"/>
                                <w:right w:val="none" w:sz="0" w:space="0" w:color="auto"/>
                              </w:divBdr>
                              <w:divsChild>
                                <w:div w:id="360669929">
                                  <w:marLeft w:val="0"/>
                                  <w:marRight w:val="0"/>
                                  <w:marTop w:val="0"/>
                                  <w:marBottom w:val="0"/>
                                  <w:divBdr>
                                    <w:top w:val="none" w:sz="0" w:space="0" w:color="auto"/>
                                    <w:left w:val="none" w:sz="0" w:space="0" w:color="auto"/>
                                    <w:bottom w:val="none" w:sz="0" w:space="0" w:color="auto"/>
                                    <w:right w:val="none" w:sz="0" w:space="0" w:color="auto"/>
                                  </w:divBdr>
                                  <w:divsChild>
                                    <w:div w:id="1396274962">
                                      <w:marLeft w:val="0"/>
                                      <w:marRight w:val="0"/>
                                      <w:marTop w:val="0"/>
                                      <w:marBottom w:val="0"/>
                                      <w:divBdr>
                                        <w:top w:val="none" w:sz="0" w:space="0" w:color="auto"/>
                                        <w:left w:val="none" w:sz="0" w:space="0" w:color="auto"/>
                                        <w:bottom w:val="none" w:sz="0" w:space="0" w:color="auto"/>
                                        <w:right w:val="none" w:sz="0" w:space="0" w:color="auto"/>
                                      </w:divBdr>
                                      <w:divsChild>
                                        <w:div w:id="1387098489">
                                          <w:marLeft w:val="0"/>
                                          <w:marRight w:val="0"/>
                                          <w:marTop w:val="0"/>
                                          <w:marBottom w:val="0"/>
                                          <w:divBdr>
                                            <w:top w:val="none" w:sz="0" w:space="0" w:color="auto"/>
                                            <w:left w:val="none" w:sz="0" w:space="0" w:color="auto"/>
                                            <w:bottom w:val="none" w:sz="0" w:space="0" w:color="auto"/>
                                            <w:right w:val="none" w:sz="0" w:space="0" w:color="auto"/>
                                          </w:divBdr>
                                          <w:divsChild>
                                            <w:div w:id="108741018">
                                              <w:marLeft w:val="0"/>
                                              <w:marRight w:val="0"/>
                                              <w:marTop w:val="90"/>
                                              <w:marBottom w:val="0"/>
                                              <w:divBdr>
                                                <w:top w:val="none" w:sz="0" w:space="0" w:color="auto"/>
                                                <w:left w:val="none" w:sz="0" w:space="0" w:color="auto"/>
                                                <w:bottom w:val="none" w:sz="0" w:space="0" w:color="auto"/>
                                                <w:right w:val="none" w:sz="0" w:space="0" w:color="auto"/>
                                              </w:divBdr>
                                              <w:divsChild>
                                                <w:div w:id="404839180">
                                                  <w:marLeft w:val="0"/>
                                                  <w:marRight w:val="0"/>
                                                  <w:marTop w:val="0"/>
                                                  <w:marBottom w:val="405"/>
                                                  <w:divBdr>
                                                    <w:top w:val="none" w:sz="0" w:space="0" w:color="auto"/>
                                                    <w:left w:val="none" w:sz="0" w:space="0" w:color="auto"/>
                                                    <w:bottom w:val="none" w:sz="0" w:space="0" w:color="auto"/>
                                                    <w:right w:val="none" w:sz="0" w:space="0" w:color="auto"/>
                                                  </w:divBdr>
                                                  <w:divsChild>
                                                    <w:div w:id="209541260">
                                                      <w:marLeft w:val="0"/>
                                                      <w:marRight w:val="0"/>
                                                      <w:marTop w:val="0"/>
                                                      <w:marBottom w:val="0"/>
                                                      <w:divBdr>
                                                        <w:top w:val="none" w:sz="0" w:space="0" w:color="auto"/>
                                                        <w:left w:val="none" w:sz="0" w:space="0" w:color="auto"/>
                                                        <w:bottom w:val="none" w:sz="0" w:space="0" w:color="auto"/>
                                                        <w:right w:val="none" w:sz="0" w:space="0" w:color="auto"/>
                                                      </w:divBdr>
                                                      <w:divsChild>
                                                        <w:div w:id="1685865067">
                                                          <w:marLeft w:val="0"/>
                                                          <w:marRight w:val="0"/>
                                                          <w:marTop w:val="0"/>
                                                          <w:marBottom w:val="0"/>
                                                          <w:divBdr>
                                                            <w:top w:val="single" w:sz="6" w:space="0" w:color="DFE1E5"/>
                                                            <w:left w:val="single" w:sz="6" w:space="0" w:color="DFE1E5"/>
                                                            <w:bottom w:val="single" w:sz="6" w:space="0" w:color="DFE1E5"/>
                                                            <w:right w:val="single" w:sz="6" w:space="0" w:color="DFE1E5"/>
                                                          </w:divBdr>
                                                          <w:divsChild>
                                                            <w:div w:id="1513760590">
                                                              <w:marLeft w:val="0"/>
                                                              <w:marRight w:val="0"/>
                                                              <w:marTop w:val="0"/>
                                                              <w:marBottom w:val="0"/>
                                                              <w:divBdr>
                                                                <w:top w:val="none" w:sz="0" w:space="0" w:color="auto"/>
                                                                <w:left w:val="none" w:sz="0" w:space="0" w:color="auto"/>
                                                                <w:bottom w:val="none" w:sz="0" w:space="0" w:color="auto"/>
                                                                <w:right w:val="none" w:sz="0" w:space="0" w:color="auto"/>
                                                              </w:divBdr>
                                                              <w:divsChild>
                                                                <w:div w:id="1529947448">
                                                                  <w:marLeft w:val="0"/>
                                                                  <w:marRight w:val="0"/>
                                                                  <w:marTop w:val="0"/>
                                                                  <w:marBottom w:val="0"/>
                                                                  <w:divBdr>
                                                                    <w:top w:val="none" w:sz="0" w:space="0" w:color="auto"/>
                                                                    <w:left w:val="none" w:sz="0" w:space="0" w:color="auto"/>
                                                                    <w:bottom w:val="none" w:sz="0" w:space="0" w:color="auto"/>
                                                                    <w:right w:val="none" w:sz="0" w:space="0" w:color="auto"/>
                                                                  </w:divBdr>
                                                                  <w:divsChild>
                                                                    <w:div w:id="1505631179">
                                                                      <w:marLeft w:val="0"/>
                                                                      <w:marRight w:val="0"/>
                                                                      <w:marTop w:val="0"/>
                                                                      <w:marBottom w:val="0"/>
                                                                      <w:divBdr>
                                                                        <w:top w:val="none" w:sz="0" w:space="0" w:color="auto"/>
                                                                        <w:left w:val="none" w:sz="0" w:space="0" w:color="auto"/>
                                                                        <w:bottom w:val="none" w:sz="0" w:space="0" w:color="auto"/>
                                                                        <w:right w:val="none" w:sz="0" w:space="0" w:color="auto"/>
                                                                      </w:divBdr>
                                                                      <w:divsChild>
                                                                        <w:div w:id="1566181752">
                                                                          <w:marLeft w:val="0"/>
                                                                          <w:marRight w:val="0"/>
                                                                          <w:marTop w:val="0"/>
                                                                          <w:marBottom w:val="0"/>
                                                                          <w:divBdr>
                                                                            <w:top w:val="none" w:sz="0" w:space="0" w:color="auto"/>
                                                                            <w:left w:val="none" w:sz="0" w:space="0" w:color="auto"/>
                                                                            <w:bottom w:val="none" w:sz="0" w:space="0" w:color="auto"/>
                                                                            <w:right w:val="none" w:sz="0" w:space="0" w:color="auto"/>
                                                                          </w:divBdr>
                                                                          <w:divsChild>
                                                                            <w:div w:id="68622263">
                                                                              <w:marLeft w:val="0"/>
                                                                              <w:marRight w:val="0"/>
                                                                              <w:marTop w:val="0"/>
                                                                              <w:marBottom w:val="0"/>
                                                                              <w:divBdr>
                                                                                <w:top w:val="none" w:sz="0" w:space="0" w:color="auto"/>
                                                                                <w:left w:val="none" w:sz="0" w:space="0" w:color="auto"/>
                                                                                <w:bottom w:val="none" w:sz="0" w:space="0" w:color="auto"/>
                                                                                <w:right w:val="none" w:sz="0" w:space="0" w:color="auto"/>
                                                                              </w:divBdr>
                                                                              <w:divsChild>
                                                                                <w:div w:id="1292907971">
                                                                                  <w:marLeft w:val="0"/>
                                                                                  <w:marRight w:val="0"/>
                                                                                  <w:marTop w:val="0"/>
                                                                                  <w:marBottom w:val="0"/>
                                                                                  <w:divBdr>
                                                                                    <w:top w:val="none" w:sz="0" w:space="0" w:color="auto"/>
                                                                                    <w:left w:val="none" w:sz="0" w:space="0" w:color="auto"/>
                                                                                    <w:bottom w:val="none" w:sz="0" w:space="0" w:color="auto"/>
                                                                                    <w:right w:val="none" w:sz="0" w:space="0" w:color="auto"/>
                                                                                  </w:divBdr>
                                                                                  <w:divsChild>
                                                                                    <w:div w:id="16494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722174">
      <w:bodyDiv w:val="1"/>
      <w:marLeft w:val="0"/>
      <w:marRight w:val="0"/>
      <w:marTop w:val="0"/>
      <w:marBottom w:val="0"/>
      <w:divBdr>
        <w:top w:val="none" w:sz="0" w:space="0" w:color="auto"/>
        <w:left w:val="none" w:sz="0" w:space="0" w:color="auto"/>
        <w:bottom w:val="none" w:sz="0" w:space="0" w:color="auto"/>
        <w:right w:val="none" w:sz="0" w:space="0" w:color="auto"/>
      </w:divBdr>
      <w:divsChild>
        <w:div w:id="962350803">
          <w:marLeft w:val="0"/>
          <w:marRight w:val="0"/>
          <w:marTop w:val="0"/>
          <w:marBottom w:val="0"/>
          <w:divBdr>
            <w:top w:val="none" w:sz="0" w:space="0" w:color="auto"/>
            <w:left w:val="none" w:sz="0" w:space="0" w:color="auto"/>
            <w:bottom w:val="none" w:sz="0" w:space="0" w:color="auto"/>
            <w:right w:val="none" w:sz="0" w:space="0" w:color="auto"/>
          </w:divBdr>
          <w:divsChild>
            <w:div w:id="1116144705">
              <w:marLeft w:val="0"/>
              <w:marRight w:val="0"/>
              <w:marTop w:val="0"/>
              <w:marBottom w:val="0"/>
              <w:divBdr>
                <w:top w:val="none" w:sz="0" w:space="0" w:color="auto"/>
                <w:left w:val="none" w:sz="0" w:space="0" w:color="auto"/>
                <w:bottom w:val="none" w:sz="0" w:space="0" w:color="auto"/>
                <w:right w:val="none" w:sz="0" w:space="0" w:color="auto"/>
              </w:divBdr>
              <w:divsChild>
                <w:div w:id="2117360748">
                  <w:marLeft w:val="0"/>
                  <w:marRight w:val="0"/>
                  <w:marTop w:val="0"/>
                  <w:marBottom w:val="0"/>
                  <w:divBdr>
                    <w:top w:val="none" w:sz="0" w:space="0" w:color="auto"/>
                    <w:left w:val="none" w:sz="0" w:space="0" w:color="auto"/>
                    <w:bottom w:val="none" w:sz="0" w:space="0" w:color="auto"/>
                    <w:right w:val="none" w:sz="0" w:space="0" w:color="auto"/>
                  </w:divBdr>
                  <w:divsChild>
                    <w:div w:id="2104640840">
                      <w:marLeft w:val="0"/>
                      <w:marRight w:val="0"/>
                      <w:marTop w:val="0"/>
                      <w:marBottom w:val="0"/>
                      <w:divBdr>
                        <w:top w:val="none" w:sz="0" w:space="0" w:color="auto"/>
                        <w:left w:val="none" w:sz="0" w:space="0" w:color="auto"/>
                        <w:bottom w:val="none" w:sz="0" w:space="0" w:color="auto"/>
                        <w:right w:val="none" w:sz="0" w:space="0" w:color="auto"/>
                      </w:divBdr>
                      <w:divsChild>
                        <w:div w:id="1472206983">
                          <w:marLeft w:val="0"/>
                          <w:marRight w:val="0"/>
                          <w:marTop w:val="0"/>
                          <w:marBottom w:val="0"/>
                          <w:divBdr>
                            <w:top w:val="none" w:sz="0" w:space="0" w:color="auto"/>
                            <w:left w:val="none" w:sz="0" w:space="0" w:color="auto"/>
                            <w:bottom w:val="none" w:sz="0" w:space="0" w:color="auto"/>
                            <w:right w:val="none" w:sz="0" w:space="0" w:color="auto"/>
                          </w:divBdr>
                          <w:divsChild>
                            <w:div w:id="930089290">
                              <w:marLeft w:val="2700"/>
                              <w:marRight w:val="3960"/>
                              <w:marTop w:val="0"/>
                              <w:marBottom w:val="0"/>
                              <w:divBdr>
                                <w:top w:val="none" w:sz="0" w:space="0" w:color="auto"/>
                                <w:left w:val="none" w:sz="0" w:space="0" w:color="auto"/>
                                <w:bottom w:val="none" w:sz="0" w:space="0" w:color="auto"/>
                                <w:right w:val="none" w:sz="0" w:space="0" w:color="auto"/>
                              </w:divBdr>
                              <w:divsChild>
                                <w:div w:id="755394495">
                                  <w:marLeft w:val="0"/>
                                  <w:marRight w:val="0"/>
                                  <w:marTop w:val="0"/>
                                  <w:marBottom w:val="0"/>
                                  <w:divBdr>
                                    <w:top w:val="none" w:sz="0" w:space="0" w:color="auto"/>
                                    <w:left w:val="none" w:sz="0" w:space="0" w:color="auto"/>
                                    <w:bottom w:val="none" w:sz="0" w:space="0" w:color="auto"/>
                                    <w:right w:val="none" w:sz="0" w:space="0" w:color="auto"/>
                                  </w:divBdr>
                                  <w:divsChild>
                                    <w:div w:id="135416898">
                                      <w:marLeft w:val="0"/>
                                      <w:marRight w:val="0"/>
                                      <w:marTop w:val="0"/>
                                      <w:marBottom w:val="0"/>
                                      <w:divBdr>
                                        <w:top w:val="none" w:sz="0" w:space="0" w:color="auto"/>
                                        <w:left w:val="none" w:sz="0" w:space="0" w:color="auto"/>
                                        <w:bottom w:val="none" w:sz="0" w:space="0" w:color="auto"/>
                                        <w:right w:val="none" w:sz="0" w:space="0" w:color="auto"/>
                                      </w:divBdr>
                                      <w:divsChild>
                                        <w:div w:id="657685966">
                                          <w:marLeft w:val="0"/>
                                          <w:marRight w:val="0"/>
                                          <w:marTop w:val="0"/>
                                          <w:marBottom w:val="0"/>
                                          <w:divBdr>
                                            <w:top w:val="none" w:sz="0" w:space="0" w:color="auto"/>
                                            <w:left w:val="none" w:sz="0" w:space="0" w:color="auto"/>
                                            <w:bottom w:val="none" w:sz="0" w:space="0" w:color="auto"/>
                                            <w:right w:val="none" w:sz="0" w:space="0" w:color="auto"/>
                                          </w:divBdr>
                                          <w:divsChild>
                                            <w:div w:id="282008442">
                                              <w:marLeft w:val="0"/>
                                              <w:marRight w:val="0"/>
                                              <w:marTop w:val="90"/>
                                              <w:marBottom w:val="0"/>
                                              <w:divBdr>
                                                <w:top w:val="none" w:sz="0" w:space="0" w:color="auto"/>
                                                <w:left w:val="none" w:sz="0" w:space="0" w:color="auto"/>
                                                <w:bottom w:val="none" w:sz="0" w:space="0" w:color="auto"/>
                                                <w:right w:val="none" w:sz="0" w:space="0" w:color="auto"/>
                                              </w:divBdr>
                                              <w:divsChild>
                                                <w:div w:id="167672401">
                                                  <w:marLeft w:val="0"/>
                                                  <w:marRight w:val="0"/>
                                                  <w:marTop w:val="0"/>
                                                  <w:marBottom w:val="405"/>
                                                  <w:divBdr>
                                                    <w:top w:val="none" w:sz="0" w:space="0" w:color="auto"/>
                                                    <w:left w:val="none" w:sz="0" w:space="0" w:color="auto"/>
                                                    <w:bottom w:val="none" w:sz="0" w:space="0" w:color="auto"/>
                                                    <w:right w:val="none" w:sz="0" w:space="0" w:color="auto"/>
                                                  </w:divBdr>
                                                  <w:divsChild>
                                                    <w:div w:id="229393366">
                                                      <w:marLeft w:val="0"/>
                                                      <w:marRight w:val="0"/>
                                                      <w:marTop w:val="0"/>
                                                      <w:marBottom w:val="0"/>
                                                      <w:divBdr>
                                                        <w:top w:val="none" w:sz="0" w:space="0" w:color="auto"/>
                                                        <w:left w:val="none" w:sz="0" w:space="0" w:color="auto"/>
                                                        <w:bottom w:val="none" w:sz="0" w:space="0" w:color="auto"/>
                                                        <w:right w:val="none" w:sz="0" w:space="0" w:color="auto"/>
                                                      </w:divBdr>
                                                      <w:divsChild>
                                                        <w:div w:id="432017259">
                                                          <w:marLeft w:val="0"/>
                                                          <w:marRight w:val="0"/>
                                                          <w:marTop w:val="0"/>
                                                          <w:marBottom w:val="0"/>
                                                          <w:divBdr>
                                                            <w:top w:val="single" w:sz="6" w:space="0" w:color="DFE1E5"/>
                                                            <w:left w:val="single" w:sz="6" w:space="0" w:color="DFE1E5"/>
                                                            <w:bottom w:val="single" w:sz="6" w:space="0" w:color="DFE1E5"/>
                                                            <w:right w:val="single" w:sz="6" w:space="0" w:color="DFE1E5"/>
                                                          </w:divBdr>
                                                          <w:divsChild>
                                                            <w:div w:id="630719696">
                                                              <w:marLeft w:val="0"/>
                                                              <w:marRight w:val="0"/>
                                                              <w:marTop w:val="0"/>
                                                              <w:marBottom w:val="0"/>
                                                              <w:divBdr>
                                                                <w:top w:val="none" w:sz="0" w:space="0" w:color="auto"/>
                                                                <w:left w:val="none" w:sz="0" w:space="0" w:color="auto"/>
                                                                <w:bottom w:val="none" w:sz="0" w:space="0" w:color="auto"/>
                                                                <w:right w:val="none" w:sz="0" w:space="0" w:color="auto"/>
                                                              </w:divBdr>
                                                              <w:divsChild>
                                                                <w:div w:id="843058168">
                                                                  <w:marLeft w:val="0"/>
                                                                  <w:marRight w:val="0"/>
                                                                  <w:marTop w:val="0"/>
                                                                  <w:marBottom w:val="0"/>
                                                                  <w:divBdr>
                                                                    <w:top w:val="none" w:sz="0" w:space="0" w:color="auto"/>
                                                                    <w:left w:val="none" w:sz="0" w:space="0" w:color="auto"/>
                                                                    <w:bottom w:val="none" w:sz="0" w:space="0" w:color="auto"/>
                                                                    <w:right w:val="none" w:sz="0" w:space="0" w:color="auto"/>
                                                                  </w:divBdr>
                                                                  <w:divsChild>
                                                                    <w:div w:id="2071270469">
                                                                      <w:marLeft w:val="0"/>
                                                                      <w:marRight w:val="0"/>
                                                                      <w:marTop w:val="0"/>
                                                                      <w:marBottom w:val="0"/>
                                                                      <w:divBdr>
                                                                        <w:top w:val="none" w:sz="0" w:space="0" w:color="auto"/>
                                                                        <w:left w:val="none" w:sz="0" w:space="0" w:color="auto"/>
                                                                        <w:bottom w:val="none" w:sz="0" w:space="0" w:color="auto"/>
                                                                        <w:right w:val="none" w:sz="0" w:space="0" w:color="auto"/>
                                                                      </w:divBdr>
                                                                      <w:divsChild>
                                                                        <w:div w:id="578102214">
                                                                          <w:marLeft w:val="0"/>
                                                                          <w:marRight w:val="0"/>
                                                                          <w:marTop w:val="0"/>
                                                                          <w:marBottom w:val="0"/>
                                                                          <w:divBdr>
                                                                            <w:top w:val="none" w:sz="0" w:space="0" w:color="auto"/>
                                                                            <w:left w:val="none" w:sz="0" w:space="0" w:color="auto"/>
                                                                            <w:bottom w:val="none" w:sz="0" w:space="0" w:color="auto"/>
                                                                            <w:right w:val="none" w:sz="0" w:space="0" w:color="auto"/>
                                                                          </w:divBdr>
                                                                          <w:divsChild>
                                                                            <w:div w:id="2122530925">
                                                                              <w:marLeft w:val="0"/>
                                                                              <w:marRight w:val="0"/>
                                                                              <w:marTop w:val="0"/>
                                                                              <w:marBottom w:val="0"/>
                                                                              <w:divBdr>
                                                                                <w:top w:val="none" w:sz="0" w:space="0" w:color="auto"/>
                                                                                <w:left w:val="none" w:sz="0" w:space="0" w:color="auto"/>
                                                                                <w:bottom w:val="none" w:sz="0" w:space="0" w:color="auto"/>
                                                                                <w:right w:val="none" w:sz="0" w:space="0" w:color="auto"/>
                                                                              </w:divBdr>
                                                                              <w:divsChild>
                                                                                <w:div w:id="11541079">
                                                                                  <w:marLeft w:val="0"/>
                                                                                  <w:marRight w:val="0"/>
                                                                                  <w:marTop w:val="0"/>
                                                                                  <w:marBottom w:val="0"/>
                                                                                  <w:divBdr>
                                                                                    <w:top w:val="none" w:sz="0" w:space="0" w:color="auto"/>
                                                                                    <w:left w:val="none" w:sz="0" w:space="0" w:color="auto"/>
                                                                                    <w:bottom w:val="none" w:sz="0" w:space="0" w:color="auto"/>
                                                                                    <w:right w:val="none" w:sz="0" w:space="0" w:color="auto"/>
                                                                                  </w:divBdr>
                                                                                  <w:divsChild>
                                                                                    <w:div w:id="97722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9852582">
      <w:bodyDiv w:val="1"/>
      <w:marLeft w:val="0"/>
      <w:marRight w:val="0"/>
      <w:marTop w:val="0"/>
      <w:marBottom w:val="0"/>
      <w:divBdr>
        <w:top w:val="none" w:sz="0" w:space="0" w:color="auto"/>
        <w:left w:val="none" w:sz="0" w:space="0" w:color="auto"/>
        <w:bottom w:val="none" w:sz="0" w:space="0" w:color="auto"/>
        <w:right w:val="none" w:sz="0" w:space="0" w:color="auto"/>
      </w:divBdr>
    </w:div>
    <w:div w:id="569274794">
      <w:bodyDiv w:val="1"/>
      <w:marLeft w:val="0"/>
      <w:marRight w:val="0"/>
      <w:marTop w:val="0"/>
      <w:marBottom w:val="0"/>
      <w:divBdr>
        <w:top w:val="none" w:sz="0" w:space="0" w:color="auto"/>
        <w:left w:val="none" w:sz="0" w:space="0" w:color="auto"/>
        <w:bottom w:val="none" w:sz="0" w:space="0" w:color="auto"/>
        <w:right w:val="none" w:sz="0" w:space="0" w:color="auto"/>
      </w:divBdr>
      <w:divsChild>
        <w:div w:id="145366623">
          <w:marLeft w:val="0"/>
          <w:marRight w:val="0"/>
          <w:marTop w:val="0"/>
          <w:marBottom w:val="0"/>
          <w:divBdr>
            <w:top w:val="none" w:sz="0" w:space="0" w:color="auto"/>
            <w:left w:val="none" w:sz="0" w:space="0" w:color="auto"/>
            <w:bottom w:val="none" w:sz="0" w:space="0" w:color="auto"/>
            <w:right w:val="none" w:sz="0" w:space="0" w:color="auto"/>
          </w:divBdr>
          <w:divsChild>
            <w:div w:id="1070544159">
              <w:marLeft w:val="0"/>
              <w:marRight w:val="0"/>
              <w:marTop w:val="0"/>
              <w:marBottom w:val="0"/>
              <w:divBdr>
                <w:top w:val="none" w:sz="0" w:space="0" w:color="auto"/>
                <w:left w:val="none" w:sz="0" w:space="0" w:color="auto"/>
                <w:bottom w:val="none" w:sz="0" w:space="0" w:color="auto"/>
                <w:right w:val="none" w:sz="0" w:space="0" w:color="auto"/>
              </w:divBdr>
              <w:divsChild>
                <w:div w:id="816268141">
                  <w:marLeft w:val="0"/>
                  <w:marRight w:val="0"/>
                  <w:marTop w:val="0"/>
                  <w:marBottom w:val="0"/>
                  <w:divBdr>
                    <w:top w:val="none" w:sz="0" w:space="0" w:color="auto"/>
                    <w:left w:val="none" w:sz="0" w:space="0" w:color="auto"/>
                    <w:bottom w:val="none" w:sz="0" w:space="0" w:color="auto"/>
                    <w:right w:val="none" w:sz="0" w:space="0" w:color="auto"/>
                  </w:divBdr>
                  <w:divsChild>
                    <w:div w:id="1843351806">
                      <w:marLeft w:val="0"/>
                      <w:marRight w:val="0"/>
                      <w:marTop w:val="0"/>
                      <w:marBottom w:val="0"/>
                      <w:divBdr>
                        <w:top w:val="none" w:sz="0" w:space="0" w:color="auto"/>
                        <w:left w:val="none" w:sz="0" w:space="0" w:color="auto"/>
                        <w:bottom w:val="none" w:sz="0" w:space="0" w:color="auto"/>
                        <w:right w:val="none" w:sz="0" w:space="0" w:color="auto"/>
                      </w:divBdr>
                      <w:divsChild>
                        <w:div w:id="1067725323">
                          <w:marLeft w:val="0"/>
                          <w:marRight w:val="0"/>
                          <w:marTop w:val="0"/>
                          <w:marBottom w:val="0"/>
                          <w:divBdr>
                            <w:top w:val="none" w:sz="0" w:space="0" w:color="auto"/>
                            <w:left w:val="none" w:sz="0" w:space="0" w:color="auto"/>
                            <w:bottom w:val="none" w:sz="0" w:space="0" w:color="auto"/>
                            <w:right w:val="none" w:sz="0" w:space="0" w:color="auto"/>
                          </w:divBdr>
                          <w:divsChild>
                            <w:div w:id="925307423">
                              <w:marLeft w:val="2700"/>
                              <w:marRight w:val="3960"/>
                              <w:marTop w:val="0"/>
                              <w:marBottom w:val="0"/>
                              <w:divBdr>
                                <w:top w:val="none" w:sz="0" w:space="0" w:color="auto"/>
                                <w:left w:val="none" w:sz="0" w:space="0" w:color="auto"/>
                                <w:bottom w:val="none" w:sz="0" w:space="0" w:color="auto"/>
                                <w:right w:val="none" w:sz="0" w:space="0" w:color="auto"/>
                              </w:divBdr>
                              <w:divsChild>
                                <w:div w:id="512962501">
                                  <w:marLeft w:val="0"/>
                                  <w:marRight w:val="0"/>
                                  <w:marTop w:val="0"/>
                                  <w:marBottom w:val="0"/>
                                  <w:divBdr>
                                    <w:top w:val="none" w:sz="0" w:space="0" w:color="auto"/>
                                    <w:left w:val="none" w:sz="0" w:space="0" w:color="auto"/>
                                    <w:bottom w:val="none" w:sz="0" w:space="0" w:color="auto"/>
                                    <w:right w:val="none" w:sz="0" w:space="0" w:color="auto"/>
                                  </w:divBdr>
                                  <w:divsChild>
                                    <w:div w:id="1518617956">
                                      <w:marLeft w:val="0"/>
                                      <w:marRight w:val="0"/>
                                      <w:marTop w:val="0"/>
                                      <w:marBottom w:val="0"/>
                                      <w:divBdr>
                                        <w:top w:val="none" w:sz="0" w:space="0" w:color="auto"/>
                                        <w:left w:val="none" w:sz="0" w:space="0" w:color="auto"/>
                                        <w:bottom w:val="none" w:sz="0" w:space="0" w:color="auto"/>
                                        <w:right w:val="none" w:sz="0" w:space="0" w:color="auto"/>
                                      </w:divBdr>
                                      <w:divsChild>
                                        <w:div w:id="125977634">
                                          <w:marLeft w:val="0"/>
                                          <w:marRight w:val="0"/>
                                          <w:marTop w:val="0"/>
                                          <w:marBottom w:val="0"/>
                                          <w:divBdr>
                                            <w:top w:val="none" w:sz="0" w:space="0" w:color="auto"/>
                                            <w:left w:val="none" w:sz="0" w:space="0" w:color="auto"/>
                                            <w:bottom w:val="none" w:sz="0" w:space="0" w:color="auto"/>
                                            <w:right w:val="none" w:sz="0" w:space="0" w:color="auto"/>
                                          </w:divBdr>
                                          <w:divsChild>
                                            <w:div w:id="903951981">
                                              <w:marLeft w:val="0"/>
                                              <w:marRight w:val="0"/>
                                              <w:marTop w:val="90"/>
                                              <w:marBottom w:val="0"/>
                                              <w:divBdr>
                                                <w:top w:val="none" w:sz="0" w:space="0" w:color="auto"/>
                                                <w:left w:val="none" w:sz="0" w:space="0" w:color="auto"/>
                                                <w:bottom w:val="none" w:sz="0" w:space="0" w:color="auto"/>
                                                <w:right w:val="none" w:sz="0" w:space="0" w:color="auto"/>
                                              </w:divBdr>
                                              <w:divsChild>
                                                <w:div w:id="2092045858">
                                                  <w:marLeft w:val="0"/>
                                                  <w:marRight w:val="0"/>
                                                  <w:marTop w:val="0"/>
                                                  <w:marBottom w:val="405"/>
                                                  <w:divBdr>
                                                    <w:top w:val="none" w:sz="0" w:space="0" w:color="auto"/>
                                                    <w:left w:val="none" w:sz="0" w:space="0" w:color="auto"/>
                                                    <w:bottom w:val="none" w:sz="0" w:space="0" w:color="auto"/>
                                                    <w:right w:val="none" w:sz="0" w:space="0" w:color="auto"/>
                                                  </w:divBdr>
                                                  <w:divsChild>
                                                    <w:div w:id="269943288">
                                                      <w:marLeft w:val="0"/>
                                                      <w:marRight w:val="0"/>
                                                      <w:marTop w:val="0"/>
                                                      <w:marBottom w:val="0"/>
                                                      <w:divBdr>
                                                        <w:top w:val="none" w:sz="0" w:space="0" w:color="auto"/>
                                                        <w:left w:val="none" w:sz="0" w:space="0" w:color="auto"/>
                                                        <w:bottom w:val="none" w:sz="0" w:space="0" w:color="auto"/>
                                                        <w:right w:val="none" w:sz="0" w:space="0" w:color="auto"/>
                                                      </w:divBdr>
                                                      <w:divsChild>
                                                        <w:div w:id="480191397">
                                                          <w:marLeft w:val="0"/>
                                                          <w:marRight w:val="0"/>
                                                          <w:marTop w:val="0"/>
                                                          <w:marBottom w:val="0"/>
                                                          <w:divBdr>
                                                            <w:top w:val="single" w:sz="6" w:space="0" w:color="DFE1E5"/>
                                                            <w:left w:val="single" w:sz="6" w:space="0" w:color="DFE1E5"/>
                                                            <w:bottom w:val="single" w:sz="6" w:space="0" w:color="DFE1E5"/>
                                                            <w:right w:val="single" w:sz="6" w:space="0" w:color="DFE1E5"/>
                                                          </w:divBdr>
                                                          <w:divsChild>
                                                            <w:div w:id="1977643464">
                                                              <w:marLeft w:val="0"/>
                                                              <w:marRight w:val="0"/>
                                                              <w:marTop w:val="0"/>
                                                              <w:marBottom w:val="0"/>
                                                              <w:divBdr>
                                                                <w:top w:val="none" w:sz="0" w:space="0" w:color="auto"/>
                                                                <w:left w:val="none" w:sz="0" w:space="0" w:color="auto"/>
                                                                <w:bottom w:val="none" w:sz="0" w:space="0" w:color="auto"/>
                                                                <w:right w:val="none" w:sz="0" w:space="0" w:color="auto"/>
                                                              </w:divBdr>
                                                              <w:divsChild>
                                                                <w:div w:id="986326345">
                                                                  <w:marLeft w:val="0"/>
                                                                  <w:marRight w:val="0"/>
                                                                  <w:marTop w:val="0"/>
                                                                  <w:marBottom w:val="0"/>
                                                                  <w:divBdr>
                                                                    <w:top w:val="none" w:sz="0" w:space="0" w:color="auto"/>
                                                                    <w:left w:val="none" w:sz="0" w:space="0" w:color="auto"/>
                                                                    <w:bottom w:val="none" w:sz="0" w:space="0" w:color="auto"/>
                                                                    <w:right w:val="none" w:sz="0" w:space="0" w:color="auto"/>
                                                                  </w:divBdr>
                                                                  <w:divsChild>
                                                                    <w:div w:id="2079857951">
                                                                      <w:marLeft w:val="0"/>
                                                                      <w:marRight w:val="0"/>
                                                                      <w:marTop w:val="0"/>
                                                                      <w:marBottom w:val="0"/>
                                                                      <w:divBdr>
                                                                        <w:top w:val="none" w:sz="0" w:space="0" w:color="auto"/>
                                                                        <w:left w:val="none" w:sz="0" w:space="0" w:color="auto"/>
                                                                        <w:bottom w:val="none" w:sz="0" w:space="0" w:color="auto"/>
                                                                        <w:right w:val="none" w:sz="0" w:space="0" w:color="auto"/>
                                                                      </w:divBdr>
                                                                      <w:divsChild>
                                                                        <w:div w:id="1361470351">
                                                                          <w:marLeft w:val="0"/>
                                                                          <w:marRight w:val="0"/>
                                                                          <w:marTop w:val="0"/>
                                                                          <w:marBottom w:val="0"/>
                                                                          <w:divBdr>
                                                                            <w:top w:val="none" w:sz="0" w:space="0" w:color="auto"/>
                                                                            <w:left w:val="none" w:sz="0" w:space="0" w:color="auto"/>
                                                                            <w:bottom w:val="none" w:sz="0" w:space="0" w:color="auto"/>
                                                                            <w:right w:val="none" w:sz="0" w:space="0" w:color="auto"/>
                                                                          </w:divBdr>
                                                                          <w:divsChild>
                                                                            <w:div w:id="1307786049">
                                                                              <w:marLeft w:val="0"/>
                                                                              <w:marRight w:val="0"/>
                                                                              <w:marTop w:val="0"/>
                                                                              <w:marBottom w:val="0"/>
                                                                              <w:divBdr>
                                                                                <w:top w:val="none" w:sz="0" w:space="0" w:color="auto"/>
                                                                                <w:left w:val="none" w:sz="0" w:space="0" w:color="auto"/>
                                                                                <w:bottom w:val="none" w:sz="0" w:space="0" w:color="auto"/>
                                                                                <w:right w:val="none" w:sz="0" w:space="0" w:color="auto"/>
                                                                              </w:divBdr>
                                                                              <w:divsChild>
                                                                                <w:div w:id="125660376">
                                                                                  <w:marLeft w:val="0"/>
                                                                                  <w:marRight w:val="0"/>
                                                                                  <w:marTop w:val="0"/>
                                                                                  <w:marBottom w:val="0"/>
                                                                                  <w:divBdr>
                                                                                    <w:top w:val="none" w:sz="0" w:space="0" w:color="auto"/>
                                                                                    <w:left w:val="none" w:sz="0" w:space="0" w:color="auto"/>
                                                                                    <w:bottom w:val="none" w:sz="0" w:space="0" w:color="auto"/>
                                                                                    <w:right w:val="none" w:sz="0" w:space="0" w:color="auto"/>
                                                                                  </w:divBdr>
                                                                                  <w:divsChild>
                                                                                    <w:div w:id="412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8517696">
      <w:bodyDiv w:val="1"/>
      <w:marLeft w:val="0"/>
      <w:marRight w:val="0"/>
      <w:marTop w:val="0"/>
      <w:marBottom w:val="0"/>
      <w:divBdr>
        <w:top w:val="none" w:sz="0" w:space="0" w:color="auto"/>
        <w:left w:val="none" w:sz="0" w:space="0" w:color="auto"/>
        <w:bottom w:val="none" w:sz="0" w:space="0" w:color="auto"/>
        <w:right w:val="none" w:sz="0" w:space="0" w:color="auto"/>
      </w:divBdr>
    </w:div>
    <w:div w:id="585653707">
      <w:bodyDiv w:val="1"/>
      <w:marLeft w:val="0"/>
      <w:marRight w:val="0"/>
      <w:marTop w:val="0"/>
      <w:marBottom w:val="0"/>
      <w:divBdr>
        <w:top w:val="none" w:sz="0" w:space="0" w:color="auto"/>
        <w:left w:val="none" w:sz="0" w:space="0" w:color="auto"/>
        <w:bottom w:val="none" w:sz="0" w:space="0" w:color="auto"/>
        <w:right w:val="none" w:sz="0" w:space="0" w:color="auto"/>
      </w:divBdr>
      <w:divsChild>
        <w:div w:id="1386249019">
          <w:marLeft w:val="0"/>
          <w:marRight w:val="0"/>
          <w:marTop w:val="0"/>
          <w:marBottom w:val="0"/>
          <w:divBdr>
            <w:top w:val="none" w:sz="0" w:space="0" w:color="auto"/>
            <w:left w:val="none" w:sz="0" w:space="0" w:color="auto"/>
            <w:bottom w:val="none" w:sz="0" w:space="0" w:color="auto"/>
            <w:right w:val="none" w:sz="0" w:space="0" w:color="auto"/>
          </w:divBdr>
          <w:divsChild>
            <w:div w:id="1062631992">
              <w:marLeft w:val="0"/>
              <w:marRight w:val="0"/>
              <w:marTop w:val="0"/>
              <w:marBottom w:val="0"/>
              <w:divBdr>
                <w:top w:val="none" w:sz="0" w:space="0" w:color="auto"/>
                <w:left w:val="none" w:sz="0" w:space="0" w:color="auto"/>
                <w:bottom w:val="none" w:sz="0" w:space="0" w:color="auto"/>
                <w:right w:val="none" w:sz="0" w:space="0" w:color="auto"/>
              </w:divBdr>
              <w:divsChild>
                <w:div w:id="722368065">
                  <w:marLeft w:val="0"/>
                  <w:marRight w:val="0"/>
                  <w:marTop w:val="0"/>
                  <w:marBottom w:val="0"/>
                  <w:divBdr>
                    <w:top w:val="none" w:sz="0" w:space="0" w:color="auto"/>
                    <w:left w:val="none" w:sz="0" w:space="0" w:color="auto"/>
                    <w:bottom w:val="none" w:sz="0" w:space="0" w:color="auto"/>
                    <w:right w:val="none" w:sz="0" w:space="0" w:color="auto"/>
                  </w:divBdr>
                  <w:divsChild>
                    <w:div w:id="945774903">
                      <w:marLeft w:val="0"/>
                      <w:marRight w:val="0"/>
                      <w:marTop w:val="0"/>
                      <w:marBottom w:val="0"/>
                      <w:divBdr>
                        <w:top w:val="none" w:sz="0" w:space="0" w:color="auto"/>
                        <w:left w:val="none" w:sz="0" w:space="0" w:color="auto"/>
                        <w:bottom w:val="none" w:sz="0" w:space="0" w:color="auto"/>
                        <w:right w:val="none" w:sz="0" w:space="0" w:color="auto"/>
                      </w:divBdr>
                      <w:divsChild>
                        <w:div w:id="2135976625">
                          <w:marLeft w:val="0"/>
                          <w:marRight w:val="0"/>
                          <w:marTop w:val="0"/>
                          <w:marBottom w:val="0"/>
                          <w:divBdr>
                            <w:top w:val="none" w:sz="0" w:space="0" w:color="auto"/>
                            <w:left w:val="none" w:sz="0" w:space="0" w:color="auto"/>
                            <w:bottom w:val="none" w:sz="0" w:space="0" w:color="auto"/>
                            <w:right w:val="none" w:sz="0" w:space="0" w:color="auto"/>
                          </w:divBdr>
                          <w:divsChild>
                            <w:div w:id="1264655302">
                              <w:marLeft w:val="2700"/>
                              <w:marRight w:val="3960"/>
                              <w:marTop w:val="0"/>
                              <w:marBottom w:val="0"/>
                              <w:divBdr>
                                <w:top w:val="none" w:sz="0" w:space="0" w:color="auto"/>
                                <w:left w:val="none" w:sz="0" w:space="0" w:color="auto"/>
                                <w:bottom w:val="none" w:sz="0" w:space="0" w:color="auto"/>
                                <w:right w:val="none" w:sz="0" w:space="0" w:color="auto"/>
                              </w:divBdr>
                              <w:divsChild>
                                <w:div w:id="1101222096">
                                  <w:marLeft w:val="0"/>
                                  <w:marRight w:val="0"/>
                                  <w:marTop w:val="0"/>
                                  <w:marBottom w:val="0"/>
                                  <w:divBdr>
                                    <w:top w:val="none" w:sz="0" w:space="0" w:color="auto"/>
                                    <w:left w:val="none" w:sz="0" w:space="0" w:color="auto"/>
                                    <w:bottom w:val="none" w:sz="0" w:space="0" w:color="auto"/>
                                    <w:right w:val="none" w:sz="0" w:space="0" w:color="auto"/>
                                  </w:divBdr>
                                  <w:divsChild>
                                    <w:div w:id="1491286799">
                                      <w:marLeft w:val="0"/>
                                      <w:marRight w:val="0"/>
                                      <w:marTop w:val="0"/>
                                      <w:marBottom w:val="0"/>
                                      <w:divBdr>
                                        <w:top w:val="none" w:sz="0" w:space="0" w:color="auto"/>
                                        <w:left w:val="none" w:sz="0" w:space="0" w:color="auto"/>
                                        <w:bottom w:val="none" w:sz="0" w:space="0" w:color="auto"/>
                                        <w:right w:val="none" w:sz="0" w:space="0" w:color="auto"/>
                                      </w:divBdr>
                                      <w:divsChild>
                                        <w:div w:id="252054948">
                                          <w:marLeft w:val="0"/>
                                          <w:marRight w:val="0"/>
                                          <w:marTop w:val="0"/>
                                          <w:marBottom w:val="0"/>
                                          <w:divBdr>
                                            <w:top w:val="none" w:sz="0" w:space="0" w:color="auto"/>
                                            <w:left w:val="none" w:sz="0" w:space="0" w:color="auto"/>
                                            <w:bottom w:val="none" w:sz="0" w:space="0" w:color="auto"/>
                                            <w:right w:val="none" w:sz="0" w:space="0" w:color="auto"/>
                                          </w:divBdr>
                                          <w:divsChild>
                                            <w:div w:id="866064609">
                                              <w:marLeft w:val="0"/>
                                              <w:marRight w:val="0"/>
                                              <w:marTop w:val="90"/>
                                              <w:marBottom w:val="0"/>
                                              <w:divBdr>
                                                <w:top w:val="none" w:sz="0" w:space="0" w:color="auto"/>
                                                <w:left w:val="none" w:sz="0" w:space="0" w:color="auto"/>
                                                <w:bottom w:val="none" w:sz="0" w:space="0" w:color="auto"/>
                                                <w:right w:val="none" w:sz="0" w:space="0" w:color="auto"/>
                                              </w:divBdr>
                                              <w:divsChild>
                                                <w:div w:id="1458377340">
                                                  <w:marLeft w:val="0"/>
                                                  <w:marRight w:val="0"/>
                                                  <w:marTop w:val="0"/>
                                                  <w:marBottom w:val="405"/>
                                                  <w:divBdr>
                                                    <w:top w:val="none" w:sz="0" w:space="0" w:color="auto"/>
                                                    <w:left w:val="none" w:sz="0" w:space="0" w:color="auto"/>
                                                    <w:bottom w:val="none" w:sz="0" w:space="0" w:color="auto"/>
                                                    <w:right w:val="none" w:sz="0" w:space="0" w:color="auto"/>
                                                  </w:divBdr>
                                                  <w:divsChild>
                                                    <w:div w:id="622074137">
                                                      <w:marLeft w:val="0"/>
                                                      <w:marRight w:val="0"/>
                                                      <w:marTop w:val="0"/>
                                                      <w:marBottom w:val="0"/>
                                                      <w:divBdr>
                                                        <w:top w:val="none" w:sz="0" w:space="0" w:color="auto"/>
                                                        <w:left w:val="none" w:sz="0" w:space="0" w:color="auto"/>
                                                        <w:bottom w:val="none" w:sz="0" w:space="0" w:color="auto"/>
                                                        <w:right w:val="none" w:sz="0" w:space="0" w:color="auto"/>
                                                      </w:divBdr>
                                                      <w:divsChild>
                                                        <w:div w:id="1415470304">
                                                          <w:marLeft w:val="0"/>
                                                          <w:marRight w:val="0"/>
                                                          <w:marTop w:val="0"/>
                                                          <w:marBottom w:val="0"/>
                                                          <w:divBdr>
                                                            <w:top w:val="single" w:sz="6" w:space="0" w:color="DFE1E5"/>
                                                            <w:left w:val="single" w:sz="6" w:space="0" w:color="DFE1E5"/>
                                                            <w:bottom w:val="single" w:sz="6" w:space="0" w:color="DFE1E5"/>
                                                            <w:right w:val="single" w:sz="6" w:space="0" w:color="DFE1E5"/>
                                                          </w:divBdr>
                                                          <w:divsChild>
                                                            <w:div w:id="1366979467">
                                                              <w:marLeft w:val="0"/>
                                                              <w:marRight w:val="0"/>
                                                              <w:marTop w:val="0"/>
                                                              <w:marBottom w:val="0"/>
                                                              <w:divBdr>
                                                                <w:top w:val="none" w:sz="0" w:space="0" w:color="auto"/>
                                                                <w:left w:val="none" w:sz="0" w:space="0" w:color="auto"/>
                                                                <w:bottom w:val="none" w:sz="0" w:space="0" w:color="auto"/>
                                                                <w:right w:val="none" w:sz="0" w:space="0" w:color="auto"/>
                                                              </w:divBdr>
                                                              <w:divsChild>
                                                                <w:div w:id="1200092">
                                                                  <w:marLeft w:val="0"/>
                                                                  <w:marRight w:val="0"/>
                                                                  <w:marTop w:val="0"/>
                                                                  <w:marBottom w:val="0"/>
                                                                  <w:divBdr>
                                                                    <w:top w:val="none" w:sz="0" w:space="0" w:color="auto"/>
                                                                    <w:left w:val="none" w:sz="0" w:space="0" w:color="auto"/>
                                                                    <w:bottom w:val="none" w:sz="0" w:space="0" w:color="auto"/>
                                                                    <w:right w:val="none" w:sz="0" w:space="0" w:color="auto"/>
                                                                  </w:divBdr>
                                                                  <w:divsChild>
                                                                    <w:div w:id="1915117868">
                                                                      <w:marLeft w:val="0"/>
                                                                      <w:marRight w:val="0"/>
                                                                      <w:marTop w:val="0"/>
                                                                      <w:marBottom w:val="0"/>
                                                                      <w:divBdr>
                                                                        <w:top w:val="none" w:sz="0" w:space="0" w:color="auto"/>
                                                                        <w:left w:val="none" w:sz="0" w:space="0" w:color="auto"/>
                                                                        <w:bottom w:val="none" w:sz="0" w:space="0" w:color="auto"/>
                                                                        <w:right w:val="none" w:sz="0" w:space="0" w:color="auto"/>
                                                                      </w:divBdr>
                                                                      <w:divsChild>
                                                                        <w:div w:id="167596241">
                                                                          <w:marLeft w:val="0"/>
                                                                          <w:marRight w:val="0"/>
                                                                          <w:marTop w:val="0"/>
                                                                          <w:marBottom w:val="0"/>
                                                                          <w:divBdr>
                                                                            <w:top w:val="none" w:sz="0" w:space="0" w:color="auto"/>
                                                                            <w:left w:val="none" w:sz="0" w:space="0" w:color="auto"/>
                                                                            <w:bottom w:val="none" w:sz="0" w:space="0" w:color="auto"/>
                                                                            <w:right w:val="none" w:sz="0" w:space="0" w:color="auto"/>
                                                                          </w:divBdr>
                                                                          <w:divsChild>
                                                                            <w:div w:id="1848055646">
                                                                              <w:marLeft w:val="0"/>
                                                                              <w:marRight w:val="0"/>
                                                                              <w:marTop w:val="0"/>
                                                                              <w:marBottom w:val="0"/>
                                                                              <w:divBdr>
                                                                                <w:top w:val="none" w:sz="0" w:space="0" w:color="auto"/>
                                                                                <w:left w:val="none" w:sz="0" w:space="0" w:color="auto"/>
                                                                                <w:bottom w:val="none" w:sz="0" w:space="0" w:color="auto"/>
                                                                                <w:right w:val="none" w:sz="0" w:space="0" w:color="auto"/>
                                                                              </w:divBdr>
                                                                              <w:divsChild>
                                                                                <w:div w:id="2039042003">
                                                                                  <w:marLeft w:val="0"/>
                                                                                  <w:marRight w:val="0"/>
                                                                                  <w:marTop w:val="0"/>
                                                                                  <w:marBottom w:val="0"/>
                                                                                  <w:divBdr>
                                                                                    <w:top w:val="none" w:sz="0" w:space="0" w:color="auto"/>
                                                                                    <w:left w:val="none" w:sz="0" w:space="0" w:color="auto"/>
                                                                                    <w:bottom w:val="none" w:sz="0" w:space="0" w:color="auto"/>
                                                                                    <w:right w:val="none" w:sz="0" w:space="0" w:color="auto"/>
                                                                                  </w:divBdr>
                                                                                  <w:divsChild>
                                                                                    <w:div w:id="1222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3973166">
      <w:bodyDiv w:val="1"/>
      <w:marLeft w:val="0"/>
      <w:marRight w:val="0"/>
      <w:marTop w:val="0"/>
      <w:marBottom w:val="0"/>
      <w:divBdr>
        <w:top w:val="none" w:sz="0" w:space="0" w:color="auto"/>
        <w:left w:val="none" w:sz="0" w:space="0" w:color="auto"/>
        <w:bottom w:val="none" w:sz="0" w:space="0" w:color="auto"/>
        <w:right w:val="none" w:sz="0" w:space="0" w:color="auto"/>
      </w:divBdr>
      <w:divsChild>
        <w:div w:id="1945184463">
          <w:marLeft w:val="0"/>
          <w:marRight w:val="0"/>
          <w:marTop w:val="0"/>
          <w:marBottom w:val="0"/>
          <w:divBdr>
            <w:top w:val="none" w:sz="0" w:space="0" w:color="auto"/>
            <w:left w:val="none" w:sz="0" w:space="0" w:color="auto"/>
            <w:bottom w:val="none" w:sz="0" w:space="0" w:color="auto"/>
            <w:right w:val="none" w:sz="0" w:space="0" w:color="auto"/>
          </w:divBdr>
          <w:divsChild>
            <w:div w:id="14812744">
              <w:marLeft w:val="0"/>
              <w:marRight w:val="0"/>
              <w:marTop w:val="0"/>
              <w:marBottom w:val="0"/>
              <w:divBdr>
                <w:top w:val="none" w:sz="0" w:space="0" w:color="auto"/>
                <w:left w:val="none" w:sz="0" w:space="0" w:color="auto"/>
                <w:bottom w:val="none" w:sz="0" w:space="0" w:color="auto"/>
                <w:right w:val="none" w:sz="0" w:space="0" w:color="auto"/>
              </w:divBdr>
              <w:divsChild>
                <w:div w:id="1503927982">
                  <w:marLeft w:val="0"/>
                  <w:marRight w:val="0"/>
                  <w:marTop w:val="0"/>
                  <w:marBottom w:val="0"/>
                  <w:divBdr>
                    <w:top w:val="none" w:sz="0" w:space="0" w:color="auto"/>
                    <w:left w:val="none" w:sz="0" w:space="0" w:color="auto"/>
                    <w:bottom w:val="none" w:sz="0" w:space="0" w:color="auto"/>
                    <w:right w:val="none" w:sz="0" w:space="0" w:color="auto"/>
                  </w:divBdr>
                  <w:divsChild>
                    <w:div w:id="867571873">
                      <w:marLeft w:val="0"/>
                      <w:marRight w:val="0"/>
                      <w:marTop w:val="0"/>
                      <w:marBottom w:val="0"/>
                      <w:divBdr>
                        <w:top w:val="none" w:sz="0" w:space="0" w:color="auto"/>
                        <w:left w:val="none" w:sz="0" w:space="0" w:color="auto"/>
                        <w:bottom w:val="none" w:sz="0" w:space="0" w:color="auto"/>
                        <w:right w:val="none" w:sz="0" w:space="0" w:color="auto"/>
                      </w:divBdr>
                      <w:divsChild>
                        <w:div w:id="651762024">
                          <w:marLeft w:val="0"/>
                          <w:marRight w:val="0"/>
                          <w:marTop w:val="0"/>
                          <w:marBottom w:val="0"/>
                          <w:divBdr>
                            <w:top w:val="none" w:sz="0" w:space="0" w:color="auto"/>
                            <w:left w:val="none" w:sz="0" w:space="0" w:color="auto"/>
                            <w:bottom w:val="none" w:sz="0" w:space="0" w:color="auto"/>
                            <w:right w:val="none" w:sz="0" w:space="0" w:color="auto"/>
                          </w:divBdr>
                          <w:divsChild>
                            <w:div w:id="218900414">
                              <w:marLeft w:val="2700"/>
                              <w:marRight w:val="3960"/>
                              <w:marTop w:val="0"/>
                              <w:marBottom w:val="0"/>
                              <w:divBdr>
                                <w:top w:val="none" w:sz="0" w:space="0" w:color="auto"/>
                                <w:left w:val="none" w:sz="0" w:space="0" w:color="auto"/>
                                <w:bottom w:val="none" w:sz="0" w:space="0" w:color="auto"/>
                                <w:right w:val="none" w:sz="0" w:space="0" w:color="auto"/>
                              </w:divBdr>
                              <w:divsChild>
                                <w:div w:id="1860969932">
                                  <w:marLeft w:val="0"/>
                                  <w:marRight w:val="0"/>
                                  <w:marTop w:val="0"/>
                                  <w:marBottom w:val="0"/>
                                  <w:divBdr>
                                    <w:top w:val="none" w:sz="0" w:space="0" w:color="auto"/>
                                    <w:left w:val="none" w:sz="0" w:space="0" w:color="auto"/>
                                    <w:bottom w:val="none" w:sz="0" w:space="0" w:color="auto"/>
                                    <w:right w:val="none" w:sz="0" w:space="0" w:color="auto"/>
                                  </w:divBdr>
                                  <w:divsChild>
                                    <w:div w:id="837889760">
                                      <w:marLeft w:val="0"/>
                                      <w:marRight w:val="0"/>
                                      <w:marTop w:val="0"/>
                                      <w:marBottom w:val="0"/>
                                      <w:divBdr>
                                        <w:top w:val="none" w:sz="0" w:space="0" w:color="auto"/>
                                        <w:left w:val="none" w:sz="0" w:space="0" w:color="auto"/>
                                        <w:bottom w:val="none" w:sz="0" w:space="0" w:color="auto"/>
                                        <w:right w:val="none" w:sz="0" w:space="0" w:color="auto"/>
                                      </w:divBdr>
                                      <w:divsChild>
                                        <w:div w:id="1478644516">
                                          <w:marLeft w:val="0"/>
                                          <w:marRight w:val="0"/>
                                          <w:marTop w:val="0"/>
                                          <w:marBottom w:val="0"/>
                                          <w:divBdr>
                                            <w:top w:val="none" w:sz="0" w:space="0" w:color="auto"/>
                                            <w:left w:val="none" w:sz="0" w:space="0" w:color="auto"/>
                                            <w:bottom w:val="none" w:sz="0" w:space="0" w:color="auto"/>
                                            <w:right w:val="none" w:sz="0" w:space="0" w:color="auto"/>
                                          </w:divBdr>
                                          <w:divsChild>
                                            <w:div w:id="1008285822">
                                              <w:marLeft w:val="0"/>
                                              <w:marRight w:val="0"/>
                                              <w:marTop w:val="90"/>
                                              <w:marBottom w:val="0"/>
                                              <w:divBdr>
                                                <w:top w:val="none" w:sz="0" w:space="0" w:color="auto"/>
                                                <w:left w:val="none" w:sz="0" w:space="0" w:color="auto"/>
                                                <w:bottom w:val="none" w:sz="0" w:space="0" w:color="auto"/>
                                                <w:right w:val="none" w:sz="0" w:space="0" w:color="auto"/>
                                              </w:divBdr>
                                              <w:divsChild>
                                                <w:div w:id="60718527">
                                                  <w:marLeft w:val="0"/>
                                                  <w:marRight w:val="0"/>
                                                  <w:marTop w:val="0"/>
                                                  <w:marBottom w:val="405"/>
                                                  <w:divBdr>
                                                    <w:top w:val="none" w:sz="0" w:space="0" w:color="auto"/>
                                                    <w:left w:val="none" w:sz="0" w:space="0" w:color="auto"/>
                                                    <w:bottom w:val="none" w:sz="0" w:space="0" w:color="auto"/>
                                                    <w:right w:val="none" w:sz="0" w:space="0" w:color="auto"/>
                                                  </w:divBdr>
                                                  <w:divsChild>
                                                    <w:div w:id="310444325">
                                                      <w:marLeft w:val="0"/>
                                                      <w:marRight w:val="0"/>
                                                      <w:marTop w:val="0"/>
                                                      <w:marBottom w:val="0"/>
                                                      <w:divBdr>
                                                        <w:top w:val="none" w:sz="0" w:space="0" w:color="auto"/>
                                                        <w:left w:val="none" w:sz="0" w:space="0" w:color="auto"/>
                                                        <w:bottom w:val="none" w:sz="0" w:space="0" w:color="auto"/>
                                                        <w:right w:val="none" w:sz="0" w:space="0" w:color="auto"/>
                                                      </w:divBdr>
                                                      <w:divsChild>
                                                        <w:div w:id="891188363">
                                                          <w:marLeft w:val="0"/>
                                                          <w:marRight w:val="0"/>
                                                          <w:marTop w:val="0"/>
                                                          <w:marBottom w:val="0"/>
                                                          <w:divBdr>
                                                            <w:top w:val="single" w:sz="6" w:space="0" w:color="DFE1E5"/>
                                                            <w:left w:val="single" w:sz="6" w:space="0" w:color="DFE1E5"/>
                                                            <w:bottom w:val="single" w:sz="6" w:space="0" w:color="DFE1E5"/>
                                                            <w:right w:val="single" w:sz="6" w:space="0" w:color="DFE1E5"/>
                                                          </w:divBdr>
                                                          <w:divsChild>
                                                            <w:div w:id="1565485558">
                                                              <w:marLeft w:val="0"/>
                                                              <w:marRight w:val="0"/>
                                                              <w:marTop w:val="0"/>
                                                              <w:marBottom w:val="0"/>
                                                              <w:divBdr>
                                                                <w:top w:val="none" w:sz="0" w:space="0" w:color="auto"/>
                                                                <w:left w:val="none" w:sz="0" w:space="0" w:color="auto"/>
                                                                <w:bottom w:val="none" w:sz="0" w:space="0" w:color="auto"/>
                                                                <w:right w:val="none" w:sz="0" w:space="0" w:color="auto"/>
                                                              </w:divBdr>
                                                              <w:divsChild>
                                                                <w:div w:id="1570849876">
                                                                  <w:marLeft w:val="0"/>
                                                                  <w:marRight w:val="0"/>
                                                                  <w:marTop w:val="0"/>
                                                                  <w:marBottom w:val="0"/>
                                                                  <w:divBdr>
                                                                    <w:top w:val="none" w:sz="0" w:space="0" w:color="auto"/>
                                                                    <w:left w:val="none" w:sz="0" w:space="0" w:color="auto"/>
                                                                    <w:bottom w:val="none" w:sz="0" w:space="0" w:color="auto"/>
                                                                    <w:right w:val="none" w:sz="0" w:space="0" w:color="auto"/>
                                                                  </w:divBdr>
                                                                  <w:divsChild>
                                                                    <w:div w:id="780536271">
                                                                      <w:marLeft w:val="0"/>
                                                                      <w:marRight w:val="0"/>
                                                                      <w:marTop w:val="0"/>
                                                                      <w:marBottom w:val="0"/>
                                                                      <w:divBdr>
                                                                        <w:top w:val="none" w:sz="0" w:space="0" w:color="auto"/>
                                                                        <w:left w:val="none" w:sz="0" w:space="0" w:color="auto"/>
                                                                        <w:bottom w:val="none" w:sz="0" w:space="0" w:color="auto"/>
                                                                        <w:right w:val="none" w:sz="0" w:space="0" w:color="auto"/>
                                                                      </w:divBdr>
                                                                      <w:divsChild>
                                                                        <w:div w:id="1559710469">
                                                                          <w:marLeft w:val="0"/>
                                                                          <w:marRight w:val="0"/>
                                                                          <w:marTop w:val="0"/>
                                                                          <w:marBottom w:val="0"/>
                                                                          <w:divBdr>
                                                                            <w:top w:val="none" w:sz="0" w:space="0" w:color="auto"/>
                                                                            <w:left w:val="none" w:sz="0" w:space="0" w:color="auto"/>
                                                                            <w:bottom w:val="none" w:sz="0" w:space="0" w:color="auto"/>
                                                                            <w:right w:val="none" w:sz="0" w:space="0" w:color="auto"/>
                                                                          </w:divBdr>
                                                                          <w:divsChild>
                                                                            <w:div w:id="149639753">
                                                                              <w:marLeft w:val="0"/>
                                                                              <w:marRight w:val="0"/>
                                                                              <w:marTop w:val="0"/>
                                                                              <w:marBottom w:val="0"/>
                                                                              <w:divBdr>
                                                                                <w:top w:val="none" w:sz="0" w:space="0" w:color="auto"/>
                                                                                <w:left w:val="none" w:sz="0" w:space="0" w:color="auto"/>
                                                                                <w:bottom w:val="none" w:sz="0" w:space="0" w:color="auto"/>
                                                                                <w:right w:val="none" w:sz="0" w:space="0" w:color="auto"/>
                                                                              </w:divBdr>
                                                                              <w:divsChild>
                                                                                <w:div w:id="1054738910">
                                                                                  <w:marLeft w:val="0"/>
                                                                                  <w:marRight w:val="0"/>
                                                                                  <w:marTop w:val="0"/>
                                                                                  <w:marBottom w:val="0"/>
                                                                                  <w:divBdr>
                                                                                    <w:top w:val="none" w:sz="0" w:space="0" w:color="auto"/>
                                                                                    <w:left w:val="none" w:sz="0" w:space="0" w:color="auto"/>
                                                                                    <w:bottom w:val="none" w:sz="0" w:space="0" w:color="auto"/>
                                                                                    <w:right w:val="none" w:sz="0" w:space="0" w:color="auto"/>
                                                                                  </w:divBdr>
                                                                                  <w:divsChild>
                                                                                    <w:div w:id="1827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9114867">
      <w:bodyDiv w:val="1"/>
      <w:marLeft w:val="0"/>
      <w:marRight w:val="0"/>
      <w:marTop w:val="0"/>
      <w:marBottom w:val="0"/>
      <w:divBdr>
        <w:top w:val="none" w:sz="0" w:space="0" w:color="auto"/>
        <w:left w:val="none" w:sz="0" w:space="0" w:color="auto"/>
        <w:bottom w:val="none" w:sz="0" w:space="0" w:color="auto"/>
        <w:right w:val="none" w:sz="0" w:space="0" w:color="auto"/>
      </w:divBdr>
    </w:div>
    <w:div w:id="655912714">
      <w:bodyDiv w:val="1"/>
      <w:marLeft w:val="0"/>
      <w:marRight w:val="0"/>
      <w:marTop w:val="0"/>
      <w:marBottom w:val="0"/>
      <w:divBdr>
        <w:top w:val="none" w:sz="0" w:space="0" w:color="auto"/>
        <w:left w:val="none" w:sz="0" w:space="0" w:color="auto"/>
        <w:bottom w:val="none" w:sz="0" w:space="0" w:color="auto"/>
        <w:right w:val="none" w:sz="0" w:space="0" w:color="auto"/>
      </w:divBdr>
      <w:divsChild>
        <w:div w:id="208417573">
          <w:marLeft w:val="0"/>
          <w:marRight w:val="0"/>
          <w:marTop w:val="0"/>
          <w:marBottom w:val="0"/>
          <w:divBdr>
            <w:top w:val="none" w:sz="0" w:space="0" w:color="auto"/>
            <w:left w:val="none" w:sz="0" w:space="0" w:color="auto"/>
            <w:bottom w:val="none" w:sz="0" w:space="0" w:color="auto"/>
            <w:right w:val="none" w:sz="0" w:space="0" w:color="auto"/>
          </w:divBdr>
          <w:divsChild>
            <w:div w:id="1056392898">
              <w:marLeft w:val="0"/>
              <w:marRight w:val="0"/>
              <w:marTop w:val="0"/>
              <w:marBottom w:val="0"/>
              <w:divBdr>
                <w:top w:val="none" w:sz="0" w:space="0" w:color="auto"/>
                <w:left w:val="none" w:sz="0" w:space="0" w:color="auto"/>
                <w:bottom w:val="none" w:sz="0" w:space="0" w:color="auto"/>
                <w:right w:val="none" w:sz="0" w:space="0" w:color="auto"/>
              </w:divBdr>
              <w:divsChild>
                <w:div w:id="1134175002">
                  <w:marLeft w:val="0"/>
                  <w:marRight w:val="0"/>
                  <w:marTop w:val="0"/>
                  <w:marBottom w:val="0"/>
                  <w:divBdr>
                    <w:top w:val="none" w:sz="0" w:space="0" w:color="auto"/>
                    <w:left w:val="none" w:sz="0" w:space="0" w:color="auto"/>
                    <w:bottom w:val="none" w:sz="0" w:space="0" w:color="auto"/>
                    <w:right w:val="none" w:sz="0" w:space="0" w:color="auto"/>
                  </w:divBdr>
                  <w:divsChild>
                    <w:div w:id="1788546201">
                      <w:marLeft w:val="0"/>
                      <w:marRight w:val="0"/>
                      <w:marTop w:val="0"/>
                      <w:marBottom w:val="0"/>
                      <w:divBdr>
                        <w:top w:val="none" w:sz="0" w:space="0" w:color="auto"/>
                        <w:left w:val="none" w:sz="0" w:space="0" w:color="auto"/>
                        <w:bottom w:val="none" w:sz="0" w:space="0" w:color="auto"/>
                        <w:right w:val="none" w:sz="0" w:space="0" w:color="auto"/>
                      </w:divBdr>
                      <w:divsChild>
                        <w:div w:id="581716836">
                          <w:marLeft w:val="0"/>
                          <w:marRight w:val="0"/>
                          <w:marTop w:val="0"/>
                          <w:marBottom w:val="0"/>
                          <w:divBdr>
                            <w:top w:val="none" w:sz="0" w:space="0" w:color="auto"/>
                            <w:left w:val="none" w:sz="0" w:space="0" w:color="auto"/>
                            <w:bottom w:val="none" w:sz="0" w:space="0" w:color="auto"/>
                            <w:right w:val="none" w:sz="0" w:space="0" w:color="auto"/>
                          </w:divBdr>
                          <w:divsChild>
                            <w:div w:id="2018077704">
                              <w:marLeft w:val="2700"/>
                              <w:marRight w:val="3960"/>
                              <w:marTop w:val="0"/>
                              <w:marBottom w:val="0"/>
                              <w:divBdr>
                                <w:top w:val="none" w:sz="0" w:space="0" w:color="auto"/>
                                <w:left w:val="none" w:sz="0" w:space="0" w:color="auto"/>
                                <w:bottom w:val="none" w:sz="0" w:space="0" w:color="auto"/>
                                <w:right w:val="none" w:sz="0" w:space="0" w:color="auto"/>
                              </w:divBdr>
                              <w:divsChild>
                                <w:div w:id="2073039569">
                                  <w:marLeft w:val="0"/>
                                  <w:marRight w:val="0"/>
                                  <w:marTop w:val="0"/>
                                  <w:marBottom w:val="0"/>
                                  <w:divBdr>
                                    <w:top w:val="none" w:sz="0" w:space="0" w:color="auto"/>
                                    <w:left w:val="none" w:sz="0" w:space="0" w:color="auto"/>
                                    <w:bottom w:val="none" w:sz="0" w:space="0" w:color="auto"/>
                                    <w:right w:val="none" w:sz="0" w:space="0" w:color="auto"/>
                                  </w:divBdr>
                                  <w:divsChild>
                                    <w:div w:id="664822814">
                                      <w:marLeft w:val="0"/>
                                      <w:marRight w:val="0"/>
                                      <w:marTop w:val="0"/>
                                      <w:marBottom w:val="0"/>
                                      <w:divBdr>
                                        <w:top w:val="none" w:sz="0" w:space="0" w:color="auto"/>
                                        <w:left w:val="none" w:sz="0" w:space="0" w:color="auto"/>
                                        <w:bottom w:val="none" w:sz="0" w:space="0" w:color="auto"/>
                                        <w:right w:val="none" w:sz="0" w:space="0" w:color="auto"/>
                                      </w:divBdr>
                                      <w:divsChild>
                                        <w:div w:id="1531601778">
                                          <w:marLeft w:val="0"/>
                                          <w:marRight w:val="0"/>
                                          <w:marTop w:val="0"/>
                                          <w:marBottom w:val="0"/>
                                          <w:divBdr>
                                            <w:top w:val="none" w:sz="0" w:space="0" w:color="auto"/>
                                            <w:left w:val="none" w:sz="0" w:space="0" w:color="auto"/>
                                            <w:bottom w:val="none" w:sz="0" w:space="0" w:color="auto"/>
                                            <w:right w:val="none" w:sz="0" w:space="0" w:color="auto"/>
                                          </w:divBdr>
                                          <w:divsChild>
                                            <w:div w:id="856506401">
                                              <w:marLeft w:val="0"/>
                                              <w:marRight w:val="0"/>
                                              <w:marTop w:val="90"/>
                                              <w:marBottom w:val="0"/>
                                              <w:divBdr>
                                                <w:top w:val="none" w:sz="0" w:space="0" w:color="auto"/>
                                                <w:left w:val="none" w:sz="0" w:space="0" w:color="auto"/>
                                                <w:bottom w:val="none" w:sz="0" w:space="0" w:color="auto"/>
                                                <w:right w:val="none" w:sz="0" w:space="0" w:color="auto"/>
                                              </w:divBdr>
                                              <w:divsChild>
                                                <w:div w:id="255676296">
                                                  <w:marLeft w:val="0"/>
                                                  <w:marRight w:val="0"/>
                                                  <w:marTop w:val="0"/>
                                                  <w:marBottom w:val="405"/>
                                                  <w:divBdr>
                                                    <w:top w:val="none" w:sz="0" w:space="0" w:color="auto"/>
                                                    <w:left w:val="none" w:sz="0" w:space="0" w:color="auto"/>
                                                    <w:bottom w:val="none" w:sz="0" w:space="0" w:color="auto"/>
                                                    <w:right w:val="none" w:sz="0" w:space="0" w:color="auto"/>
                                                  </w:divBdr>
                                                  <w:divsChild>
                                                    <w:div w:id="1536573528">
                                                      <w:marLeft w:val="0"/>
                                                      <w:marRight w:val="0"/>
                                                      <w:marTop w:val="0"/>
                                                      <w:marBottom w:val="0"/>
                                                      <w:divBdr>
                                                        <w:top w:val="none" w:sz="0" w:space="0" w:color="auto"/>
                                                        <w:left w:val="none" w:sz="0" w:space="0" w:color="auto"/>
                                                        <w:bottom w:val="none" w:sz="0" w:space="0" w:color="auto"/>
                                                        <w:right w:val="none" w:sz="0" w:space="0" w:color="auto"/>
                                                      </w:divBdr>
                                                      <w:divsChild>
                                                        <w:div w:id="989209258">
                                                          <w:marLeft w:val="0"/>
                                                          <w:marRight w:val="0"/>
                                                          <w:marTop w:val="0"/>
                                                          <w:marBottom w:val="0"/>
                                                          <w:divBdr>
                                                            <w:top w:val="single" w:sz="6" w:space="0" w:color="DFE1E5"/>
                                                            <w:left w:val="single" w:sz="6" w:space="0" w:color="DFE1E5"/>
                                                            <w:bottom w:val="single" w:sz="6" w:space="0" w:color="DFE1E5"/>
                                                            <w:right w:val="single" w:sz="6" w:space="0" w:color="DFE1E5"/>
                                                          </w:divBdr>
                                                          <w:divsChild>
                                                            <w:div w:id="1319577734">
                                                              <w:marLeft w:val="0"/>
                                                              <w:marRight w:val="0"/>
                                                              <w:marTop w:val="0"/>
                                                              <w:marBottom w:val="0"/>
                                                              <w:divBdr>
                                                                <w:top w:val="none" w:sz="0" w:space="0" w:color="auto"/>
                                                                <w:left w:val="none" w:sz="0" w:space="0" w:color="auto"/>
                                                                <w:bottom w:val="none" w:sz="0" w:space="0" w:color="auto"/>
                                                                <w:right w:val="none" w:sz="0" w:space="0" w:color="auto"/>
                                                              </w:divBdr>
                                                              <w:divsChild>
                                                                <w:div w:id="1606231835">
                                                                  <w:marLeft w:val="0"/>
                                                                  <w:marRight w:val="0"/>
                                                                  <w:marTop w:val="0"/>
                                                                  <w:marBottom w:val="0"/>
                                                                  <w:divBdr>
                                                                    <w:top w:val="none" w:sz="0" w:space="0" w:color="auto"/>
                                                                    <w:left w:val="none" w:sz="0" w:space="0" w:color="auto"/>
                                                                    <w:bottom w:val="none" w:sz="0" w:space="0" w:color="auto"/>
                                                                    <w:right w:val="none" w:sz="0" w:space="0" w:color="auto"/>
                                                                  </w:divBdr>
                                                                  <w:divsChild>
                                                                    <w:div w:id="1302617671">
                                                                      <w:marLeft w:val="0"/>
                                                                      <w:marRight w:val="0"/>
                                                                      <w:marTop w:val="0"/>
                                                                      <w:marBottom w:val="0"/>
                                                                      <w:divBdr>
                                                                        <w:top w:val="none" w:sz="0" w:space="0" w:color="auto"/>
                                                                        <w:left w:val="none" w:sz="0" w:space="0" w:color="auto"/>
                                                                        <w:bottom w:val="none" w:sz="0" w:space="0" w:color="auto"/>
                                                                        <w:right w:val="none" w:sz="0" w:space="0" w:color="auto"/>
                                                                      </w:divBdr>
                                                                      <w:divsChild>
                                                                        <w:div w:id="1536507250">
                                                                          <w:marLeft w:val="0"/>
                                                                          <w:marRight w:val="0"/>
                                                                          <w:marTop w:val="0"/>
                                                                          <w:marBottom w:val="0"/>
                                                                          <w:divBdr>
                                                                            <w:top w:val="none" w:sz="0" w:space="0" w:color="auto"/>
                                                                            <w:left w:val="none" w:sz="0" w:space="0" w:color="auto"/>
                                                                            <w:bottom w:val="none" w:sz="0" w:space="0" w:color="auto"/>
                                                                            <w:right w:val="none" w:sz="0" w:space="0" w:color="auto"/>
                                                                          </w:divBdr>
                                                                          <w:divsChild>
                                                                            <w:div w:id="1708485562">
                                                                              <w:marLeft w:val="0"/>
                                                                              <w:marRight w:val="0"/>
                                                                              <w:marTop w:val="0"/>
                                                                              <w:marBottom w:val="0"/>
                                                                              <w:divBdr>
                                                                                <w:top w:val="none" w:sz="0" w:space="0" w:color="auto"/>
                                                                                <w:left w:val="none" w:sz="0" w:space="0" w:color="auto"/>
                                                                                <w:bottom w:val="none" w:sz="0" w:space="0" w:color="auto"/>
                                                                                <w:right w:val="none" w:sz="0" w:space="0" w:color="auto"/>
                                                                              </w:divBdr>
                                                                              <w:divsChild>
                                                                                <w:div w:id="316768121">
                                                                                  <w:marLeft w:val="0"/>
                                                                                  <w:marRight w:val="0"/>
                                                                                  <w:marTop w:val="0"/>
                                                                                  <w:marBottom w:val="0"/>
                                                                                  <w:divBdr>
                                                                                    <w:top w:val="none" w:sz="0" w:space="0" w:color="auto"/>
                                                                                    <w:left w:val="none" w:sz="0" w:space="0" w:color="auto"/>
                                                                                    <w:bottom w:val="none" w:sz="0" w:space="0" w:color="auto"/>
                                                                                    <w:right w:val="none" w:sz="0" w:space="0" w:color="auto"/>
                                                                                  </w:divBdr>
                                                                                  <w:divsChild>
                                                                                    <w:div w:id="36459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1128312">
      <w:bodyDiv w:val="1"/>
      <w:marLeft w:val="0"/>
      <w:marRight w:val="0"/>
      <w:marTop w:val="0"/>
      <w:marBottom w:val="0"/>
      <w:divBdr>
        <w:top w:val="none" w:sz="0" w:space="0" w:color="auto"/>
        <w:left w:val="none" w:sz="0" w:space="0" w:color="auto"/>
        <w:bottom w:val="none" w:sz="0" w:space="0" w:color="auto"/>
        <w:right w:val="none" w:sz="0" w:space="0" w:color="auto"/>
      </w:divBdr>
    </w:div>
    <w:div w:id="670639685">
      <w:bodyDiv w:val="1"/>
      <w:marLeft w:val="0"/>
      <w:marRight w:val="0"/>
      <w:marTop w:val="0"/>
      <w:marBottom w:val="0"/>
      <w:divBdr>
        <w:top w:val="none" w:sz="0" w:space="0" w:color="auto"/>
        <w:left w:val="none" w:sz="0" w:space="0" w:color="auto"/>
        <w:bottom w:val="none" w:sz="0" w:space="0" w:color="auto"/>
        <w:right w:val="none" w:sz="0" w:space="0" w:color="auto"/>
      </w:divBdr>
    </w:div>
    <w:div w:id="676075465">
      <w:bodyDiv w:val="1"/>
      <w:marLeft w:val="0"/>
      <w:marRight w:val="0"/>
      <w:marTop w:val="0"/>
      <w:marBottom w:val="0"/>
      <w:divBdr>
        <w:top w:val="none" w:sz="0" w:space="0" w:color="auto"/>
        <w:left w:val="none" w:sz="0" w:space="0" w:color="auto"/>
        <w:bottom w:val="none" w:sz="0" w:space="0" w:color="auto"/>
        <w:right w:val="none" w:sz="0" w:space="0" w:color="auto"/>
      </w:divBdr>
    </w:div>
    <w:div w:id="706180166">
      <w:bodyDiv w:val="1"/>
      <w:marLeft w:val="0"/>
      <w:marRight w:val="0"/>
      <w:marTop w:val="0"/>
      <w:marBottom w:val="0"/>
      <w:divBdr>
        <w:top w:val="none" w:sz="0" w:space="0" w:color="auto"/>
        <w:left w:val="none" w:sz="0" w:space="0" w:color="auto"/>
        <w:bottom w:val="none" w:sz="0" w:space="0" w:color="auto"/>
        <w:right w:val="none" w:sz="0" w:space="0" w:color="auto"/>
      </w:divBdr>
      <w:divsChild>
        <w:div w:id="750935368">
          <w:marLeft w:val="0"/>
          <w:marRight w:val="0"/>
          <w:marTop w:val="0"/>
          <w:marBottom w:val="0"/>
          <w:divBdr>
            <w:top w:val="none" w:sz="0" w:space="0" w:color="auto"/>
            <w:left w:val="none" w:sz="0" w:space="0" w:color="auto"/>
            <w:bottom w:val="none" w:sz="0" w:space="0" w:color="auto"/>
            <w:right w:val="none" w:sz="0" w:space="0" w:color="auto"/>
          </w:divBdr>
          <w:divsChild>
            <w:div w:id="435751784">
              <w:marLeft w:val="0"/>
              <w:marRight w:val="0"/>
              <w:marTop w:val="0"/>
              <w:marBottom w:val="0"/>
              <w:divBdr>
                <w:top w:val="none" w:sz="0" w:space="0" w:color="auto"/>
                <w:left w:val="none" w:sz="0" w:space="0" w:color="auto"/>
                <w:bottom w:val="none" w:sz="0" w:space="0" w:color="auto"/>
                <w:right w:val="none" w:sz="0" w:space="0" w:color="auto"/>
              </w:divBdr>
              <w:divsChild>
                <w:div w:id="1998530173">
                  <w:marLeft w:val="0"/>
                  <w:marRight w:val="0"/>
                  <w:marTop w:val="0"/>
                  <w:marBottom w:val="0"/>
                  <w:divBdr>
                    <w:top w:val="none" w:sz="0" w:space="0" w:color="auto"/>
                    <w:left w:val="none" w:sz="0" w:space="0" w:color="auto"/>
                    <w:bottom w:val="none" w:sz="0" w:space="0" w:color="auto"/>
                    <w:right w:val="none" w:sz="0" w:space="0" w:color="auto"/>
                  </w:divBdr>
                  <w:divsChild>
                    <w:div w:id="361368640">
                      <w:marLeft w:val="0"/>
                      <w:marRight w:val="0"/>
                      <w:marTop w:val="0"/>
                      <w:marBottom w:val="0"/>
                      <w:divBdr>
                        <w:top w:val="none" w:sz="0" w:space="0" w:color="auto"/>
                        <w:left w:val="none" w:sz="0" w:space="0" w:color="auto"/>
                        <w:bottom w:val="none" w:sz="0" w:space="0" w:color="auto"/>
                        <w:right w:val="none" w:sz="0" w:space="0" w:color="auto"/>
                      </w:divBdr>
                      <w:divsChild>
                        <w:div w:id="574361161">
                          <w:marLeft w:val="0"/>
                          <w:marRight w:val="0"/>
                          <w:marTop w:val="0"/>
                          <w:marBottom w:val="0"/>
                          <w:divBdr>
                            <w:top w:val="none" w:sz="0" w:space="0" w:color="auto"/>
                            <w:left w:val="none" w:sz="0" w:space="0" w:color="auto"/>
                            <w:bottom w:val="none" w:sz="0" w:space="0" w:color="auto"/>
                            <w:right w:val="none" w:sz="0" w:space="0" w:color="auto"/>
                          </w:divBdr>
                          <w:divsChild>
                            <w:div w:id="558588579">
                              <w:marLeft w:val="2700"/>
                              <w:marRight w:val="3960"/>
                              <w:marTop w:val="0"/>
                              <w:marBottom w:val="0"/>
                              <w:divBdr>
                                <w:top w:val="none" w:sz="0" w:space="0" w:color="auto"/>
                                <w:left w:val="none" w:sz="0" w:space="0" w:color="auto"/>
                                <w:bottom w:val="none" w:sz="0" w:space="0" w:color="auto"/>
                                <w:right w:val="none" w:sz="0" w:space="0" w:color="auto"/>
                              </w:divBdr>
                              <w:divsChild>
                                <w:div w:id="404884585">
                                  <w:marLeft w:val="0"/>
                                  <w:marRight w:val="0"/>
                                  <w:marTop w:val="0"/>
                                  <w:marBottom w:val="0"/>
                                  <w:divBdr>
                                    <w:top w:val="none" w:sz="0" w:space="0" w:color="auto"/>
                                    <w:left w:val="none" w:sz="0" w:space="0" w:color="auto"/>
                                    <w:bottom w:val="none" w:sz="0" w:space="0" w:color="auto"/>
                                    <w:right w:val="none" w:sz="0" w:space="0" w:color="auto"/>
                                  </w:divBdr>
                                  <w:divsChild>
                                    <w:div w:id="1036125008">
                                      <w:marLeft w:val="0"/>
                                      <w:marRight w:val="0"/>
                                      <w:marTop w:val="0"/>
                                      <w:marBottom w:val="0"/>
                                      <w:divBdr>
                                        <w:top w:val="none" w:sz="0" w:space="0" w:color="auto"/>
                                        <w:left w:val="none" w:sz="0" w:space="0" w:color="auto"/>
                                        <w:bottom w:val="none" w:sz="0" w:space="0" w:color="auto"/>
                                        <w:right w:val="none" w:sz="0" w:space="0" w:color="auto"/>
                                      </w:divBdr>
                                      <w:divsChild>
                                        <w:div w:id="989601082">
                                          <w:marLeft w:val="0"/>
                                          <w:marRight w:val="0"/>
                                          <w:marTop w:val="0"/>
                                          <w:marBottom w:val="0"/>
                                          <w:divBdr>
                                            <w:top w:val="none" w:sz="0" w:space="0" w:color="auto"/>
                                            <w:left w:val="none" w:sz="0" w:space="0" w:color="auto"/>
                                            <w:bottom w:val="none" w:sz="0" w:space="0" w:color="auto"/>
                                            <w:right w:val="none" w:sz="0" w:space="0" w:color="auto"/>
                                          </w:divBdr>
                                          <w:divsChild>
                                            <w:div w:id="1286037028">
                                              <w:marLeft w:val="0"/>
                                              <w:marRight w:val="0"/>
                                              <w:marTop w:val="90"/>
                                              <w:marBottom w:val="0"/>
                                              <w:divBdr>
                                                <w:top w:val="none" w:sz="0" w:space="0" w:color="auto"/>
                                                <w:left w:val="none" w:sz="0" w:space="0" w:color="auto"/>
                                                <w:bottom w:val="none" w:sz="0" w:space="0" w:color="auto"/>
                                                <w:right w:val="none" w:sz="0" w:space="0" w:color="auto"/>
                                              </w:divBdr>
                                              <w:divsChild>
                                                <w:div w:id="458115219">
                                                  <w:marLeft w:val="0"/>
                                                  <w:marRight w:val="0"/>
                                                  <w:marTop w:val="0"/>
                                                  <w:marBottom w:val="405"/>
                                                  <w:divBdr>
                                                    <w:top w:val="none" w:sz="0" w:space="0" w:color="auto"/>
                                                    <w:left w:val="none" w:sz="0" w:space="0" w:color="auto"/>
                                                    <w:bottom w:val="none" w:sz="0" w:space="0" w:color="auto"/>
                                                    <w:right w:val="none" w:sz="0" w:space="0" w:color="auto"/>
                                                  </w:divBdr>
                                                  <w:divsChild>
                                                    <w:div w:id="1331178506">
                                                      <w:marLeft w:val="0"/>
                                                      <w:marRight w:val="0"/>
                                                      <w:marTop w:val="0"/>
                                                      <w:marBottom w:val="0"/>
                                                      <w:divBdr>
                                                        <w:top w:val="none" w:sz="0" w:space="0" w:color="auto"/>
                                                        <w:left w:val="none" w:sz="0" w:space="0" w:color="auto"/>
                                                        <w:bottom w:val="none" w:sz="0" w:space="0" w:color="auto"/>
                                                        <w:right w:val="none" w:sz="0" w:space="0" w:color="auto"/>
                                                      </w:divBdr>
                                                      <w:divsChild>
                                                        <w:div w:id="1485659058">
                                                          <w:marLeft w:val="0"/>
                                                          <w:marRight w:val="0"/>
                                                          <w:marTop w:val="0"/>
                                                          <w:marBottom w:val="0"/>
                                                          <w:divBdr>
                                                            <w:top w:val="single" w:sz="6" w:space="0" w:color="DFE1E5"/>
                                                            <w:left w:val="single" w:sz="6" w:space="0" w:color="DFE1E5"/>
                                                            <w:bottom w:val="single" w:sz="6" w:space="0" w:color="DFE1E5"/>
                                                            <w:right w:val="single" w:sz="6" w:space="0" w:color="DFE1E5"/>
                                                          </w:divBdr>
                                                          <w:divsChild>
                                                            <w:div w:id="423380172">
                                                              <w:marLeft w:val="0"/>
                                                              <w:marRight w:val="0"/>
                                                              <w:marTop w:val="0"/>
                                                              <w:marBottom w:val="0"/>
                                                              <w:divBdr>
                                                                <w:top w:val="none" w:sz="0" w:space="0" w:color="auto"/>
                                                                <w:left w:val="none" w:sz="0" w:space="0" w:color="auto"/>
                                                                <w:bottom w:val="none" w:sz="0" w:space="0" w:color="auto"/>
                                                                <w:right w:val="none" w:sz="0" w:space="0" w:color="auto"/>
                                                              </w:divBdr>
                                                              <w:divsChild>
                                                                <w:div w:id="829561655">
                                                                  <w:marLeft w:val="0"/>
                                                                  <w:marRight w:val="0"/>
                                                                  <w:marTop w:val="0"/>
                                                                  <w:marBottom w:val="0"/>
                                                                  <w:divBdr>
                                                                    <w:top w:val="none" w:sz="0" w:space="0" w:color="auto"/>
                                                                    <w:left w:val="none" w:sz="0" w:space="0" w:color="auto"/>
                                                                    <w:bottom w:val="none" w:sz="0" w:space="0" w:color="auto"/>
                                                                    <w:right w:val="none" w:sz="0" w:space="0" w:color="auto"/>
                                                                  </w:divBdr>
                                                                  <w:divsChild>
                                                                    <w:div w:id="166750066">
                                                                      <w:marLeft w:val="0"/>
                                                                      <w:marRight w:val="0"/>
                                                                      <w:marTop w:val="0"/>
                                                                      <w:marBottom w:val="0"/>
                                                                      <w:divBdr>
                                                                        <w:top w:val="none" w:sz="0" w:space="0" w:color="auto"/>
                                                                        <w:left w:val="none" w:sz="0" w:space="0" w:color="auto"/>
                                                                        <w:bottom w:val="none" w:sz="0" w:space="0" w:color="auto"/>
                                                                        <w:right w:val="none" w:sz="0" w:space="0" w:color="auto"/>
                                                                      </w:divBdr>
                                                                      <w:divsChild>
                                                                        <w:div w:id="1547567201">
                                                                          <w:marLeft w:val="0"/>
                                                                          <w:marRight w:val="0"/>
                                                                          <w:marTop w:val="0"/>
                                                                          <w:marBottom w:val="0"/>
                                                                          <w:divBdr>
                                                                            <w:top w:val="none" w:sz="0" w:space="0" w:color="auto"/>
                                                                            <w:left w:val="none" w:sz="0" w:space="0" w:color="auto"/>
                                                                            <w:bottom w:val="none" w:sz="0" w:space="0" w:color="auto"/>
                                                                            <w:right w:val="none" w:sz="0" w:space="0" w:color="auto"/>
                                                                          </w:divBdr>
                                                                          <w:divsChild>
                                                                            <w:div w:id="1757747638">
                                                                              <w:marLeft w:val="0"/>
                                                                              <w:marRight w:val="0"/>
                                                                              <w:marTop w:val="0"/>
                                                                              <w:marBottom w:val="0"/>
                                                                              <w:divBdr>
                                                                                <w:top w:val="none" w:sz="0" w:space="0" w:color="auto"/>
                                                                                <w:left w:val="none" w:sz="0" w:space="0" w:color="auto"/>
                                                                                <w:bottom w:val="none" w:sz="0" w:space="0" w:color="auto"/>
                                                                                <w:right w:val="none" w:sz="0" w:space="0" w:color="auto"/>
                                                                              </w:divBdr>
                                                                              <w:divsChild>
                                                                                <w:div w:id="1031149562">
                                                                                  <w:marLeft w:val="0"/>
                                                                                  <w:marRight w:val="0"/>
                                                                                  <w:marTop w:val="0"/>
                                                                                  <w:marBottom w:val="0"/>
                                                                                  <w:divBdr>
                                                                                    <w:top w:val="none" w:sz="0" w:space="0" w:color="auto"/>
                                                                                    <w:left w:val="none" w:sz="0" w:space="0" w:color="auto"/>
                                                                                    <w:bottom w:val="none" w:sz="0" w:space="0" w:color="auto"/>
                                                                                    <w:right w:val="none" w:sz="0" w:space="0" w:color="auto"/>
                                                                                  </w:divBdr>
                                                                                  <w:divsChild>
                                                                                    <w:div w:id="211500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521676">
      <w:bodyDiv w:val="1"/>
      <w:marLeft w:val="0"/>
      <w:marRight w:val="0"/>
      <w:marTop w:val="0"/>
      <w:marBottom w:val="0"/>
      <w:divBdr>
        <w:top w:val="none" w:sz="0" w:space="0" w:color="auto"/>
        <w:left w:val="none" w:sz="0" w:space="0" w:color="auto"/>
        <w:bottom w:val="none" w:sz="0" w:space="0" w:color="auto"/>
        <w:right w:val="none" w:sz="0" w:space="0" w:color="auto"/>
      </w:divBdr>
      <w:divsChild>
        <w:div w:id="776946971">
          <w:marLeft w:val="0"/>
          <w:marRight w:val="0"/>
          <w:marTop w:val="0"/>
          <w:marBottom w:val="0"/>
          <w:divBdr>
            <w:top w:val="none" w:sz="0" w:space="0" w:color="auto"/>
            <w:left w:val="none" w:sz="0" w:space="0" w:color="auto"/>
            <w:bottom w:val="none" w:sz="0" w:space="0" w:color="auto"/>
            <w:right w:val="none" w:sz="0" w:space="0" w:color="auto"/>
          </w:divBdr>
          <w:divsChild>
            <w:div w:id="609165305">
              <w:marLeft w:val="0"/>
              <w:marRight w:val="0"/>
              <w:marTop w:val="0"/>
              <w:marBottom w:val="0"/>
              <w:divBdr>
                <w:top w:val="none" w:sz="0" w:space="0" w:color="auto"/>
                <w:left w:val="none" w:sz="0" w:space="0" w:color="auto"/>
                <w:bottom w:val="none" w:sz="0" w:space="0" w:color="auto"/>
                <w:right w:val="none" w:sz="0" w:space="0" w:color="auto"/>
              </w:divBdr>
              <w:divsChild>
                <w:div w:id="730349833">
                  <w:marLeft w:val="0"/>
                  <w:marRight w:val="0"/>
                  <w:marTop w:val="0"/>
                  <w:marBottom w:val="0"/>
                  <w:divBdr>
                    <w:top w:val="none" w:sz="0" w:space="0" w:color="auto"/>
                    <w:left w:val="none" w:sz="0" w:space="0" w:color="auto"/>
                    <w:bottom w:val="none" w:sz="0" w:space="0" w:color="auto"/>
                    <w:right w:val="none" w:sz="0" w:space="0" w:color="auto"/>
                  </w:divBdr>
                  <w:divsChild>
                    <w:div w:id="426853462">
                      <w:marLeft w:val="0"/>
                      <w:marRight w:val="0"/>
                      <w:marTop w:val="0"/>
                      <w:marBottom w:val="0"/>
                      <w:divBdr>
                        <w:top w:val="none" w:sz="0" w:space="0" w:color="auto"/>
                        <w:left w:val="none" w:sz="0" w:space="0" w:color="auto"/>
                        <w:bottom w:val="none" w:sz="0" w:space="0" w:color="auto"/>
                        <w:right w:val="none" w:sz="0" w:space="0" w:color="auto"/>
                      </w:divBdr>
                      <w:divsChild>
                        <w:div w:id="883177877">
                          <w:marLeft w:val="0"/>
                          <w:marRight w:val="0"/>
                          <w:marTop w:val="0"/>
                          <w:marBottom w:val="0"/>
                          <w:divBdr>
                            <w:top w:val="none" w:sz="0" w:space="0" w:color="auto"/>
                            <w:left w:val="none" w:sz="0" w:space="0" w:color="auto"/>
                            <w:bottom w:val="none" w:sz="0" w:space="0" w:color="auto"/>
                            <w:right w:val="none" w:sz="0" w:space="0" w:color="auto"/>
                          </w:divBdr>
                          <w:divsChild>
                            <w:div w:id="1865248624">
                              <w:marLeft w:val="2700"/>
                              <w:marRight w:val="3960"/>
                              <w:marTop w:val="0"/>
                              <w:marBottom w:val="0"/>
                              <w:divBdr>
                                <w:top w:val="none" w:sz="0" w:space="0" w:color="auto"/>
                                <w:left w:val="none" w:sz="0" w:space="0" w:color="auto"/>
                                <w:bottom w:val="none" w:sz="0" w:space="0" w:color="auto"/>
                                <w:right w:val="none" w:sz="0" w:space="0" w:color="auto"/>
                              </w:divBdr>
                              <w:divsChild>
                                <w:div w:id="839582489">
                                  <w:marLeft w:val="0"/>
                                  <w:marRight w:val="0"/>
                                  <w:marTop w:val="0"/>
                                  <w:marBottom w:val="0"/>
                                  <w:divBdr>
                                    <w:top w:val="none" w:sz="0" w:space="0" w:color="auto"/>
                                    <w:left w:val="none" w:sz="0" w:space="0" w:color="auto"/>
                                    <w:bottom w:val="none" w:sz="0" w:space="0" w:color="auto"/>
                                    <w:right w:val="none" w:sz="0" w:space="0" w:color="auto"/>
                                  </w:divBdr>
                                  <w:divsChild>
                                    <w:div w:id="700712211">
                                      <w:marLeft w:val="0"/>
                                      <w:marRight w:val="0"/>
                                      <w:marTop w:val="0"/>
                                      <w:marBottom w:val="0"/>
                                      <w:divBdr>
                                        <w:top w:val="none" w:sz="0" w:space="0" w:color="auto"/>
                                        <w:left w:val="none" w:sz="0" w:space="0" w:color="auto"/>
                                        <w:bottom w:val="none" w:sz="0" w:space="0" w:color="auto"/>
                                        <w:right w:val="none" w:sz="0" w:space="0" w:color="auto"/>
                                      </w:divBdr>
                                      <w:divsChild>
                                        <w:div w:id="2783708">
                                          <w:marLeft w:val="0"/>
                                          <w:marRight w:val="0"/>
                                          <w:marTop w:val="0"/>
                                          <w:marBottom w:val="0"/>
                                          <w:divBdr>
                                            <w:top w:val="none" w:sz="0" w:space="0" w:color="auto"/>
                                            <w:left w:val="none" w:sz="0" w:space="0" w:color="auto"/>
                                            <w:bottom w:val="none" w:sz="0" w:space="0" w:color="auto"/>
                                            <w:right w:val="none" w:sz="0" w:space="0" w:color="auto"/>
                                          </w:divBdr>
                                          <w:divsChild>
                                            <w:div w:id="29769065">
                                              <w:marLeft w:val="0"/>
                                              <w:marRight w:val="0"/>
                                              <w:marTop w:val="90"/>
                                              <w:marBottom w:val="0"/>
                                              <w:divBdr>
                                                <w:top w:val="none" w:sz="0" w:space="0" w:color="auto"/>
                                                <w:left w:val="none" w:sz="0" w:space="0" w:color="auto"/>
                                                <w:bottom w:val="none" w:sz="0" w:space="0" w:color="auto"/>
                                                <w:right w:val="none" w:sz="0" w:space="0" w:color="auto"/>
                                              </w:divBdr>
                                              <w:divsChild>
                                                <w:div w:id="956177153">
                                                  <w:marLeft w:val="0"/>
                                                  <w:marRight w:val="0"/>
                                                  <w:marTop w:val="0"/>
                                                  <w:marBottom w:val="405"/>
                                                  <w:divBdr>
                                                    <w:top w:val="none" w:sz="0" w:space="0" w:color="auto"/>
                                                    <w:left w:val="none" w:sz="0" w:space="0" w:color="auto"/>
                                                    <w:bottom w:val="none" w:sz="0" w:space="0" w:color="auto"/>
                                                    <w:right w:val="none" w:sz="0" w:space="0" w:color="auto"/>
                                                  </w:divBdr>
                                                  <w:divsChild>
                                                    <w:div w:id="714162228">
                                                      <w:marLeft w:val="0"/>
                                                      <w:marRight w:val="0"/>
                                                      <w:marTop w:val="0"/>
                                                      <w:marBottom w:val="0"/>
                                                      <w:divBdr>
                                                        <w:top w:val="none" w:sz="0" w:space="0" w:color="auto"/>
                                                        <w:left w:val="none" w:sz="0" w:space="0" w:color="auto"/>
                                                        <w:bottom w:val="none" w:sz="0" w:space="0" w:color="auto"/>
                                                        <w:right w:val="none" w:sz="0" w:space="0" w:color="auto"/>
                                                      </w:divBdr>
                                                      <w:divsChild>
                                                        <w:div w:id="879975872">
                                                          <w:marLeft w:val="0"/>
                                                          <w:marRight w:val="0"/>
                                                          <w:marTop w:val="0"/>
                                                          <w:marBottom w:val="0"/>
                                                          <w:divBdr>
                                                            <w:top w:val="single" w:sz="6" w:space="0" w:color="DFE1E5"/>
                                                            <w:left w:val="single" w:sz="6" w:space="0" w:color="DFE1E5"/>
                                                            <w:bottom w:val="single" w:sz="6" w:space="0" w:color="DFE1E5"/>
                                                            <w:right w:val="single" w:sz="6" w:space="0" w:color="DFE1E5"/>
                                                          </w:divBdr>
                                                          <w:divsChild>
                                                            <w:div w:id="1668243204">
                                                              <w:marLeft w:val="0"/>
                                                              <w:marRight w:val="0"/>
                                                              <w:marTop w:val="0"/>
                                                              <w:marBottom w:val="0"/>
                                                              <w:divBdr>
                                                                <w:top w:val="none" w:sz="0" w:space="0" w:color="auto"/>
                                                                <w:left w:val="none" w:sz="0" w:space="0" w:color="auto"/>
                                                                <w:bottom w:val="none" w:sz="0" w:space="0" w:color="auto"/>
                                                                <w:right w:val="none" w:sz="0" w:space="0" w:color="auto"/>
                                                              </w:divBdr>
                                                              <w:divsChild>
                                                                <w:div w:id="2118526844">
                                                                  <w:marLeft w:val="0"/>
                                                                  <w:marRight w:val="0"/>
                                                                  <w:marTop w:val="0"/>
                                                                  <w:marBottom w:val="0"/>
                                                                  <w:divBdr>
                                                                    <w:top w:val="none" w:sz="0" w:space="0" w:color="auto"/>
                                                                    <w:left w:val="none" w:sz="0" w:space="0" w:color="auto"/>
                                                                    <w:bottom w:val="none" w:sz="0" w:space="0" w:color="auto"/>
                                                                    <w:right w:val="none" w:sz="0" w:space="0" w:color="auto"/>
                                                                  </w:divBdr>
                                                                  <w:divsChild>
                                                                    <w:div w:id="2102488362">
                                                                      <w:marLeft w:val="0"/>
                                                                      <w:marRight w:val="0"/>
                                                                      <w:marTop w:val="0"/>
                                                                      <w:marBottom w:val="0"/>
                                                                      <w:divBdr>
                                                                        <w:top w:val="none" w:sz="0" w:space="0" w:color="auto"/>
                                                                        <w:left w:val="none" w:sz="0" w:space="0" w:color="auto"/>
                                                                        <w:bottom w:val="none" w:sz="0" w:space="0" w:color="auto"/>
                                                                        <w:right w:val="none" w:sz="0" w:space="0" w:color="auto"/>
                                                                      </w:divBdr>
                                                                      <w:divsChild>
                                                                        <w:div w:id="381515767">
                                                                          <w:marLeft w:val="0"/>
                                                                          <w:marRight w:val="0"/>
                                                                          <w:marTop w:val="0"/>
                                                                          <w:marBottom w:val="0"/>
                                                                          <w:divBdr>
                                                                            <w:top w:val="none" w:sz="0" w:space="0" w:color="auto"/>
                                                                            <w:left w:val="none" w:sz="0" w:space="0" w:color="auto"/>
                                                                            <w:bottom w:val="none" w:sz="0" w:space="0" w:color="auto"/>
                                                                            <w:right w:val="none" w:sz="0" w:space="0" w:color="auto"/>
                                                                          </w:divBdr>
                                                                          <w:divsChild>
                                                                            <w:div w:id="885793758">
                                                                              <w:marLeft w:val="0"/>
                                                                              <w:marRight w:val="0"/>
                                                                              <w:marTop w:val="0"/>
                                                                              <w:marBottom w:val="0"/>
                                                                              <w:divBdr>
                                                                                <w:top w:val="none" w:sz="0" w:space="0" w:color="auto"/>
                                                                                <w:left w:val="none" w:sz="0" w:space="0" w:color="auto"/>
                                                                                <w:bottom w:val="none" w:sz="0" w:space="0" w:color="auto"/>
                                                                                <w:right w:val="none" w:sz="0" w:space="0" w:color="auto"/>
                                                                              </w:divBdr>
                                                                              <w:divsChild>
                                                                                <w:div w:id="1589996313">
                                                                                  <w:marLeft w:val="0"/>
                                                                                  <w:marRight w:val="0"/>
                                                                                  <w:marTop w:val="0"/>
                                                                                  <w:marBottom w:val="0"/>
                                                                                  <w:divBdr>
                                                                                    <w:top w:val="none" w:sz="0" w:space="0" w:color="auto"/>
                                                                                    <w:left w:val="none" w:sz="0" w:space="0" w:color="auto"/>
                                                                                    <w:bottom w:val="none" w:sz="0" w:space="0" w:color="auto"/>
                                                                                    <w:right w:val="none" w:sz="0" w:space="0" w:color="auto"/>
                                                                                  </w:divBdr>
                                                                                  <w:divsChild>
                                                                                    <w:div w:id="8405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7606196">
      <w:bodyDiv w:val="1"/>
      <w:marLeft w:val="0"/>
      <w:marRight w:val="0"/>
      <w:marTop w:val="0"/>
      <w:marBottom w:val="0"/>
      <w:divBdr>
        <w:top w:val="none" w:sz="0" w:space="0" w:color="auto"/>
        <w:left w:val="none" w:sz="0" w:space="0" w:color="auto"/>
        <w:bottom w:val="none" w:sz="0" w:space="0" w:color="auto"/>
        <w:right w:val="none" w:sz="0" w:space="0" w:color="auto"/>
      </w:divBdr>
      <w:divsChild>
        <w:div w:id="568078874">
          <w:marLeft w:val="0"/>
          <w:marRight w:val="0"/>
          <w:marTop w:val="0"/>
          <w:marBottom w:val="0"/>
          <w:divBdr>
            <w:top w:val="none" w:sz="0" w:space="0" w:color="auto"/>
            <w:left w:val="none" w:sz="0" w:space="0" w:color="auto"/>
            <w:bottom w:val="none" w:sz="0" w:space="0" w:color="auto"/>
            <w:right w:val="none" w:sz="0" w:space="0" w:color="auto"/>
          </w:divBdr>
          <w:divsChild>
            <w:div w:id="1056930051">
              <w:marLeft w:val="0"/>
              <w:marRight w:val="0"/>
              <w:marTop w:val="0"/>
              <w:marBottom w:val="0"/>
              <w:divBdr>
                <w:top w:val="none" w:sz="0" w:space="0" w:color="auto"/>
                <w:left w:val="none" w:sz="0" w:space="0" w:color="auto"/>
                <w:bottom w:val="none" w:sz="0" w:space="0" w:color="auto"/>
                <w:right w:val="none" w:sz="0" w:space="0" w:color="auto"/>
              </w:divBdr>
              <w:divsChild>
                <w:div w:id="1958483984">
                  <w:marLeft w:val="0"/>
                  <w:marRight w:val="0"/>
                  <w:marTop w:val="0"/>
                  <w:marBottom w:val="0"/>
                  <w:divBdr>
                    <w:top w:val="none" w:sz="0" w:space="0" w:color="auto"/>
                    <w:left w:val="none" w:sz="0" w:space="0" w:color="auto"/>
                    <w:bottom w:val="none" w:sz="0" w:space="0" w:color="auto"/>
                    <w:right w:val="none" w:sz="0" w:space="0" w:color="auto"/>
                  </w:divBdr>
                  <w:divsChild>
                    <w:div w:id="1139952578">
                      <w:marLeft w:val="0"/>
                      <w:marRight w:val="0"/>
                      <w:marTop w:val="0"/>
                      <w:marBottom w:val="0"/>
                      <w:divBdr>
                        <w:top w:val="none" w:sz="0" w:space="0" w:color="auto"/>
                        <w:left w:val="none" w:sz="0" w:space="0" w:color="auto"/>
                        <w:bottom w:val="none" w:sz="0" w:space="0" w:color="auto"/>
                        <w:right w:val="none" w:sz="0" w:space="0" w:color="auto"/>
                      </w:divBdr>
                      <w:divsChild>
                        <w:div w:id="1519545714">
                          <w:marLeft w:val="0"/>
                          <w:marRight w:val="0"/>
                          <w:marTop w:val="0"/>
                          <w:marBottom w:val="0"/>
                          <w:divBdr>
                            <w:top w:val="none" w:sz="0" w:space="0" w:color="auto"/>
                            <w:left w:val="none" w:sz="0" w:space="0" w:color="auto"/>
                            <w:bottom w:val="none" w:sz="0" w:space="0" w:color="auto"/>
                            <w:right w:val="none" w:sz="0" w:space="0" w:color="auto"/>
                          </w:divBdr>
                          <w:divsChild>
                            <w:div w:id="139810831">
                              <w:marLeft w:val="2700"/>
                              <w:marRight w:val="3960"/>
                              <w:marTop w:val="0"/>
                              <w:marBottom w:val="0"/>
                              <w:divBdr>
                                <w:top w:val="none" w:sz="0" w:space="0" w:color="auto"/>
                                <w:left w:val="none" w:sz="0" w:space="0" w:color="auto"/>
                                <w:bottom w:val="none" w:sz="0" w:space="0" w:color="auto"/>
                                <w:right w:val="none" w:sz="0" w:space="0" w:color="auto"/>
                              </w:divBdr>
                              <w:divsChild>
                                <w:div w:id="717628469">
                                  <w:marLeft w:val="0"/>
                                  <w:marRight w:val="0"/>
                                  <w:marTop w:val="0"/>
                                  <w:marBottom w:val="0"/>
                                  <w:divBdr>
                                    <w:top w:val="none" w:sz="0" w:space="0" w:color="auto"/>
                                    <w:left w:val="none" w:sz="0" w:space="0" w:color="auto"/>
                                    <w:bottom w:val="none" w:sz="0" w:space="0" w:color="auto"/>
                                    <w:right w:val="none" w:sz="0" w:space="0" w:color="auto"/>
                                  </w:divBdr>
                                  <w:divsChild>
                                    <w:div w:id="1114859502">
                                      <w:marLeft w:val="0"/>
                                      <w:marRight w:val="0"/>
                                      <w:marTop w:val="0"/>
                                      <w:marBottom w:val="0"/>
                                      <w:divBdr>
                                        <w:top w:val="none" w:sz="0" w:space="0" w:color="auto"/>
                                        <w:left w:val="none" w:sz="0" w:space="0" w:color="auto"/>
                                        <w:bottom w:val="none" w:sz="0" w:space="0" w:color="auto"/>
                                        <w:right w:val="none" w:sz="0" w:space="0" w:color="auto"/>
                                      </w:divBdr>
                                      <w:divsChild>
                                        <w:div w:id="20664557">
                                          <w:marLeft w:val="0"/>
                                          <w:marRight w:val="0"/>
                                          <w:marTop w:val="0"/>
                                          <w:marBottom w:val="0"/>
                                          <w:divBdr>
                                            <w:top w:val="none" w:sz="0" w:space="0" w:color="auto"/>
                                            <w:left w:val="none" w:sz="0" w:space="0" w:color="auto"/>
                                            <w:bottom w:val="none" w:sz="0" w:space="0" w:color="auto"/>
                                            <w:right w:val="none" w:sz="0" w:space="0" w:color="auto"/>
                                          </w:divBdr>
                                          <w:divsChild>
                                            <w:div w:id="959720971">
                                              <w:marLeft w:val="0"/>
                                              <w:marRight w:val="0"/>
                                              <w:marTop w:val="90"/>
                                              <w:marBottom w:val="0"/>
                                              <w:divBdr>
                                                <w:top w:val="none" w:sz="0" w:space="0" w:color="auto"/>
                                                <w:left w:val="none" w:sz="0" w:space="0" w:color="auto"/>
                                                <w:bottom w:val="none" w:sz="0" w:space="0" w:color="auto"/>
                                                <w:right w:val="none" w:sz="0" w:space="0" w:color="auto"/>
                                              </w:divBdr>
                                              <w:divsChild>
                                                <w:div w:id="61950319">
                                                  <w:marLeft w:val="0"/>
                                                  <w:marRight w:val="0"/>
                                                  <w:marTop w:val="0"/>
                                                  <w:marBottom w:val="405"/>
                                                  <w:divBdr>
                                                    <w:top w:val="none" w:sz="0" w:space="0" w:color="auto"/>
                                                    <w:left w:val="none" w:sz="0" w:space="0" w:color="auto"/>
                                                    <w:bottom w:val="none" w:sz="0" w:space="0" w:color="auto"/>
                                                    <w:right w:val="none" w:sz="0" w:space="0" w:color="auto"/>
                                                  </w:divBdr>
                                                  <w:divsChild>
                                                    <w:div w:id="746730663">
                                                      <w:marLeft w:val="0"/>
                                                      <w:marRight w:val="0"/>
                                                      <w:marTop w:val="0"/>
                                                      <w:marBottom w:val="0"/>
                                                      <w:divBdr>
                                                        <w:top w:val="none" w:sz="0" w:space="0" w:color="auto"/>
                                                        <w:left w:val="none" w:sz="0" w:space="0" w:color="auto"/>
                                                        <w:bottom w:val="none" w:sz="0" w:space="0" w:color="auto"/>
                                                        <w:right w:val="none" w:sz="0" w:space="0" w:color="auto"/>
                                                      </w:divBdr>
                                                      <w:divsChild>
                                                        <w:div w:id="1146817411">
                                                          <w:marLeft w:val="0"/>
                                                          <w:marRight w:val="0"/>
                                                          <w:marTop w:val="0"/>
                                                          <w:marBottom w:val="0"/>
                                                          <w:divBdr>
                                                            <w:top w:val="single" w:sz="6" w:space="0" w:color="DFE1E5"/>
                                                            <w:left w:val="single" w:sz="6" w:space="0" w:color="DFE1E5"/>
                                                            <w:bottom w:val="single" w:sz="6" w:space="0" w:color="DFE1E5"/>
                                                            <w:right w:val="single" w:sz="6" w:space="0" w:color="DFE1E5"/>
                                                          </w:divBdr>
                                                          <w:divsChild>
                                                            <w:div w:id="1570340828">
                                                              <w:marLeft w:val="0"/>
                                                              <w:marRight w:val="0"/>
                                                              <w:marTop w:val="0"/>
                                                              <w:marBottom w:val="0"/>
                                                              <w:divBdr>
                                                                <w:top w:val="none" w:sz="0" w:space="0" w:color="auto"/>
                                                                <w:left w:val="none" w:sz="0" w:space="0" w:color="auto"/>
                                                                <w:bottom w:val="none" w:sz="0" w:space="0" w:color="auto"/>
                                                                <w:right w:val="none" w:sz="0" w:space="0" w:color="auto"/>
                                                              </w:divBdr>
                                                              <w:divsChild>
                                                                <w:div w:id="2045863188">
                                                                  <w:marLeft w:val="0"/>
                                                                  <w:marRight w:val="0"/>
                                                                  <w:marTop w:val="0"/>
                                                                  <w:marBottom w:val="0"/>
                                                                  <w:divBdr>
                                                                    <w:top w:val="none" w:sz="0" w:space="0" w:color="auto"/>
                                                                    <w:left w:val="none" w:sz="0" w:space="0" w:color="auto"/>
                                                                    <w:bottom w:val="none" w:sz="0" w:space="0" w:color="auto"/>
                                                                    <w:right w:val="none" w:sz="0" w:space="0" w:color="auto"/>
                                                                  </w:divBdr>
                                                                  <w:divsChild>
                                                                    <w:div w:id="946961443">
                                                                      <w:marLeft w:val="0"/>
                                                                      <w:marRight w:val="0"/>
                                                                      <w:marTop w:val="0"/>
                                                                      <w:marBottom w:val="0"/>
                                                                      <w:divBdr>
                                                                        <w:top w:val="none" w:sz="0" w:space="0" w:color="auto"/>
                                                                        <w:left w:val="none" w:sz="0" w:space="0" w:color="auto"/>
                                                                        <w:bottom w:val="none" w:sz="0" w:space="0" w:color="auto"/>
                                                                        <w:right w:val="none" w:sz="0" w:space="0" w:color="auto"/>
                                                                      </w:divBdr>
                                                                      <w:divsChild>
                                                                        <w:div w:id="1777171596">
                                                                          <w:marLeft w:val="0"/>
                                                                          <w:marRight w:val="0"/>
                                                                          <w:marTop w:val="0"/>
                                                                          <w:marBottom w:val="0"/>
                                                                          <w:divBdr>
                                                                            <w:top w:val="none" w:sz="0" w:space="0" w:color="auto"/>
                                                                            <w:left w:val="none" w:sz="0" w:space="0" w:color="auto"/>
                                                                            <w:bottom w:val="none" w:sz="0" w:space="0" w:color="auto"/>
                                                                            <w:right w:val="none" w:sz="0" w:space="0" w:color="auto"/>
                                                                          </w:divBdr>
                                                                          <w:divsChild>
                                                                            <w:div w:id="541945706">
                                                                              <w:marLeft w:val="0"/>
                                                                              <w:marRight w:val="0"/>
                                                                              <w:marTop w:val="0"/>
                                                                              <w:marBottom w:val="0"/>
                                                                              <w:divBdr>
                                                                                <w:top w:val="none" w:sz="0" w:space="0" w:color="auto"/>
                                                                                <w:left w:val="none" w:sz="0" w:space="0" w:color="auto"/>
                                                                                <w:bottom w:val="none" w:sz="0" w:space="0" w:color="auto"/>
                                                                                <w:right w:val="none" w:sz="0" w:space="0" w:color="auto"/>
                                                                              </w:divBdr>
                                                                              <w:divsChild>
                                                                                <w:div w:id="1572499578">
                                                                                  <w:marLeft w:val="0"/>
                                                                                  <w:marRight w:val="0"/>
                                                                                  <w:marTop w:val="0"/>
                                                                                  <w:marBottom w:val="0"/>
                                                                                  <w:divBdr>
                                                                                    <w:top w:val="none" w:sz="0" w:space="0" w:color="auto"/>
                                                                                    <w:left w:val="none" w:sz="0" w:space="0" w:color="auto"/>
                                                                                    <w:bottom w:val="none" w:sz="0" w:space="0" w:color="auto"/>
                                                                                    <w:right w:val="none" w:sz="0" w:space="0" w:color="auto"/>
                                                                                  </w:divBdr>
                                                                                  <w:divsChild>
                                                                                    <w:div w:id="193324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4106480">
      <w:bodyDiv w:val="1"/>
      <w:marLeft w:val="0"/>
      <w:marRight w:val="0"/>
      <w:marTop w:val="0"/>
      <w:marBottom w:val="0"/>
      <w:divBdr>
        <w:top w:val="none" w:sz="0" w:space="0" w:color="auto"/>
        <w:left w:val="none" w:sz="0" w:space="0" w:color="auto"/>
        <w:bottom w:val="none" w:sz="0" w:space="0" w:color="auto"/>
        <w:right w:val="none" w:sz="0" w:space="0" w:color="auto"/>
      </w:divBdr>
      <w:divsChild>
        <w:div w:id="2128236992">
          <w:marLeft w:val="0"/>
          <w:marRight w:val="0"/>
          <w:marTop w:val="0"/>
          <w:marBottom w:val="0"/>
          <w:divBdr>
            <w:top w:val="none" w:sz="0" w:space="0" w:color="auto"/>
            <w:left w:val="none" w:sz="0" w:space="0" w:color="auto"/>
            <w:bottom w:val="none" w:sz="0" w:space="0" w:color="auto"/>
            <w:right w:val="none" w:sz="0" w:space="0" w:color="auto"/>
          </w:divBdr>
          <w:divsChild>
            <w:div w:id="2134978830">
              <w:marLeft w:val="0"/>
              <w:marRight w:val="0"/>
              <w:marTop w:val="0"/>
              <w:marBottom w:val="0"/>
              <w:divBdr>
                <w:top w:val="none" w:sz="0" w:space="0" w:color="auto"/>
                <w:left w:val="none" w:sz="0" w:space="0" w:color="auto"/>
                <w:bottom w:val="none" w:sz="0" w:space="0" w:color="auto"/>
                <w:right w:val="none" w:sz="0" w:space="0" w:color="auto"/>
              </w:divBdr>
              <w:divsChild>
                <w:div w:id="788478259">
                  <w:marLeft w:val="0"/>
                  <w:marRight w:val="0"/>
                  <w:marTop w:val="0"/>
                  <w:marBottom w:val="0"/>
                  <w:divBdr>
                    <w:top w:val="none" w:sz="0" w:space="0" w:color="auto"/>
                    <w:left w:val="none" w:sz="0" w:space="0" w:color="auto"/>
                    <w:bottom w:val="none" w:sz="0" w:space="0" w:color="auto"/>
                    <w:right w:val="none" w:sz="0" w:space="0" w:color="auto"/>
                  </w:divBdr>
                  <w:divsChild>
                    <w:div w:id="248657625">
                      <w:marLeft w:val="0"/>
                      <w:marRight w:val="0"/>
                      <w:marTop w:val="0"/>
                      <w:marBottom w:val="0"/>
                      <w:divBdr>
                        <w:top w:val="none" w:sz="0" w:space="0" w:color="auto"/>
                        <w:left w:val="none" w:sz="0" w:space="0" w:color="auto"/>
                        <w:bottom w:val="none" w:sz="0" w:space="0" w:color="auto"/>
                        <w:right w:val="none" w:sz="0" w:space="0" w:color="auto"/>
                      </w:divBdr>
                      <w:divsChild>
                        <w:div w:id="1296374569">
                          <w:marLeft w:val="0"/>
                          <w:marRight w:val="0"/>
                          <w:marTop w:val="0"/>
                          <w:marBottom w:val="0"/>
                          <w:divBdr>
                            <w:top w:val="none" w:sz="0" w:space="0" w:color="auto"/>
                            <w:left w:val="none" w:sz="0" w:space="0" w:color="auto"/>
                            <w:bottom w:val="none" w:sz="0" w:space="0" w:color="auto"/>
                            <w:right w:val="none" w:sz="0" w:space="0" w:color="auto"/>
                          </w:divBdr>
                          <w:divsChild>
                            <w:div w:id="532034045">
                              <w:marLeft w:val="0"/>
                              <w:marRight w:val="300"/>
                              <w:marTop w:val="180"/>
                              <w:marBottom w:val="0"/>
                              <w:divBdr>
                                <w:top w:val="none" w:sz="0" w:space="0" w:color="auto"/>
                                <w:left w:val="none" w:sz="0" w:space="0" w:color="auto"/>
                                <w:bottom w:val="none" w:sz="0" w:space="0" w:color="auto"/>
                                <w:right w:val="none" w:sz="0" w:space="0" w:color="auto"/>
                              </w:divBdr>
                              <w:divsChild>
                                <w:div w:id="75814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934893">
          <w:marLeft w:val="0"/>
          <w:marRight w:val="0"/>
          <w:marTop w:val="0"/>
          <w:marBottom w:val="0"/>
          <w:divBdr>
            <w:top w:val="none" w:sz="0" w:space="0" w:color="auto"/>
            <w:left w:val="none" w:sz="0" w:space="0" w:color="auto"/>
            <w:bottom w:val="none" w:sz="0" w:space="0" w:color="auto"/>
            <w:right w:val="none" w:sz="0" w:space="0" w:color="auto"/>
          </w:divBdr>
          <w:divsChild>
            <w:div w:id="2004701273">
              <w:marLeft w:val="0"/>
              <w:marRight w:val="0"/>
              <w:marTop w:val="0"/>
              <w:marBottom w:val="0"/>
              <w:divBdr>
                <w:top w:val="none" w:sz="0" w:space="0" w:color="auto"/>
                <w:left w:val="none" w:sz="0" w:space="0" w:color="auto"/>
                <w:bottom w:val="none" w:sz="0" w:space="0" w:color="auto"/>
                <w:right w:val="none" w:sz="0" w:space="0" w:color="auto"/>
              </w:divBdr>
              <w:divsChild>
                <w:div w:id="1754358464">
                  <w:marLeft w:val="0"/>
                  <w:marRight w:val="0"/>
                  <w:marTop w:val="0"/>
                  <w:marBottom w:val="0"/>
                  <w:divBdr>
                    <w:top w:val="none" w:sz="0" w:space="0" w:color="auto"/>
                    <w:left w:val="none" w:sz="0" w:space="0" w:color="auto"/>
                    <w:bottom w:val="none" w:sz="0" w:space="0" w:color="auto"/>
                    <w:right w:val="none" w:sz="0" w:space="0" w:color="auto"/>
                  </w:divBdr>
                  <w:divsChild>
                    <w:div w:id="344982114">
                      <w:marLeft w:val="0"/>
                      <w:marRight w:val="0"/>
                      <w:marTop w:val="0"/>
                      <w:marBottom w:val="0"/>
                      <w:divBdr>
                        <w:top w:val="none" w:sz="0" w:space="0" w:color="auto"/>
                        <w:left w:val="none" w:sz="0" w:space="0" w:color="auto"/>
                        <w:bottom w:val="none" w:sz="0" w:space="0" w:color="auto"/>
                        <w:right w:val="none" w:sz="0" w:space="0" w:color="auto"/>
                      </w:divBdr>
                      <w:divsChild>
                        <w:div w:id="11077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080115">
      <w:bodyDiv w:val="1"/>
      <w:marLeft w:val="0"/>
      <w:marRight w:val="0"/>
      <w:marTop w:val="0"/>
      <w:marBottom w:val="0"/>
      <w:divBdr>
        <w:top w:val="none" w:sz="0" w:space="0" w:color="auto"/>
        <w:left w:val="none" w:sz="0" w:space="0" w:color="auto"/>
        <w:bottom w:val="none" w:sz="0" w:space="0" w:color="auto"/>
        <w:right w:val="none" w:sz="0" w:space="0" w:color="auto"/>
      </w:divBdr>
    </w:div>
    <w:div w:id="804080238">
      <w:bodyDiv w:val="1"/>
      <w:marLeft w:val="0"/>
      <w:marRight w:val="0"/>
      <w:marTop w:val="0"/>
      <w:marBottom w:val="0"/>
      <w:divBdr>
        <w:top w:val="none" w:sz="0" w:space="0" w:color="auto"/>
        <w:left w:val="none" w:sz="0" w:space="0" w:color="auto"/>
        <w:bottom w:val="none" w:sz="0" w:space="0" w:color="auto"/>
        <w:right w:val="none" w:sz="0" w:space="0" w:color="auto"/>
      </w:divBdr>
    </w:div>
    <w:div w:id="816607475">
      <w:bodyDiv w:val="1"/>
      <w:marLeft w:val="0"/>
      <w:marRight w:val="0"/>
      <w:marTop w:val="0"/>
      <w:marBottom w:val="0"/>
      <w:divBdr>
        <w:top w:val="none" w:sz="0" w:space="0" w:color="auto"/>
        <w:left w:val="none" w:sz="0" w:space="0" w:color="auto"/>
        <w:bottom w:val="none" w:sz="0" w:space="0" w:color="auto"/>
        <w:right w:val="none" w:sz="0" w:space="0" w:color="auto"/>
      </w:divBdr>
    </w:div>
    <w:div w:id="830557344">
      <w:bodyDiv w:val="1"/>
      <w:marLeft w:val="0"/>
      <w:marRight w:val="0"/>
      <w:marTop w:val="0"/>
      <w:marBottom w:val="0"/>
      <w:divBdr>
        <w:top w:val="none" w:sz="0" w:space="0" w:color="auto"/>
        <w:left w:val="none" w:sz="0" w:space="0" w:color="auto"/>
        <w:bottom w:val="none" w:sz="0" w:space="0" w:color="auto"/>
        <w:right w:val="none" w:sz="0" w:space="0" w:color="auto"/>
      </w:divBdr>
      <w:divsChild>
        <w:div w:id="1879319425">
          <w:marLeft w:val="0"/>
          <w:marRight w:val="0"/>
          <w:marTop w:val="0"/>
          <w:marBottom w:val="0"/>
          <w:divBdr>
            <w:top w:val="none" w:sz="0" w:space="0" w:color="auto"/>
            <w:left w:val="none" w:sz="0" w:space="0" w:color="auto"/>
            <w:bottom w:val="none" w:sz="0" w:space="0" w:color="auto"/>
            <w:right w:val="none" w:sz="0" w:space="0" w:color="auto"/>
          </w:divBdr>
          <w:divsChild>
            <w:div w:id="2090929639">
              <w:marLeft w:val="0"/>
              <w:marRight w:val="0"/>
              <w:marTop w:val="0"/>
              <w:marBottom w:val="0"/>
              <w:divBdr>
                <w:top w:val="none" w:sz="0" w:space="0" w:color="auto"/>
                <w:left w:val="none" w:sz="0" w:space="0" w:color="auto"/>
                <w:bottom w:val="none" w:sz="0" w:space="0" w:color="auto"/>
                <w:right w:val="none" w:sz="0" w:space="0" w:color="auto"/>
              </w:divBdr>
              <w:divsChild>
                <w:div w:id="304283895">
                  <w:marLeft w:val="0"/>
                  <w:marRight w:val="0"/>
                  <w:marTop w:val="0"/>
                  <w:marBottom w:val="0"/>
                  <w:divBdr>
                    <w:top w:val="none" w:sz="0" w:space="0" w:color="auto"/>
                    <w:left w:val="none" w:sz="0" w:space="0" w:color="auto"/>
                    <w:bottom w:val="none" w:sz="0" w:space="0" w:color="auto"/>
                    <w:right w:val="none" w:sz="0" w:space="0" w:color="auto"/>
                  </w:divBdr>
                  <w:divsChild>
                    <w:div w:id="183791187">
                      <w:marLeft w:val="0"/>
                      <w:marRight w:val="0"/>
                      <w:marTop w:val="0"/>
                      <w:marBottom w:val="0"/>
                      <w:divBdr>
                        <w:top w:val="none" w:sz="0" w:space="0" w:color="auto"/>
                        <w:left w:val="none" w:sz="0" w:space="0" w:color="auto"/>
                        <w:bottom w:val="none" w:sz="0" w:space="0" w:color="auto"/>
                        <w:right w:val="none" w:sz="0" w:space="0" w:color="auto"/>
                      </w:divBdr>
                      <w:divsChild>
                        <w:div w:id="206181261">
                          <w:marLeft w:val="0"/>
                          <w:marRight w:val="0"/>
                          <w:marTop w:val="0"/>
                          <w:marBottom w:val="0"/>
                          <w:divBdr>
                            <w:top w:val="none" w:sz="0" w:space="0" w:color="auto"/>
                            <w:left w:val="none" w:sz="0" w:space="0" w:color="auto"/>
                            <w:bottom w:val="none" w:sz="0" w:space="0" w:color="auto"/>
                            <w:right w:val="none" w:sz="0" w:space="0" w:color="auto"/>
                          </w:divBdr>
                          <w:divsChild>
                            <w:div w:id="1821648452">
                              <w:marLeft w:val="2700"/>
                              <w:marRight w:val="3960"/>
                              <w:marTop w:val="0"/>
                              <w:marBottom w:val="0"/>
                              <w:divBdr>
                                <w:top w:val="none" w:sz="0" w:space="0" w:color="auto"/>
                                <w:left w:val="none" w:sz="0" w:space="0" w:color="auto"/>
                                <w:bottom w:val="none" w:sz="0" w:space="0" w:color="auto"/>
                                <w:right w:val="none" w:sz="0" w:space="0" w:color="auto"/>
                              </w:divBdr>
                              <w:divsChild>
                                <w:div w:id="2037344246">
                                  <w:marLeft w:val="0"/>
                                  <w:marRight w:val="0"/>
                                  <w:marTop w:val="0"/>
                                  <w:marBottom w:val="0"/>
                                  <w:divBdr>
                                    <w:top w:val="none" w:sz="0" w:space="0" w:color="auto"/>
                                    <w:left w:val="none" w:sz="0" w:space="0" w:color="auto"/>
                                    <w:bottom w:val="none" w:sz="0" w:space="0" w:color="auto"/>
                                    <w:right w:val="none" w:sz="0" w:space="0" w:color="auto"/>
                                  </w:divBdr>
                                  <w:divsChild>
                                    <w:div w:id="988435121">
                                      <w:marLeft w:val="0"/>
                                      <w:marRight w:val="0"/>
                                      <w:marTop w:val="0"/>
                                      <w:marBottom w:val="0"/>
                                      <w:divBdr>
                                        <w:top w:val="none" w:sz="0" w:space="0" w:color="auto"/>
                                        <w:left w:val="none" w:sz="0" w:space="0" w:color="auto"/>
                                        <w:bottom w:val="none" w:sz="0" w:space="0" w:color="auto"/>
                                        <w:right w:val="none" w:sz="0" w:space="0" w:color="auto"/>
                                      </w:divBdr>
                                      <w:divsChild>
                                        <w:div w:id="2110346951">
                                          <w:marLeft w:val="0"/>
                                          <w:marRight w:val="0"/>
                                          <w:marTop w:val="0"/>
                                          <w:marBottom w:val="0"/>
                                          <w:divBdr>
                                            <w:top w:val="none" w:sz="0" w:space="0" w:color="auto"/>
                                            <w:left w:val="none" w:sz="0" w:space="0" w:color="auto"/>
                                            <w:bottom w:val="none" w:sz="0" w:space="0" w:color="auto"/>
                                            <w:right w:val="none" w:sz="0" w:space="0" w:color="auto"/>
                                          </w:divBdr>
                                          <w:divsChild>
                                            <w:div w:id="1818647124">
                                              <w:marLeft w:val="0"/>
                                              <w:marRight w:val="0"/>
                                              <w:marTop w:val="90"/>
                                              <w:marBottom w:val="0"/>
                                              <w:divBdr>
                                                <w:top w:val="none" w:sz="0" w:space="0" w:color="auto"/>
                                                <w:left w:val="none" w:sz="0" w:space="0" w:color="auto"/>
                                                <w:bottom w:val="none" w:sz="0" w:space="0" w:color="auto"/>
                                                <w:right w:val="none" w:sz="0" w:space="0" w:color="auto"/>
                                              </w:divBdr>
                                              <w:divsChild>
                                                <w:div w:id="1996109026">
                                                  <w:marLeft w:val="0"/>
                                                  <w:marRight w:val="0"/>
                                                  <w:marTop w:val="0"/>
                                                  <w:marBottom w:val="405"/>
                                                  <w:divBdr>
                                                    <w:top w:val="none" w:sz="0" w:space="0" w:color="auto"/>
                                                    <w:left w:val="none" w:sz="0" w:space="0" w:color="auto"/>
                                                    <w:bottom w:val="none" w:sz="0" w:space="0" w:color="auto"/>
                                                    <w:right w:val="none" w:sz="0" w:space="0" w:color="auto"/>
                                                  </w:divBdr>
                                                  <w:divsChild>
                                                    <w:div w:id="688067175">
                                                      <w:marLeft w:val="0"/>
                                                      <w:marRight w:val="0"/>
                                                      <w:marTop w:val="0"/>
                                                      <w:marBottom w:val="0"/>
                                                      <w:divBdr>
                                                        <w:top w:val="none" w:sz="0" w:space="0" w:color="auto"/>
                                                        <w:left w:val="none" w:sz="0" w:space="0" w:color="auto"/>
                                                        <w:bottom w:val="none" w:sz="0" w:space="0" w:color="auto"/>
                                                        <w:right w:val="none" w:sz="0" w:space="0" w:color="auto"/>
                                                      </w:divBdr>
                                                      <w:divsChild>
                                                        <w:div w:id="94251556">
                                                          <w:marLeft w:val="0"/>
                                                          <w:marRight w:val="0"/>
                                                          <w:marTop w:val="0"/>
                                                          <w:marBottom w:val="0"/>
                                                          <w:divBdr>
                                                            <w:top w:val="single" w:sz="6" w:space="0" w:color="DFE1E5"/>
                                                            <w:left w:val="single" w:sz="6" w:space="0" w:color="DFE1E5"/>
                                                            <w:bottom w:val="single" w:sz="6" w:space="0" w:color="DFE1E5"/>
                                                            <w:right w:val="single" w:sz="6" w:space="0" w:color="DFE1E5"/>
                                                          </w:divBdr>
                                                          <w:divsChild>
                                                            <w:div w:id="1844738717">
                                                              <w:marLeft w:val="0"/>
                                                              <w:marRight w:val="0"/>
                                                              <w:marTop w:val="0"/>
                                                              <w:marBottom w:val="0"/>
                                                              <w:divBdr>
                                                                <w:top w:val="none" w:sz="0" w:space="0" w:color="auto"/>
                                                                <w:left w:val="none" w:sz="0" w:space="0" w:color="auto"/>
                                                                <w:bottom w:val="none" w:sz="0" w:space="0" w:color="auto"/>
                                                                <w:right w:val="none" w:sz="0" w:space="0" w:color="auto"/>
                                                              </w:divBdr>
                                                              <w:divsChild>
                                                                <w:div w:id="991056548">
                                                                  <w:marLeft w:val="0"/>
                                                                  <w:marRight w:val="0"/>
                                                                  <w:marTop w:val="0"/>
                                                                  <w:marBottom w:val="0"/>
                                                                  <w:divBdr>
                                                                    <w:top w:val="none" w:sz="0" w:space="0" w:color="auto"/>
                                                                    <w:left w:val="none" w:sz="0" w:space="0" w:color="auto"/>
                                                                    <w:bottom w:val="none" w:sz="0" w:space="0" w:color="auto"/>
                                                                    <w:right w:val="none" w:sz="0" w:space="0" w:color="auto"/>
                                                                  </w:divBdr>
                                                                  <w:divsChild>
                                                                    <w:div w:id="1296302148">
                                                                      <w:marLeft w:val="0"/>
                                                                      <w:marRight w:val="0"/>
                                                                      <w:marTop w:val="0"/>
                                                                      <w:marBottom w:val="0"/>
                                                                      <w:divBdr>
                                                                        <w:top w:val="none" w:sz="0" w:space="0" w:color="auto"/>
                                                                        <w:left w:val="none" w:sz="0" w:space="0" w:color="auto"/>
                                                                        <w:bottom w:val="none" w:sz="0" w:space="0" w:color="auto"/>
                                                                        <w:right w:val="none" w:sz="0" w:space="0" w:color="auto"/>
                                                                      </w:divBdr>
                                                                      <w:divsChild>
                                                                        <w:div w:id="1203906047">
                                                                          <w:marLeft w:val="0"/>
                                                                          <w:marRight w:val="0"/>
                                                                          <w:marTop w:val="0"/>
                                                                          <w:marBottom w:val="0"/>
                                                                          <w:divBdr>
                                                                            <w:top w:val="none" w:sz="0" w:space="0" w:color="auto"/>
                                                                            <w:left w:val="none" w:sz="0" w:space="0" w:color="auto"/>
                                                                            <w:bottom w:val="none" w:sz="0" w:space="0" w:color="auto"/>
                                                                            <w:right w:val="none" w:sz="0" w:space="0" w:color="auto"/>
                                                                          </w:divBdr>
                                                                          <w:divsChild>
                                                                            <w:div w:id="251934529">
                                                                              <w:marLeft w:val="0"/>
                                                                              <w:marRight w:val="0"/>
                                                                              <w:marTop w:val="0"/>
                                                                              <w:marBottom w:val="0"/>
                                                                              <w:divBdr>
                                                                                <w:top w:val="none" w:sz="0" w:space="0" w:color="auto"/>
                                                                                <w:left w:val="none" w:sz="0" w:space="0" w:color="auto"/>
                                                                                <w:bottom w:val="none" w:sz="0" w:space="0" w:color="auto"/>
                                                                                <w:right w:val="none" w:sz="0" w:space="0" w:color="auto"/>
                                                                              </w:divBdr>
                                                                              <w:divsChild>
                                                                                <w:div w:id="578488141">
                                                                                  <w:marLeft w:val="0"/>
                                                                                  <w:marRight w:val="0"/>
                                                                                  <w:marTop w:val="0"/>
                                                                                  <w:marBottom w:val="0"/>
                                                                                  <w:divBdr>
                                                                                    <w:top w:val="none" w:sz="0" w:space="0" w:color="auto"/>
                                                                                    <w:left w:val="none" w:sz="0" w:space="0" w:color="auto"/>
                                                                                    <w:bottom w:val="none" w:sz="0" w:space="0" w:color="auto"/>
                                                                                    <w:right w:val="none" w:sz="0" w:space="0" w:color="auto"/>
                                                                                  </w:divBdr>
                                                                                  <w:divsChild>
                                                                                    <w:div w:id="34841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5465010">
      <w:bodyDiv w:val="1"/>
      <w:marLeft w:val="0"/>
      <w:marRight w:val="0"/>
      <w:marTop w:val="0"/>
      <w:marBottom w:val="0"/>
      <w:divBdr>
        <w:top w:val="none" w:sz="0" w:space="0" w:color="auto"/>
        <w:left w:val="none" w:sz="0" w:space="0" w:color="auto"/>
        <w:bottom w:val="none" w:sz="0" w:space="0" w:color="auto"/>
        <w:right w:val="none" w:sz="0" w:space="0" w:color="auto"/>
      </w:divBdr>
      <w:divsChild>
        <w:div w:id="746002341">
          <w:marLeft w:val="0"/>
          <w:marRight w:val="0"/>
          <w:marTop w:val="0"/>
          <w:marBottom w:val="0"/>
          <w:divBdr>
            <w:top w:val="none" w:sz="0" w:space="0" w:color="auto"/>
            <w:left w:val="none" w:sz="0" w:space="0" w:color="auto"/>
            <w:bottom w:val="none" w:sz="0" w:space="0" w:color="auto"/>
            <w:right w:val="none" w:sz="0" w:space="0" w:color="auto"/>
          </w:divBdr>
          <w:divsChild>
            <w:div w:id="1904174315">
              <w:marLeft w:val="0"/>
              <w:marRight w:val="0"/>
              <w:marTop w:val="0"/>
              <w:marBottom w:val="0"/>
              <w:divBdr>
                <w:top w:val="none" w:sz="0" w:space="0" w:color="auto"/>
                <w:left w:val="none" w:sz="0" w:space="0" w:color="auto"/>
                <w:bottom w:val="none" w:sz="0" w:space="0" w:color="auto"/>
                <w:right w:val="none" w:sz="0" w:space="0" w:color="auto"/>
              </w:divBdr>
              <w:divsChild>
                <w:div w:id="1778285016">
                  <w:marLeft w:val="0"/>
                  <w:marRight w:val="0"/>
                  <w:marTop w:val="0"/>
                  <w:marBottom w:val="0"/>
                  <w:divBdr>
                    <w:top w:val="none" w:sz="0" w:space="0" w:color="auto"/>
                    <w:left w:val="none" w:sz="0" w:space="0" w:color="auto"/>
                    <w:bottom w:val="none" w:sz="0" w:space="0" w:color="auto"/>
                    <w:right w:val="none" w:sz="0" w:space="0" w:color="auto"/>
                  </w:divBdr>
                  <w:divsChild>
                    <w:div w:id="1355423735">
                      <w:marLeft w:val="0"/>
                      <w:marRight w:val="0"/>
                      <w:marTop w:val="0"/>
                      <w:marBottom w:val="0"/>
                      <w:divBdr>
                        <w:top w:val="none" w:sz="0" w:space="0" w:color="auto"/>
                        <w:left w:val="none" w:sz="0" w:space="0" w:color="auto"/>
                        <w:bottom w:val="none" w:sz="0" w:space="0" w:color="auto"/>
                        <w:right w:val="none" w:sz="0" w:space="0" w:color="auto"/>
                      </w:divBdr>
                      <w:divsChild>
                        <w:div w:id="173963381">
                          <w:marLeft w:val="0"/>
                          <w:marRight w:val="0"/>
                          <w:marTop w:val="0"/>
                          <w:marBottom w:val="0"/>
                          <w:divBdr>
                            <w:top w:val="none" w:sz="0" w:space="0" w:color="auto"/>
                            <w:left w:val="none" w:sz="0" w:space="0" w:color="auto"/>
                            <w:bottom w:val="none" w:sz="0" w:space="0" w:color="auto"/>
                            <w:right w:val="none" w:sz="0" w:space="0" w:color="auto"/>
                          </w:divBdr>
                          <w:divsChild>
                            <w:div w:id="371076967">
                              <w:marLeft w:val="2700"/>
                              <w:marRight w:val="3960"/>
                              <w:marTop w:val="0"/>
                              <w:marBottom w:val="0"/>
                              <w:divBdr>
                                <w:top w:val="none" w:sz="0" w:space="0" w:color="auto"/>
                                <w:left w:val="none" w:sz="0" w:space="0" w:color="auto"/>
                                <w:bottom w:val="none" w:sz="0" w:space="0" w:color="auto"/>
                                <w:right w:val="none" w:sz="0" w:space="0" w:color="auto"/>
                              </w:divBdr>
                              <w:divsChild>
                                <w:div w:id="1812794683">
                                  <w:marLeft w:val="0"/>
                                  <w:marRight w:val="0"/>
                                  <w:marTop w:val="0"/>
                                  <w:marBottom w:val="0"/>
                                  <w:divBdr>
                                    <w:top w:val="none" w:sz="0" w:space="0" w:color="auto"/>
                                    <w:left w:val="none" w:sz="0" w:space="0" w:color="auto"/>
                                    <w:bottom w:val="none" w:sz="0" w:space="0" w:color="auto"/>
                                    <w:right w:val="none" w:sz="0" w:space="0" w:color="auto"/>
                                  </w:divBdr>
                                  <w:divsChild>
                                    <w:div w:id="1355693467">
                                      <w:marLeft w:val="0"/>
                                      <w:marRight w:val="0"/>
                                      <w:marTop w:val="0"/>
                                      <w:marBottom w:val="0"/>
                                      <w:divBdr>
                                        <w:top w:val="none" w:sz="0" w:space="0" w:color="auto"/>
                                        <w:left w:val="none" w:sz="0" w:space="0" w:color="auto"/>
                                        <w:bottom w:val="none" w:sz="0" w:space="0" w:color="auto"/>
                                        <w:right w:val="none" w:sz="0" w:space="0" w:color="auto"/>
                                      </w:divBdr>
                                      <w:divsChild>
                                        <w:div w:id="1109426164">
                                          <w:marLeft w:val="0"/>
                                          <w:marRight w:val="0"/>
                                          <w:marTop w:val="0"/>
                                          <w:marBottom w:val="0"/>
                                          <w:divBdr>
                                            <w:top w:val="none" w:sz="0" w:space="0" w:color="auto"/>
                                            <w:left w:val="none" w:sz="0" w:space="0" w:color="auto"/>
                                            <w:bottom w:val="none" w:sz="0" w:space="0" w:color="auto"/>
                                            <w:right w:val="none" w:sz="0" w:space="0" w:color="auto"/>
                                          </w:divBdr>
                                          <w:divsChild>
                                            <w:div w:id="33972152">
                                              <w:marLeft w:val="0"/>
                                              <w:marRight w:val="0"/>
                                              <w:marTop w:val="90"/>
                                              <w:marBottom w:val="0"/>
                                              <w:divBdr>
                                                <w:top w:val="none" w:sz="0" w:space="0" w:color="auto"/>
                                                <w:left w:val="none" w:sz="0" w:space="0" w:color="auto"/>
                                                <w:bottom w:val="none" w:sz="0" w:space="0" w:color="auto"/>
                                                <w:right w:val="none" w:sz="0" w:space="0" w:color="auto"/>
                                              </w:divBdr>
                                              <w:divsChild>
                                                <w:div w:id="1141844194">
                                                  <w:marLeft w:val="0"/>
                                                  <w:marRight w:val="0"/>
                                                  <w:marTop w:val="0"/>
                                                  <w:marBottom w:val="405"/>
                                                  <w:divBdr>
                                                    <w:top w:val="none" w:sz="0" w:space="0" w:color="auto"/>
                                                    <w:left w:val="none" w:sz="0" w:space="0" w:color="auto"/>
                                                    <w:bottom w:val="none" w:sz="0" w:space="0" w:color="auto"/>
                                                    <w:right w:val="none" w:sz="0" w:space="0" w:color="auto"/>
                                                  </w:divBdr>
                                                  <w:divsChild>
                                                    <w:div w:id="478890288">
                                                      <w:marLeft w:val="0"/>
                                                      <w:marRight w:val="0"/>
                                                      <w:marTop w:val="0"/>
                                                      <w:marBottom w:val="0"/>
                                                      <w:divBdr>
                                                        <w:top w:val="none" w:sz="0" w:space="0" w:color="auto"/>
                                                        <w:left w:val="none" w:sz="0" w:space="0" w:color="auto"/>
                                                        <w:bottom w:val="none" w:sz="0" w:space="0" w:color="auto"/>
                                                        <w:right w:val="none" w:sz="0" w:space="0" w:color="auto"/>
                                                      </w:divBdr>
                                                      <w:divsChild>
                                                        <w:div w:id="176576332">
                                                          <w:marLeft w:val="0"/>
                                                          <w:marRight w:val="0"/>
                                                          <w:marTop w:val="0"/>
                                                          <w:marBottom w:val="0"/>
                                                          <w:divBdr>
                                                            <w:top w:val="single" w:sz="6" w:space="0" w:color="DFE1E5"/>
                                                            <w:left w:val="single" w:sz="6" w:space="0" w:color="DFE1E5"/>
                                                            <w:bottom w:val="single" w:sz="6" w:space="0" w:color="DFE1E5"/>
                                                            <w:right w:val="single" w:sz="6" w:space="0" w:color="DFE1E5"/>
                                                          </w:divBdr>
                                                          <w:divsChild>
                                                            <w:div w:id="241262098">
                                                              <w:marLeft w:val="0"/>
                                                              <w:marRight w:val="0"/>
                                                              <w:marTop w:val="0"/>
                                                              <w:marBottom w:val="0"/>
                                                              <w:divBdr>
                                                                <w:top w:val="none" w:sz="0" w:space="0" w:color="auto"/>
                                                                <w:left w:val="none" w:sz="0" w:space="0" w:color="auto"/>
                                                                <w:bottom w:val="none" w:sz="0" w:space="0" w:color="auto"/>
                                                                <w:right w:val="none" w:sz="0" w:space="0" w:color="auto"/>
                                                              </w:divBdr>
                                                              <w:divsChild>
                                                                <w:div w:id="150339661">
                                                                  <w:marLeft w:val="0"/>
                                                                  <w:marRight w:val="0"/>
                                                                  <w:marTop w:val="0"/>
                                                                  <w:marBottom w:val="0"/>
                                                                  <w:divBdr>
                                                                    <w:top w:val="none" w:sz="0" w:space="0" w:color="auto"/>
                                                                    <w:left w:val="none" w:sz="0" w:space="0" w:color="auto"/>
                                                                    <w:bottom w:val="none" w:sz="0" w:space="0" w:color="auto"/>
                                                                    <w:right w:val="none" w:sz="0" w:space="0" w:color="auto"/>
                                                                  </w:divBdr>
                                                                  <w:divsChild>
                                                                    <w:div w:id="1576938469">
                                                                      <w:marLeft w:val="0"/>
                                                                      <w:marRight w:val="0"/>
                                                                      <w:marTop w:val="0"/>
                                                                      <w:marBottom w:val="0"/>
                                                                      <w:divBdr>
                                                                        <w:top w:val="none" w:sz="0" w:space="0" w:color="auto"/>
                                                                        <w:left w:val="none" w:sz="0" w:space="0" w:color="auto"/>
                                                                        <w:bottom w:val="none" w:sz="0" w:space="0" w:color="auto"/>
                                                                        <w:right w:val="none" w:sz="0" w:space="0" w:color="auto"/>
                                                                      </w:divBdr>
                                                                      <w:divsChild>
                                                                        <w:div w:id="511532768">
                                                                          <w:marLeft w:val="0"/>
                                                                          <w:marRight w:val="0"/>
                                                                          <w:marTop w:val="0"/>
                                                                          <w:marBottom w:val="0"/>
                                                                          <w:divBdr>
                                                                            <w:top w:val="none" w:sz="0" w:space="0" w:color="auto"/>
                                                                            <w:left w:val="none" w:sz="0" w:space="0" w:color="auto"/>
                                                                            <w:bottom w:val="none" w:sz="0" w:space="0" w:color="auto"/>
                                                                            <w:right w:val="none" w:sz="0" w:space="0" w:color="auto"/>
                                                                          </w:divBdr>
                                                                          <w:divsChild>
                                                                            <w:div w:id="1565337250">
                                                                              <w:marLeft w:val="0"/>
                                                                              <w:marRight w:val="0"/>
                                                                              <w:marTop w:val="0"/>
                                                                              <w:marBottom w:val="0"/>
                                                                              <w:divBdr>
                                                                                <w:top w:val="none" w:sz="0" w:space="0" w:color="auto"/>
                                                                                <w:left w:val="none" w:sz="0" w:space="0" w:color="auto"/>
                                                                                <w:bottom w:val="none" w:sz="0" w:space="0" w:color="auto"/>
                                                                                <w:right w:val="none" w:sz="0" w:space="0" w:color="auto"/>
                                                                              </w:divBdr>
                                                                              <w:divsChild>
                                                                                <w:div w:id="1982926164">
                                                                                  <w:marLeft w:val="0"/>
                                                                                  <w:marRight w:val="0"/>
                                                                                  <w:marTop w:val="0"/>
                                                                                  <w:marBottom w:val="0"/>
                                                                                  <w:divBdr>
                                                                                    <w:top w:val="none" w:sz="0" w:space="0" w:color="auto"/>
                                                                                    <w:left w:val="none" w:sz="0" w:space="0" w:color="auto"/>
                                                                                    <w:bottom w:val="none" w:sz="0" w:space="0" w:color="auto"/>
                                                                                    <w:right w:val="none" w:sz="0" w:space="0" w:color="auto"/>
                                                                                  </w:divBdr>
                                                                                  <w:divsChild>
                                                                                    <w:div w:id="190587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631607">
      <w:bodyDiv w:val="1"/>
      <w:marLeft w:val="0"/>
      <w:marRight w:val="0"/>
      <w:marTop w:val="0"/>
      <w:marBottom w:val="0"/>
      <w:divBdr>
        <w:top w:val="none" w:sz="0" w:space="0" w:color="auto"/>
        <w:left w:val="none" w:sz="0" w:space="0" w:color="auto"/>
        <w:bottom w:val="none" w:sz="0" w:space="0" w:color="auto"/>
        <w:right w:val="none" w:sz="0" w:space="0" w:color="auto"/>
      </w:divBdr>
      <w:divsChild>
        <w:div w:id="1083144802">
          <w:marLeft w:val="0"/>
          <w:marRight w:val="0"/>
          <w:marTop w:val="0"/>
          <w:marBottom w:val="0"/>
          <w:divBdr>
            <w:top w:val="none" w:sz="0" w:space="0" w:color="auto"/>
            <w:left w:val="none" w:sz="0" w:space="0" w:color="auto"/>
            <w:bottom w:val="none" w:sz="0" w:space="0" w:color="auto"/>
            <w:right w:val="none" w:sz="0" w:space="0" w:color="auto"/>
          </w:divBdr>
          <w:divsChild>
            <w:div w:id="739329828">
              <w:marLeft w:val="0"/>
              <w:marRight w:val="0"/>
              <w:marTop w:val="0"/>
              <w:marBottom w:val="0"/>
              <w:divBdr>
                <w:top w:val="none" w:sz="0" w:space="0" w:color="auto"/>
                <w:left w:val="none" w:sz="0" w:space="0" w:color="auto"/>
                <w:bottom w:val="none" w:sz="0" w:space="0" w:color="auto"/>
                <w:right w:val="none" w:sz="0" w:space="0" w:color="auto"/>
              </w:divBdr>
              <w:divsChild>
                <w:div w:id="1172601125">
                  <w:marLeft w:val="0"/>
                  <w:marRight w:val="0"/>
                  <w:marTop w:val="0"/>
                  <w:marBottom w:val="0"/>
                  <w:divBdr>
                    <w:top w:val="none" w:sz="0" w:space="0" w:color="auto"/>
                    <w:left w:val="none" w:sz="0" w:space="0" w:color="auto"/>
                    <w:bottom w:val="none" w:sz="0" w:space="0" w:color="auto"/>
                    <w:right w:val="none" w:sz="0" w:space="0" w:color="auto"/>
                  </w:divBdr>
                  <w:divsChild>
                    <w:div w:id="236592826">
                      <w:marLeft w:val="0"/>
                      <w:marRight w:val="0"/>
                      <w:marTop w:val="0"/>
                      <w:marBottom w:val="0"/>
                      <w:divBdr>
                        <w:top w:val="none" w:sz="0" w:space="0" w:color="auto"/>
                        <w:left w:val="none" w:sz="0" w:space="0" w:color="auto"/>
                        <w:bottom w:val="none" w:sz="0" w:space="0" w:color="auto"/>
                        <w:right w:val="none" w:sz="0" w:space="0" w:color="auto"/>
                      </w:divBdr>
                      <w:divsChild>
                        <w:div w:id="1163816474">
                          <w:marLeft w:val="0"/>
                          <w:marRight w:val="0"/>
                          <w:marTop w:val="0"/>
                          <w:marBottom w:val="0"/>
                          <w:divBdr>
                            <w:top w:val="none" w:sz="0" w:space="0" w:color="auto"/>
                            <w:left w:val="none" w:sz="0" w:space="0" w:color="auto"/>
                            <w:bottom w:val="none" w:sz="0" w:space="0" w:color="auto"/>
                            <w:right w:val="none" w:sz="0" w:space="0" w:color="auto"/>
                          </w:divBdr>
                          <w:divsChild>
                            <w:div w:id="1920477335">
                              <w:marLeft w:val="2700"/>
                              <w:marRight w:val="3960"/>
                              <w:marTop w:val="0"/>
                              <w:marBottom w:val="0"/>
                              <w:divBdr>
                                <w:top w:val="none" w:sz="0" w:space="0" w:color="auto"/>
                                <w:left w:val="none" w:sz="0" w:space="0" w:color="auto"/>
                                <w:bottom w:val="none" w:sz="0" w:space="0" w:color="auto"/>
                                <w:right w:val="none" w:sz="0" w:space="0" w:color="auto"/>
                              </w:divBdr>
                              <w:divsChild>
                                <w:div w:id="1823812130">
                                  <w:marLeft w:val="0"/>
                                  <w:marRight w:val="0"/>
                                  <w:marTop w:val="0"/>
                                  <w:marBottom w:val="0"/>
                                  <w:divBdr>
                                    <w:top w:val="none" w:sz="0" w:space="0" w:color="auto"/>
                                    <w:left w:val="none" w:sz="0" w:space="0" w:color="auto"/>
                                    <w:bottom w:val="none" w:sz="0" w:space="0" w:color="auto"/>
                                    <w:right w:val="none" w:sz="0" w:space="0" w:color="auto"/>
                                  </w:divBdr>
                                  <w:divsChild>
                                    <w:div w:id="1262572142">
                                      <w:marLeft w:val="0"/>
                                      <w:marRight w:val="0"/>
                                      <w:marTop w:val="0"/>
                                      <w:marBottom w:val="0"/>
                                      <w:divBdr>
                                        <w:top w:val="none" w:sz="0" w:space="0" w:color="auto"/>
                                        <w:left w:val="none" w:sz="0" w:space="0" w:color="auto"/>
                                        <w:bottom w:val="none" w:sz="0" w:space="0" w:color="auto"/>
                                        <w:right w:val="none" w:sz="0" w:space="0" w:color="auto"/>
                                      </w:divBdr>
                                      <w:divsChild>
                                        <w:div w:id="1916276452">
                                          <w:marLeft w:val="0"/>
                                          <w:marRight w:val="0"/>
                                          <w:marTop w:val="0"/>
                                          <w:marBottom w:val="0"/>
                                          <w:divBdr>
                                            <w:top w:val="none" w:sz="0" w:space="0" w:color="auto"/>
                                            <w:left w:val="none" w:sz="0" w:space="0" w:color="auto"/>
                                            <w:bottom w:val="none" w:sz="0" w:space="0" w:color="auto"/>
                                            <w:right w:val="none" w:sz="0" w:space="0" w:color="auto"/>
                                          </w:divBdr>
                                          <w:divsChild>
                                            <w:div w:id="871460975">
                                              <w:marLeft w:val="0"/>
                                              <w:marRight w:val="0"/>
                                              <w:marTop w:val="90"/>
                                              <w:marBottom w:val="0"/>
                                              <w:divBdr>
                                                <w:top w:val="none" w:sz="0" w:space="0" w:color="auto"/>
                                                <w:left w:val="none" w:sz="0" w:space="0" w:color="auto"/>
                                                <w:bottom w:val="none" w:sz="0" w:space="0" w:color="auto"/>
                                                <w:right w:val="none" w:sz="0" w:space="0" w:color="auto"/>
                                              </w:divBdr>
                                              <w:divsChild>
                                                <w:div w:id="605770429">
                                                  <w:marLeft w:val="0"/>
                                                  <w:marRight w:val="0"/>
                                                  <w:marTop w:val="0"/>
                                                  <w:marBottom w:val="405"/>
                                                  <w:divBdr>
                                                    <w:top w:val="none" w:sz="0" w:space="0" w:color="auto"/>
                                                    <w:left w:val="none" w:sz="0" w:space="0" w:color="auto"/>
                                                    <w:bottom w:val="none" w:sz="0" w:space="0" w:color="auto"/>
                                                    <w:right w:val="none" w:sz="0" w:space="0" w:color="auto"/>
                                                  </w:divBdr>
                                                  <w:divsChild>
                                                    <w:div w:id="409541348">
                                                      <w:marLeft w:val="0"/>
                                                      <w:marRight w:val="0"/>
                                                      <w:marTop w:val="0"/>
                                                      <w:marBottom w:val="0"/>
                                                      <w:divBdr>
                                                        <w:top w:val="none" w:sz="0" w:space="0" w:color="auto"/>
                                                        <w:left w:val="none" w:sz="0" w:space="0" w:color="auto"/>
                                                        <w:bottom w:val="none" w:sz="0" w:space="0" w:color="auto"/>
                                                        <w:right w:val="none" w:sz="0" w:space="0" w:color="auto"/>
                                                      </w:divBdr>
                                                      <w:divsChild>
                                                        <w:div w:id="1210528278">
                                                          <w:marLeft w:val="0"/>
                                                          <w:marRight w:val="0"/>
                                                          <w:marTop w:val="0"/>
                                                          <w:marBottom w:val="0"/>
                                                          <w:divBdr>
                                                            <w:top w:val="single" w:sz="6" w:space="0" w:color="DFE1E5"/>
                                                            <w:left w:val="single" w:sz="6" w:space="0" w:color="DFE1E5"/>
                                                            <w:bottom w:val="single" w:sz="6" w:space="0" w:color="DFE1E5"/>
                                                            <w:right w:val="single" w:sz="6" w:space="0" w:color="DFE1E5"/>
                                                          </w:divBdr>
                                                          <w:divsChild>
                                                            <w:div w:id="508984684">
                                                              <w:marLeft w:val="0"/>
                                                              <w:marRight w:val="0"/>
                                                              <w:marTop w:val="0"/>
                                                              <w:marBottom w:val="0"/>
                                                              <w:divBdr>
                                                                <w:top w:val="none" w:sz="0" w:space="0" w:color="auto"/>
                                                                <w:left w:val="none" w:sz="0" w:space="0" w:color="auto"/>
                                                                <w:bottom w:val="none" w:sz="0" w:space="0" w:color="auto"/>
                                                                <w:right w:val="none" w:sz="0" w:space="0" w:color="auto"/>
                                                              </w:divBdr>
                                                              <w:divsChild>
                                                                <w:div w:id="330453492">
                                                                  <w:marLeft w:val="0"/>
                                                                  <w:marRight w:val="0"/>
                                                                  <w:marTop w:val="0"/>
                                                                  <w:marBottom w:val="0"/>
                                                                  <w:divBdr>
                                                                    <w:top w:val="none" w:sz="0" w:space="0" w:color="auto"/>
                                                                    <w:left w:val="none" w:sz="0" w:space="0" w:color="auto"/>
                                                                    <w:bottom w:val="none" w:sz="0" w:space="0" w:color="auto"/>
                                                                    <w:right w:val="none" w:sz="0" w:space="0" w:color="auto"/>
                                                                  </w:divBdr>
                                                                  <w:divsChild>
                                                                    <w:div w:id="282418500">
                                                                      <w:marLeft w:val="0"/>
                                                                      <w:marRight w:val="0"/>
                                                                      <w:marTop w:val="0"/>
                                                                      <w:marBottom w:val="0"/>
                                                                      <w:divBdr>
                                                                        <w:top w:val="none" w:sz="0" w:space="0" w:color="auto"/>
                                                                        <w:left w:val="none" w:sz="0" w:space="0" w:color="auto"/>
                                                                        <w:bottom w:val="none" w:sz="0" w:space="0" w:color="auto"/>
                                                                        <w:right w:val="none" w:sz="0" w:space="0" w:color="auto"/>
                                                                      </w:divBdr>
                                                                      <w:divsChild>
                                                                        <w:div w:id="1976793524">
                                                                          <w:marLeft w:val="0"/>
                                                                          <w:marRight w:val="0"/>
                                                                          <w:marTop w:val="0"/>
                                                                          <w:marBottom w:val="0"/>
                                                                          <w:divBdr>
                                                                            <w:top w:val="none" w:sz="0" w:space="0" w:color="auto"/>
                                                                            <w:left w:val="none" w:sz="0" w:space="0" w:color="auto"/>
                                                                            <w:bottom w:val="none" w:sz="0" w:space="0" w:color="auto"/>
                                                                            <w:right w:val="none" w:sz="0" w:space="0" w:color="auto"/>
                                                                          </w:divBdr>
                                                                          <w:divsChild>
                                                                            <w:div w:id="856238673">
                                                                              <w:marLeft w:val="0"/>
                                                                              <w:marRight w:val="0"/>
                                                                              <w:marTop w:val="0"/>
                                                                              <w:marBottom w:val="0"/>
                                                                              <w:divBdr>
                                                                                <w:top w:val="none" w:sz="0" w:space="0" w:color="auto"/>
                                                                                <w:left w:val="none" w:sz="0" w:space="0" w:color="auto"/>
                                                                                <w:bottom w:val="none" w:sz="0" w:space="0" w:color="auto"/>
                                                                                <w:right w:val="none" w:sz="0" w:space="0" w:color="auto"/>
                                                                              </w:divBdr>
                                                                              <w:divsChild>
                                                                                <w:div w:id="568341989">
                                                                                  <w:marLeft w:val="0"/>
                                                                                  <w:marRight w:val="0"/>
                                                                                  <w:marTop w:val="0"/>
                                                                                  <w:marBottom w:val="0"/>
                                                                                  <w:divBdr>
                                                                                    <w:top w:val="none" w:sz="0" w:space="0" w:color="auto"/>
                                                                                    <w:left w:val="none" w:sz="0" w:space="0" w:color="auto"/>
                                                                                    <w:bottom w:val="none" w:sz="0" w:space="0" w:color="auto"/>
                                                                                    <w:right w:val="none" w:sz="0" w:space="0" w:color="auto"/>
                                                                                  </w:divBdr>
                                                                                  <w:divsChild>
                                                                                    <w:div w:id="69292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1118999">
      <w:bodyDiv w:val="1"/>
      <w:marLeft w:val="0"/>
      <w:marRight w:val="0"/>
      <w:marTop w:val="0"/>
      <w:marBottom w:val="0"/>
      <w:divBdr>
        <w:top w:val="none" w:sz="0" w:space="0" w:color="auto"/>
        <w:left w:val="none" w:sz="0" w:space="0" w:color="auto"/>
        <w:bottom w:val="none" w:sz="0" w:space="0" w:color="auto"/>
        <w:right w:val="none" w:sz="0" w:space="0" w:color="auto"/>
      </w:divBdr>
    </w:div>
    <w:div w:id="866798687">
      <w:bodyDiv w:val="1"/>
      <w:marLeft w:val="0"/>
      <w:marRight w:val="0"/>
      <w:marTop w:val="0"/>
      <w:marBottom w:val="0"/>
      <w:divBdr>
        <w:top w:val="none" w:sz="0" w:space="0" w:color="auto"/>
        <w:left w:val="none" w:sz="0" w:space="0" w:color="auto"/>
        <w:bottom w:val="none" w:sz="0" w:space="0" w:color="auto"/>
        <w:right w:val="none" w:sz="0" w:space="0" w:color="auto"/>
      </w:divBdr>
    </w:div>
    <w:div w:id="906066594">
      <w:bodyDiv w:val="1"/>
      <w:marLeft w:val="0"/>
      <w:marRight w:val="0"/>
      <w:marTop w:val="0"/>
      <w:marBottom w:val="0"/>
      <w:divBdr>
        <w:top w:val="none" w:sz="0" w:space="0" w:color="auto"/>
        <w:left w:val="none" w:sz="0" w:space="0" w:color="auto"/>
        <w:bottom w:val="none" w:sz="0" w:space="0" w:color="auto"/>
        <w:right w:val="none" w:sz="0" w:space="0" w:color="auto"/>
      </w:divBdr>
      <w:divsChild>
        <w:div w:id="922304581">
          <w:marLeft w:val="0"/>
          <w:marRight w:val="0"/>
          <w:marTop w:val="0"/>
          <w:marBottom w:val="0"/>
          <w:divBdr>
            <w:top w:val="none" w:sz="0" w:space="0" w:color="auto"/>
            <w:left w:val="none" w:sz="0" w:space="0" w:color="auto"/>
            <w:bottom w:val="none" w:sz="0" w:space="0" w:color="auto"/>
            <w:right w:val="none" w:sz="0" w:space="0" w:color="auto"/>
          </w:divBdr>
          <w:divsChild>
            <w:div w:id="714741433">
              <w:marLeft w:val="0"/>
              <w:marRight w:val="0"/>
              <w:marTop w:val="0"/>
              <w:marBottom w:val="0"/>
              <w:divBdr>
                <w:top w:val="none" w:sz="0" w:space="0" w:color="auto"/>
                <w:left w:val="none" w:sz="0" w:space="0" w:color="auto"/>
                <w:bottom w:val="none" w:sz="0" w:space="0" w:color="auto"/>
                <w:right w:val="none" w:sz="0" w:space="0" w:color="auto"/>
              </w:divBdr>
              <w:divsChild>
                <w:div w:id="112674805">
                  <w:marLeft w:val="0"/>
                  <w:marRight w:val="0"/>
                  <w:marTop w:val="0"/>
                  <w:marBottom w:val="0"/>
                  <w:divBdr>
                    <w:top w:val="none" w:sz="0" w:space="0" w:color="auto"/>
                    <w:left w:val="none" w:sz="0" w:space="0" w:color="auto"/>
                    <w:bottom w:val="none" w:sz="0" w:space="0" w:color="auto"/>
                    <w:right w:val="none" w:sz="0" w:space="0" w:color="auto"/>
                  </w:divBdr>
                  <w:divsChild>
                    <w:div w:id="550264599">
                      <w:marLeft w:val="0"/>
                      <w:marRight w:val="0"/>
                      <w:marTop w:val="0"/>
                      <w:marBottom w:val="0"/>
                      <w:divBdr>
                        <w:top w:val="none" w:sz="0" w:space="0" w:color="auto"/>
                        <w:left w:val="none" w:sz="0" w:space="0" w:color="auto"/>
                        <w:bottom w:val="none" w:sz="0" w:space="0" w:color="auto"/>
                        <w:right w:val="none" w:sz="0" w:space="0" w:color="auto"/>
                      </w:divBdr>
                      <w:divsChild>
                        <w:div w:id="449320135">
                          <w:marLeft w:val="0"/>
                          <w:marRight w:val="0"/>
                          <w:marTop w:val="0"/>
                          <w:marBottom w:val="0"/>
                          <w:divBdr>
                            <w:top w:val="none" w:sz="0" w:space="0" w:color="auto"/>
                            <w:left w:val="none" w:sz="0" w:space="0" w:color="auto"/>
                            <w:bottom w:val="none" w:sz="0" w:space="0" w:color="auto"/>
                            <w:right w:val="none" w:sz="0" w:space="0" w:color="auto"/>
                          </w:divBdr>
                          <w:divsChild>
                            <w:div w:id="574555017">
                              <w:marLeft w:val="2700"/>
                              <w:marRight w:val="3960"/>
                              <w:marTop w:val="0"/>
                              <w:marBottom w:val="0"/>
                              <w:divBdr>
                                <w:top w:val="none" w:sz="0" w:space="0" w:color="auto"/>
                                <w:left w:val="none" w:sz="0" w:space="0" w:color="auto"/>
                                <w:bottom w:val="none" w:sz="0" w:space="0" w:color="auto"/>
                                <w:right w:val="none" w:sz="0" w:space="0" w:color="auto"/>
                              </w:divBdr>
                              <w:divsChild>
                                <w:div w:id="223298095">
                                  <w:marLeft w:val="0"/>
                                  <w:marRight w:val="0"/>
                                  <w:marTop w:val="0"/>
                                  <w:marBottom w:val="0"/>
                                  <w:divBdr>
                                    <w:top w:val="none" w:sz="0" w:space="0" w:color="auto"/>
                                    <w:left w:val="none" w:sz="0" w:space="0" w:color="auto"/>
                                    <w:bottom w:val="none" w:sz="0" w:space="0" w:color="auto"/>
                                    <w:right w:val="none" w:sz="0" w:space="0" w:color="auto"/>
                                  </w:divBdr>
                                  <w:divsChild>
                                    <w:div w:id="623511556">
                                      <w:marLeft w:val="0"/>
                                      <w:marRight w:val="0"/>
                                      <w:marTop w:val="0"/>
                                      <w:marBottom w:val="0"/>
                                      <w:divBdr>
                                        <w:top w:val="none" w:sz="0" w:space="0" w:color="auto"/>
                                        <w:left w:val="none" w:sz="0" w:space="0" w:color="auto"/>
                                        <w:bottom w:val="none" w:sz="0" w:space="0" w:color="auto"/>
                                        <w:right w:val="none" w:sz="0" w:space="0" w:color="auto"/>
                                      </w:divBdr>
                                      <w:divsChild>
                                        <w:div w:id="1234051806">
                                          <w:marLeft w:val="0"/>
                                          <w:marRight w:val="0"/>
                                          <w:marTop w:val="0"/>
                                          <w:marBottom w:val="0"/>
                                          <w:divBdr>
                                            <w:top w:val="none" w:sz="0" w:space="0" w:color="auto"/>
                                            <w:left w:val="none" w:sz="0" w:space="0" w:color="auto"/>
                                            <w:bottom w:val="none" w:sz="0" w:space="0" w:color="auto"/>
                                            <w:right w:val="none" w:sz="0" w:space="0" w:color="auto"/>
                                          </w:divBdr>
                                          <w:divsChild>
                                            <w:div w:id="1534807711">
                                              <w:marLeft w:val="0"/>
                                              <w:marRight w:val="0"/>
                                              <w:marTop w:val="90"/>
                                              <w:marBottom w:val="0"/>
                                              <w:divBdr>
                                                <w:top w:val="none" w:sz="0" w:space="0" w:color="auto"/>
                                                <w:left w:val="none" w:sz="0" w:space="0" w:color="auto"/>
                                                <w:bottom w:val="none" w:sz="0" w:space="0" w:color="auto"/>
                                                <w:right w:val="none" w:sz="0" w:space="0" w:color="auto"/>
                                              </w:divBdr>
                                              <w:divsChild>
                                                <w:div w:id="1248687201">
                                                  <w:marLeft w:val="0"/>
                                                  <w:marRight w:val="0"/>
                                                  <w:marTop w:val="0"/>
                                                  <w:marBottom w:val="405"/>
                                                  <w:divBdr>
                                                    <w:top w:val="none" w:sz="0" w:space="0" w:color="auto"/>
                                                    <w:left w:val="none" w:sz="0" w:space="0" w:color="auto"/>
                                                    <w:bottom w:val="none" w:sz="0" w:space="0" w:color="auto"/>
                                                    <w:right w:val="none" w:sz="0" w:space="0" w:color="auto"/>
                                                  </w:divBdr>
                                                  <w:divsChild>
                                                    <w:div w:id="974991418">
                                                      <w:marLeft w:val="0"/>
                                                      <w:marRight w:val="0"/>
                                                      <w:marTop w:val="0"/>
                                                      <w:marBottom w:val="0"/>
                                                      <w:divBdr>
                                                        <w:top w:val="none" w:sz="0" w:space="0" w:color="auto"/>
                                                        <w:left w:val="none" w:sz="0" w:space="0" w:color="auto"/>
                                                        <w:bottom w:val="none" w:sz="0" w:space="0" w:color="auto"/>
                                                        <w:right w:val="none" w:sz="0" w:space="0" w:color="auto"/>
                                                      </w:divBdr>
                                                      <w:divsChild>
                                                        <w:div w:id="3821014">
                                                          <w:marLeft w:val="0"/>
                                                          <w:marRight w:val="0"/>
                                                          <w:marTop w:val="0"/>
                                                          <w:marBottom w:val="0"/>
                                                          <w:divBdr>
                                                            <w:top w:val="single" w:sz="6" w:space="0" w:color="DFE1E5"/>
                                                            <w:left w:val="single" w:sz="6" w:space="0" w:color="DFE1E5"/>
                                                            <w:bottom w:val="single" w:sz="6" w:space="0" w:color="DFE1E5"/>
                                                            <w:right w:val="single" w:sz="6" w:space="0" w:color="DFE1E5"/>
                                                          </w:divBdr>
                                                          <w:divsChild>
                                                            <w:div w:id="1970624391">
                                                              <w:marLeft w:val="0"/>
                                                              <w:marRight w:val="0"/>
                                                              <w:marTop w:val="0"/>
                                                              <w:marBottom w:val="0"/>
                                                              <w:divBdr>
                                                                <w:top w:val="none" w:sz="0" w:space="0" w:color="auto"/>
                                                                <w:left w:val="none" w:sz="0" w:space="0" w:color="auto"/>
                                                                <w:bottom w:val="none" w:sz="0" w:space="0" w:color="auto"/>
                                                                <w:right w:val="none" w:sz="0" w:space="0" w:color="auto"/>
                                                              </w:divBdr>
                                                              <w:divsChild>
                                                                <w:div w:id="92020334">
                                                                  <w:marLeft w:val="0"/>
                                                                  <w:marRight w:val="0"/>
                                                                  <w:marTop w:val="0"/>
                                                                  <w:marBottom w:val="0"/>
                                                                  <w:divBdr>
                                                                    <w:top w:val="none" w:sz="0" w:space="0" w:color="auto"/>
                                                                    <w:left w:val="none" w:sz="0" w:space="0" w:color="auto"/>
                                                                    <w:bottom w:val="none" w:sz="0" w:space="0" w:color="auto"/>
                                                                    <w:right w:val="none" w:sz="0" w:space="0" w:color="auto"/>
                                                                  </w:divBdr>
                                                                  <w:divsChild>
                                                                    <w:div w:id="993219900">
                                                                      <w:marLeft w:val="0"/>
                                                                      <w:marRight w:val="0"/>
                                                                      <w:marTop w:val="0"/>
                                                                      <w:marBottom w:val="0"/>
                                                                      <w:divBdr>
                                                                        <w:top w:val="none" w:sz="0" w:space="0" w:color="auto"/>
                                                                        <w:left w:val="none" w:sz="0" w:space="0" w:color="auto"/>
                                                                        <w:bottom w:val="none" w:sz="0" w:space="0" w:color="auto"/>
                                                                        <w:right w:val="none" w:sz="0" w:space="0" w:color="auto"/>
                                                                      </w:divBdr>
                                                                      <w:divsChild>
                                                                        <w:div w:id="1600141024">
                                                                          <w:marLeft w:val="0"/>
                                                                          <w:marRight w:val="0"/>
                                                                          <w:marTop w:val="0"/>
                                                                          <w:marBottom w:val="0"/>
                                                                          <w:divBdr>
                                                                            <w:top w:val="none" w:sz="0" w:space="0" w:color="auto"/>
                                                                            <w:left w:val="none" w:sz="0" w:space="0" w:color="auto"/>
                                                                            <w:bottom w:val="none" w:sz="0" w:space="0" w:color="auto"/>
                                                                            <w:right w:val="none" w:sz="0" w:space="0" w:color="auto"/>
                                                                          </w:divBdr>
                                                                          <w:divsChild>
                                                                            <w:div w:id="1419444306">
                                                                              <w:marLeft w:val="0"/>
                                                                              <w:marRight w:val="0"/>
                                                                              <w:marTop w:val="0"/>
                                                                              <w:marBottom w:val="0"/>
                                                                              <w:divBdr>
                                                                                <w:top w:val="none" w:sz="0" w:space="0" w:color="auto"/>
                                                                                <w:left w:val="none" w:sz="0" w:space="0" w:color="auto"/>
                                                                                <w:bottom w:val="none" w:sz="0" w:space="0" w:color="auto"/>
                                                                                <w:right w:val="none" w:sz="0" w:space="0" w:color="auto"/>
                                                                              </w:divBdr>
                                                                              <w:divsChild>
                                                                                <w:div w:id="1117062774">
                                                                                  <w:marLeft w:val="0"/>
                                                                                  <w:marRight w:val="0"/>
                                                                                  <w:marTop w:val="0"/>
                                                                                  <w:marBottom w:val="0"/>
                                                                                  <w:divBdr>
                                                                                    <w:top w:val="none" w:sz="0" w:space="0" w:color="auto"/>
                                                                                    <w:left w:val="none" w:sz="0" w:space="0" w:color="auto"/>
                                                                                    <w:bottom w:val="none" w:sz="0" w:space="0" w:color="auto"/>
                                                                                    <w:right w:val="none" w:sz="0" w:space="0" w:color="auto"/>
                                                                                  </w:divBdr>
                                                                                  <w:divsChild>
                                                                                    <w:div w:id="77748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9951580">
      <w:bodyDiv w:val="1"/>
      <w:marLeft w:val="0"/>
      <w:marRight w:val="0"/>
      <w:marTop w:val="0"/>
      <w:marBottom w:val="0"/>
      <w:divBdr>
        <w:top w:val="none" w:sz="0" w:space="0" w:color="auto"/>
        <w:left w:val="none" w:sz="0" w:space="0" w:color="auto"/>
        <w:bottom w:val="none" w:sz="0" w:space="0" w:color="auto"/>
        <w:right w:val="none" w:sz="0" w:space="0" w:color="auto"/>
      </w:divBdr>
      <w:divsChild>
        <w:div w:id="1752963379">
          <w:marLeft w:val="0"/>
          <w:marRight w:val="0"/>
          <w:marTop w:val="0"/>
          <w:marBottom w:val="0"/>
          <w:divBdr>
            <w:top w:val="none" w:sz="0" w:space="0" w:color="auto"/>
            <w:left w:val="none" w:sz="0" w:space="0" w:color="auto"/>
            <w:bottom w:val="none" w:sz="0" w:space="0" w:color="auto"/>
            <w:right w:val="none" w:sz="0" w:space="0" w:color="auto"/>
          </w:divBdr>
          <w:divsChild>
            <w:div w:id="630552757">
              <w:marLeft w:val="0"/>
              <w:marRight w:val="0"/>
              <w:marTop w:val="0"/>
              <w:marBottom w:val="0"/>
              <w:divBdr>
                <w:top w:val="none" w:sz="0" w:space="0" w:color="auto"/>
                <w:left w:val="none" w:sz="0" w:space="0" w:color="auto"/>
                <w:bottom w:val="none" w:sz="0" w:space="0" w:color="auto"/>
                <w:right w:val="none" w:sz="0" w:space="0" w:color="auto"/>
              </w:divBdr>
              <w:divsChild>
                <w:div w:id="240872073">
                  <w:marLeft w:val="0"/>
                  <w:marRight w:val="0"/>
                  <w:marTop w:val="0"/>
                  <w:marBottom w:val="0"/>
                  <w:divBdr>
                    <w:top w:val="none" w:sz="0" w:space="0" w:color="auto"/>
                    <w:left w:val="none" w:sz="0" w:space="0" w:color="auto"/>
                    <w:bottom w:val="none" w:sz="0" w:space="0" w:color="auto"/>
                    <w:right w:val="none" w:sz="0" w:space="0" w:color="auto"/>
                  </w:divBdr>
                  <w:divsChild>
                    <w:div w:id="538010885">
                      <w:marLeft w:val="0"/>
                      <w:marRight w:val="0"/>
                      <w:marTop w:val="0"/>
                      <w:marBottom w:val="0"/>
                      <w:divBdr>
                        <w:top w:val="none" w:sz="0" w:space="0" w:color="auto"/>
                        <w:left w:val="none" w:sz="0" w:space="0" w:color="auto"/>
                        <w:bottom w:val="none" w:sz="0" w:space="0" w:color="auto"/>
                        <w:right w:val="none" w:sz="0" w:space="0" w:color="auto"/>
                      </w:divBdr>
                      <w:divsChild>
                        <w:div w:id="1313175481">
                          <w:marLeft w:val="0"/>
                          <w:marRight w:val="0"/>
                          <w:marTop w:val="0"/>
                          <w:marBottom w:val="0"/>
                          <w:divBdr>
                            <w:top w:val="none" w:sz="0" w:space="0" w:color="auto"/>
                            <w:left w:val="none" w:sz="0" w:space="0" w:color="auto"/>
                            <w:bottom w:val="none" w:sz="0" w:space="0" w:color="auto"/>
                            <w:right w:val="none" w:sz="0" w:space="0" w:color="auto"/>
                          </w:divBdr>
                          <w:divsChild>
                            <w:div w:id="1835678983">
                              <w:marLeft w:val="2700"/>
                              <w:marRight w:val="3960"/>
                              <w:marTop w:val="0"/>
                              <w:marBottom w:val="0"/>
                              <w:divBdr>
                                <w:top w:val="none" w:sz="0" w:space="0" w:color="auto"/>
                                <w:left w:val="none" w:sz="0" w:space="0" w:color="auto"/>
                                <w:bottom w:val="none" w:sz="0" w:space="0" w:color="auto"/>
                                <w:right w:val="none" w:sz="0" w:space="0" w:color="auto"/>
                              </w:divBdr>
                              <w:divsChild>
                                <w:div w:id="1824463056">
                                  <w:marLeft w:val="0"/>
                                  <w:marRight w:val="0"/>
                                  <w:marTop w:val="0"/>
                                  <w:marBottom w:val="0"/>
                                  <w:divBdr>
                                    <w:top w:val="none" w:sz="0" w:space="0" w:color="auto"/>
                                    <w:left w:val="none" w:sz="0" w:space="0" w:color="auto"/>
                                    <w:bottom w:val="none" w:sz="0" w:space="0" w:color="auto"/>
                                    <w:right w:val="none" w:sz="0" w:space="0" w:color="auto"/>
                                  </w:divBdr>
                                  <w:divsChild>
                                    <w:div w:id="667950221">
                                      <w:marLeft w:val="0"/>
                                      <w:marRight w:val="0"/>
                                      <w:marTop w:val="0"/>
                                      <w:marBottom w:val="0"/>
                                      <w:divBdr>
                                        <w:top w:val="none" w:sz="0" w:space="0" w:color="auto"/>
                                        <w:left w:val="none" w:sz="0" w:space="0" w:color="auto"/>
                                        <w:bottom w:val="none" w:sz="0" w:space="0" w:color="auto"/>
                                        <w:right w:val="none" w:sz="0" w:space="0" w:color="auto"/>
                                      </w:divBdr>
                                      <w:divsChild>
                                        <w:div w:id="1954362416">
                                          <w:marLeft w:val="0"/>
                                          <w:marRight w:val="0"/>
                                          <w:marTop w:val="0"/>
                                          <w:marBottom w:val="0"/>
                                          <w:divBdr>
                                            <w:top w:val="none" w:sz="0" w:space="0" w:color="auto"/>
                                            <w:left w:val="none" w:sz="0" w:space="0" w:color="auto"/>
                                            <w:bottom w:val="none" w:sz="0" w:space="0" w:color="auto"/>
                                            <w:right w:val="none" w:sz="0" w:space="0" w:color="auto"/>
                                          </w:divBdr>
                                          <w:divsChild>
                                            <w:div w:id="124541037">
                                              <w:marLeft w:val="0"/>
                                              <w:marRight w:val="0"/>
                                              <w:marTop w:val="90"/>
                                              <w:marBottom w:val="0"/>
                                              <w:divBdr>
                                                <w:top w:val="none" w:sz="0" w:space="0" w:color="auto"/>
                                                <w:left w:val="none" w:sz="0" w:space="0" w:color="auto"/>
                                                <w:bottom w:val="none" w:sz="0" w:space="0" w:color="auto"/>
                                                <w:right w:val="none" w:sz="0" w:space="0" w:color="auto"/>
                                              </w:divBdr>
                                              <w:divsChild>
                                                <w:div w:id="1841044892">
                                                  <w:marLeft w:val="0"/>
                                                  <w:marRight w:val="0"/>
                                                  <w:marTop w:val="0"/>
                                                  <w:marBottom w:val="405"/>
                                                  <w:divBdr>
                                                    <w:top w:val="none" w:sz="0" w:space="0" w:color="auto"/>
                                                    <w:left w:val="none" w:sz="0" w:space="0" w:color="auto"/>
                                                    <w:bottom w:val="none" w:sz="0" w:space="0" w:color="auto"/>
                                                    <w:right w:val="none" w:sz="0" w:space="0" w:color="auto"/>
                                                  </w:divBdr>
                                                  <w:divsChild>
                                                    <w:div w:id="94715100">
                                                      <w:marLeft w:val="0"/>
                                                      <w:marRight w:val="0"/>
                                                      <w:marTop w:val="0"/>
                                                      <w:marBottom w:val="0"/>
                                                      <w:divBdr>
                                                        <w:top w:val="none" w:sz="0" w:space="0" w:color="auto"/>
                                                        <w:left w:val="none" w:sz="0" w:space="0" w:color="auto"/>
                                                        <w:bottom w:val="none" w:sz="0" w:space="0" w:color="auto"/>
                                                        <w:right w:val="none" w:sz="0" w:space="0" w:color="auto"/>
                                                      </w:divBdr>
                                                      <w:divsChild>
                                                        <w:div w:id="2080252410">
                                                          <w:marLeft w:val="0"/>
                                                          <w:marRight w:val="0"/>
                                                          <w:marTop w:val="0"/>
                                                          <w:marBottom w:val="0"/>
                                                          <w:divBdr>
                                                            <w:top w:val="single" w:sz="6" w:space="0" w:color="DFE1E5"/>
                                                            <w:left w:val="single" w:sz="6" w:space="0" w:color="DFE1E5"/>
                                                            <w:bottom w:val="single" w:sz="6" w:space="0" w:color="DFE1E5"/>
                                                            <w:right w:val="single" w:sz="6" w:space="0" w:color="DFE1E5"/>
                                                          </w:divBdr>
                                                          <w:divsChild>
                                                            <w:div w:id="128981878">
                                                              <w:marLeft w:val="0"/>
                                                              <w:marRight w:val="0"/>
                                                              <w:marTop w:val="0"/>
                                                              <w:marBottom w:val="0"/>
                                                              <w:divBdr>
                                                                <w:top w:val="none" w:sz="0" w:space="0" w:color="auto"/>
                                                                <w:left w:val="none" w:sz="0" w:space="0" w:color="auto"/>
                                                                <w:bottom w:val="none" w:sz="0" w:space="0" w:color="auto"/>
                                                                <w:right w:val="none" w:sz="0" w:space="0" w:color="auto"/>
                                                              </w:divBdr>
                                                              <w:divsChild>
                                                                <w:div w:id="1702895141">
                                                                  <w:marLeft w:val="0"/>
                                                                  <w:marRight w:val="0"/>
                                                                  <w:marTop w:val="0"/>
                                                                  <w:marBottom w:val="0"/>
                                                                  <w:divBdr>
                                                                    <w:top w:val="none" w:sz="0" w:space="0" w:color="auto"/>
                                                                    <w:left w:val="none" w:sz="0" w:space="0" w:color="auto"/>
                                                                    <w:bottom w:val="none" w:sz="0" w:space="0" w:color="auto"/>
                                                                    <w:right w:val="none" w:sz="0" w:space="0" w:color="auto"/>
                                                                  </w:divBdr>
                                                                  <w:divsChild>
                                                                    <w:div w:id="593588798">
                                                                      <w:marLeft w:val="0"/>
                                                                      <w:marRight w:val="0"/>
                                                                      <w:marTop w:val="0"/>
                                                                      <w:marBottom w:val="0"/>
                                                                      <w:divBdr>
                                                                        <w:top w:val="none" w:sz="0" w:space="0" w:color="auto"/>
                                                                        <w:left w:val="none" w:sz="0" w:space="0" w:color="auto"/>
                                                                        <w:bottom w:val="none" w:sz="0" w:space="0" w:color="auto"/>
                                                                        <w:right w:val="none" w:sz="0" w:space="0" w:color="auto"/>
                                                                      </w:divBdr>
                                                                      <w:divsChild>
                                                                        <w:div w:id="313684924">
                                                                          <w:marLeft w:val="0"/>
                                                                          <w:marRight w:val="0"/>
                                                                          <w:marTop w:val="0"/>
                                                                          <w:marBottom w:val="0"/>
                                                                          <w:divBdr>
                                                                            <w:top w:val="none" w:sz="0" w:space="0" w:color="auto"/>
                                                                            <w:left w:val="none" w:sz="0" w:space="0" w:color="auto"/>
                                                                            <w:bottom w:val="none" w:sz="0" w:space="0" w:color="auto"/>
                                                                            <w:right w:val="none" w:sz="0" w:space="0" w:color="auto"/>
                                                                          </w:divBdr>
                                                                          <w:divsChild>
                                                                            <w:div w:id="1301418906">
                                                                              <w:marLeft w:val="0"/>
                                                                              <w:marRight w:val="0"/>
                                                                              <w:marTop w:val="0"/>
                                                                              <w:marBottom w:val="0"/>
                                                                              <w:divBdr>
                                                                                <w:top w:val="none" w:sz="0" w:space="0" w:color="auto"/>
                                                                                <w:left w:val="none" w:sz="0" w:space="0" w:color="auto"/>
                                                                                <w:bottom w:val="none" w:sz="0" w:space="0" w:color="auto"/>
                                                                                <w:right w:val="none" w:sz="0" w:space="0" w:color="auto"/>
                                                                              </w:divBdr>
                                                                              <w:divsChild>
                                                                                <w:div w:id="161506046">
                                                                                  <w:marLeft w:val="0"/>
                                                                                  <w:marRight w:val="0"/>
                                                                                  <w:marTop w:val="0"/>
                                                                                  <w:marBottom w:val="0"/>
                                                                                  <w:divBdr>
                                                                                    <w:top w:val="none" w:sz="0" w:space="0" w:color="auto"/>
                                                                                    <w:left w:val="none" w:sz="0" w:space="0" w:color="auto"/>
                                                                                    <w:bottom w:val="none" w:sz="0" w:space="0" w:color="auto"/>
                                                                                    <w:right w:val="none" w:sz="0" w:space="0" w:color="auto"/>
                                                                                  </w:divBdr>
                                                                                  <w:divsChild>
                                                                                    <w:div w:id="206637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1164050">
      <w:bodyDiv w:val="1"/>
      <w:marLeft w:val="0"/>
      <w:marRight w:val="0"/>
      <w:marTop w:val="0"/>
      <w:marBottom w:val="0"/>
      <w:divBdr>
        <w:top w:val="none" w:sz="0" w:space="0" w:color="auto"/>
        <w:left w:val="none" w:sz="0" w:space="0" w:color="auto"/>
        <w:bottom w:val="none" w:sz="0" w:space="0" w:color="auto"/>
        <w:right w:val="none" w:sz="0" w:space="0" w:color="auto"/>
      </w:divBdr>
      <w:divsChild>
        <w:div w:id="155388837">
          <w:marLeft w:val="0"/>
          <w:marRight w:val="0"/>
          <w:marTop w:val="0"/>
          <w:marBottom w:val="0"/>
          <w:divBdr>
            <w:top w:val="none" w:sz="0" w:space="0" w:color="auto"/>
            <w:left w:val="none" w:sz="0" w:space="0" w:color="auto"/>
            <w:bottom w:val="none" w:sz="0" w:space="0" w:color="auto"/>
            <w:right w:val="none" w:sz="0" w:space="0" w:color="auto"/>
          </w:divBdr>
          <w:divsChild>
            <w:div w:id="334309302">
              <w:marLeft w:val="0"/>
              <w:marRight w:val="0"/>
              <w:marTop w:val="0"/>
              <w:marBottom w:val="0"/>
              <w:divBdr>
                <w:top w:val="none" w:sz="0" w:space="0" w:color="auto"/>
                <w:left w:val="none" w:sz="0" w:space="0" w:color="auto"/>
                <w:bottom w:val="none" w:sz="0" w:space="0" w:color="auto"/>
                <w:right w:val="none" w:sz="0" w:space="0" w:color="auto"/>
              </w:divBdr>
              <w:divsChild>
                <w:div w:id="2074036737">
                  <w:marLeft w:val="0"/>
                  <w:marRight w:val="0"/>
                  <w:marTop w:val="0"/>
                  <w:marBottom w:val="0"/>
                  <w:divBdr>
                    <w:top w:val="none" w:sz="0" w:space="0" w:color="auto"/>
                    <w:left w:val="none" w:sz="0" w:space="0" w:color="auto"/>
                    <w:bottom w:val="none" w:sz="0" w:space="0" w:color="auto"/>
                    <w:right w:val="none" w:sz="0" w:space="0" w:color="auto"/>
                  </w:divBdr>
                  <w:divsChild>
                    <w:div w:id="1457991159">
                      <w:marLeft w:val="0"/>
                      <w:marRight w:val="0"/>
                      <w:marTop w:val="0"/>
                      <w:marBottom w:val="0"/>
                      <w:divBdr>
                        <w:top w:val="none" w:sz="0" w:space="0" w:color="auto"/>
                        <w:left w:val="none" w:sz="0" w:space="0" w:color="auto"/>
                        <w:bottom w:val="none" w:sz="0" w:space="0" w:color="auto"/>
                        <w:right w:val="none" w:sz="0" w:space="0" w:color="auto"/>
                      </w:divBdr>
                      <w:divsChild>
                        <w:div w:id="248777694">
                          <w:marLeft w:val="0"/>
                          <w:marRight w:val="0"/>
                          <w:marTop w:val="0"/>
                          <w:marBottom w:val="0"/>
                          <w:divBdr>
                            <w:top w:val="none" w:sz="0" w:space="0" w:color="auto"/>
                            <w:left w:val="none" w:sz="0" w:space="0" w:color="auto"/>
                            <w:bottom w:val="none" w:sz="0" w:space="0" w:color="auto"/>
                            <w:right w:val="none" w:sz="0" w:space="0" w:color="auto"/>
                          </w:divBdr>
                          <w:divsChild>
                            <w:div w:id="1725180648">
                              <w:marLeft w:val="2700"/>
                              <w:marRight w:val="3960"/>
                              <w:marTop w:val="0"/>
                              <w:marBottom w:val="0"/>
                              <w:divBdr>
                                <w:top w:val="none" w:sz="0" w:space="0" w:color="auto"/>
                                <w:left w:val="none" w:sz="0" w:space="0" w:color="auto"/>
                                <w:bottom w:val="none" w:sz="0" w:space="0" w:color="auto"/>
                                <w:right w:val="none" w:sz="0" w:space="0" w:color="auto"/>
                              </w:divBdr>
                              <w:divsChild>
                                <w:div w:id="1724521326">
                                  <w:marLeft w:val="0"/>
                                  <w:marRight w:val="0"/>
                                  <w:marTop w:val="0"/>
                                  <w:marBottom w:val="0"/>
                                  <w:divBdr>
                                    <w:top w:val="none" w:sz="0" w:space="0" w:color="auto"/>
                                    <w:left w:val="none" w:sz="0" w:space="0" w:color="auto"/>
                                    <w:bottom w:val="none" w:sz="0" w:space="0" w:color="auto"/>
                                    <w:right w:val="none" w:sz="0" w:space="0" w:color="auto"/>
                                  </w:divBdr>
                                  <w:divsChild>
                                    <w:div w:id="981278635">
                                      <w:marLeft w:val="0"/>
                                      <w:marRight w:val="0"/>
                                      <w:marTop w:val="0"/>
                                      <w:marBottom w:val="0"/>
                                      <w:divBdr>
                                        <w:top w:val="none" w:sz="0" w:space="0" w:color="auto"/>
                                        <w:left w:val="none" w:sz="0" w:space="0" w:color="auto"/>
                                        <w:bottom w:val="none" w:sz="0" w:space="0" w:color="auto"/>
                                        <w:right w:val="none" w:sz="0" w:space="0" w:color="auto"/>
                                      </w:divBdr>
                                      <w:divsChild>
                                        <w:div w:id="1013188033">
                                          <w:marLeft w:val="0"/>
                                          <w:marRight w:val="0"/>
                                          <w:marTop w:val="0"/>
                                          <w:marBottom w:val="0"/>
                                          <w:divBdr>
                                            <w:top w:val="none" w:sz="0" w:space="0" w:color="auto"/>
                                            <w:left w:val="none" w:sz="0" w:space="0" w:color="auto"/>
                                            <w:bottom w:val="none" w:sz="0" w:space="0" w:color="auto"/>
                                            <w:right w:val="none" w:sz="0" w:space="0" w:color="auto"/>
                                          </w:divBdr>
                                          <w:divsChild>
                                            <w:div w:id="281226098">
                                              <w:marLeft w:val="0"/>
                                              <w:marRight w:val="0"/>
                                              <w:marTop w:val="90"/>
                                              <w:marBottom w:val="0"/>
                                              <w:divBdr>
                                                <w:top w:val="none" w:sz="0" w:space="0" w:color="auto"/>
                                                <w:left w:val="none" w:sz="0" w:space="0" w:color="auto"/>
                                                <w:bottom w:val="none" w:sz="0" w:space="0" w:color="auto"/>
                                                <w:right w:val="none" w:sz="0" w:space="0" w:color="auto"/>
                                              </w:divBdr>
                                              <w:divsChild>
                                                <w:div w:id="106973920">
                                                  <w:marLeft w:val="0"/>
                                                  <w:marRight w:val="0"/>
                                                  <w:marTop w:val="0"/>
                                                  <w:marBottom w:val="405"/>
                                                  <w:divBdr>
                                                    <w:top w:val="none" w:sz="0" w:space="0" w:color="auto"/>
                                                    <w:left w:val="none" w:sz="0" w:space="0" w:color="auto"/>
                                                    <w:bottom w:val="none" w:sz="0" w:space="0" w:color="auto"/>
                                                    <w:right w:val="none" w:sz="0" w:space="0" w:color="auto"/>
                                                  </w:divBdr>
                                                  <w:divsChild>
                                                    <w:div w:id="765073256">
                                                      <w:marLeft w:val="0"/>
                                                      <w:marRight w:val="0"/>
                                                      <w:marTop w:val="0"/>
                                                      <w:marBottom w:val="0"/>
                                                      <w:divBdr>
                                                        <w:top w:val="none" w:sz="0" w:space="0" w:color="auto"/>
                                                        <w:left w:val="none" w:sz="0" w:space="0" w:color="auto"/>
                                                        <w:bottom w:val="none" w:sz="0" w:space="0" w:color="auto"/>
                                                        <w:right w:val="none" w:sz="0" w:space="0" w:color="auto"/>
                                                      </w:divBdr>
                                                      <w:divsChild>
                                                        <w:div w:id="1321496952">
                                                          <w:marLeft w:val="0"/>
                                                          <w:marRight w:val="0"/>
                                                          <w:marTop w:val="0"/>
                                                          <w:marBottom w:val="0"/>
                                                          <w:divBdr>
                                                            <w:top w:val="single" w:sz="6" w:space="0" w:color="DFE1E5"/>
                                                            <w:left w:val="single" w:sz="6" w:space="0" w:color="DFE1E5"/>
                                                            <w:bottom w:val="single" w:sz="6" w:space="0" w:color="DFE1E5"/>
                                                            <w:right w:val="single" w:sz="6" w:space="0" w:color="DFE1E5"/>
                                                          </w:divBdr>
                                                          <w:divsChild>
                                                            <w:div w:id="386488992">
                                                              <w:marLeft w:val="0"/>
                                                              <w:marRight w:val="0"/>
                                                              <w:marTop w:val="0"/>
                                                              <w:marBottom w:val="0"/>
                                                              <w:divBdr>
                                                                <w:top w:val="none" w:sz="0" w:space="0" w:color="auto"/>
                                                                <w:left w:val="none" w:sz="0" w:space="0" w:color="auto"/>
                                                                <w:bottom w:val="none" w:sz="0" w:space="0" w:color="auto"/>
                                                                <w:right w:val="none" w:sz="0" w:space="0" w:color="auto"/>
                                                              </w:divBdr>
                                                              <w:divsChild>
                                                                <w:div w:id="766002285">
                                                                  <w:marLeft w:val="0"/>
                                                                  <w:marRight w:val="0"/>
                                                                  <w:marTop w:val="0"/>
                                                                  <w:marBottom w:val="0"/>
                                                                  <w:divBdr>
                                                                    <w:top w:val="none" w:sz="0" w:space="0" w:color="auto"/>
                                                                    <w:left w:val="none" w:sz="0" w:space="0" w:color="auto"/>
                                                                    <w:bottom w:val="none" w:sz="0" w:space="0" w:color="auto"/>
                                                                    <w:right w:val="none" w:sz="0" w:space="0" w:color="auto"/>
                                                                  </w:divBdr>
                                                                  <w:divsChild>
                                                                    <w:div w:id="475337460">
                                                                      <w:marLeft w:val="0"/>
                                                                      <w:marRight w:val="0"/>
                                                                      <w:marTop w:val="0"/>
                                                                      <w:marBottom w:val="0"/>
                                                                      <w:divBdr>
                                                                        <w:top w:val="none" w:sz="0" w:space="0" w:color="auto"/>
                                                                        <w:left w:val="none" w:sz="0" w:space="0" w:color="auto"/>
                                                                        <w:bottom w:val="none" w:sz="0" w:space="0" w:color="auto"/>
                                                                        <w:right w:val="none" w:sz="0" w:space="0" w:color="auto"/>
                                                                      </w:divBdr>
                                                                      <w:divsChild>
                                                                        <w:div w:id="2112505007">
                                                                          <w:marLeft w:val="0"/>
                                                                          <w:marRight w:val="0"/>
                                                                          <w:marTop w:val="0"/>
                                                                          <w:marBottom w:val="0"/>
                                                                          <w:divBdr>
                                                                            <w:top w:val="none" w:sz="0" w:space="0" w:color="auto"/>
                                                                            <w:left w:val="none" w:sz="0" w:space="0" w:color="auto"/>
                                                                            <w:bottom w:val="none" w:sz="0" w:space="0" w:color="auto"/>
                                                                            <w:right w:val="none" w:sz="0" w:space="0" w:color="auto"/>
                                                                          </w:divBdr>
                                                                          <w:divsChild>
                                                                            <w:div w:id="863596705">
                                                                              <w:marLeft w:val="0"/>
                                                                              <w:marRight w:val="0"/>
                                                                              <w:marTop w:val="0"/>
                                                                              <w:marBottom w:val="0"/>
                                                                              <w:divBdr>
                                                                                <w:top w:val="none" w:sz="0" w:space="0" w:color="auto"/>
                                                                                <w:left w:val="none" w:sz="0" w:space="0" w:color="auto"/>
                                                                                <w:bottom w:val="none" w:sz="0" w:space="0" w:color="auto"/>
                                                                                <w:right w:val="none" w:sz="0" w:space="0" w:color="auto"/>
                                                                              </w:divBdr>
                                                                              <w:divsChild>
                                                                                <w:div w:id="127627547">
                                                                                  <w:marLeft w:val="0"/>
                                                                                  <w:marRight w:val="0"/>
                                                                                  <w:marTop w:val="0"/>
                                                                                  <w:marBottom w:val="0"/>
                                                                                  <w:divBdr>
                                                                                    <w:top w:val="none" w:sz="0" w:space="0" w:color="auto"/>
                                                                                    <w:left w:val="none" w:sz="0" w:space="0" w:color="auto"/>
                                                                                    <w:bottom w:val="none" w:sz="0" w:space="0" w:color="auto"/>
                                                                                    <w:right w:val="none" w:sz="0" w:space="0" w:color="auto"/>
                                                                                  </w:divBdr>
                                                                                  <w:divsChild>
                                                                                    <w:div w:id="20870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367509">
      <w:bodyDiv w:val="1"/>
      <w:marLeft w:val="0"/>
      <w:marRight w:val="0"/>
      <w:marTop w:val="0"/>
      <w:marBottom w:val="0"/>
      <w:divBdr>
        <w:top w:val="none" w:sz="0" w:space="0" w:color="auto"/>
        <w:left w:val="none" w:sz="0" w:space="0" w:color="auto"/>
        <w:bottom w:val="none" w:sz="0" w:space="0" w:color="auto"/>
        <w:right w:val="none" w:sz="0" w:space="0" w:color="auto"/>
      </w:divBdr>
      <w:divsChild>
        <w:div w:id="709765074">
          <w:marLeft w:val="0"/>
          <w:marRight w:val="0"/>
          <w:marTop w:val="0"/>
          <w:marBottom w:val="0"/>
          <w:divBdr>
            <w:top w:val="none" w:sz="0" w:space="0" w:color="auto"/>
            <w:left w:val="none" w:sz="0" w:space="0" w:color="auto"/>
            <w:bottom w:val="none" w:sz="0" w:space="0" w:color="auto"/>
            <w:right w:val="none" w:sz="0" w:space="0" w:color="auto"/>
          </w:divBdr>
          <w:divsChild>
            <w:div w:id="777985567">
              <w:marLeft w:val="0"/>
              <w:marRight w:val="0"/>
              <w:marTop w:val="0"/>
              <w:marBottom w:val="0"/>
              <w:divBdr>
                <w:top w:val="none" w:sz="0" w:space="0" w:color="auto"/>
                <w:left w:val="none" w:sz="0" w:space="0" w:color="auto"/>
                <w:bottom w:val="none" w:sz="0" w:space="0" w:color="auto"/>
                <w:right w:val="none" w:sz="0" w:space="0" w:color="auto"/>
              </w:divBdr>
              <w:divsChild>
                <w:div w:id="1522892166">
                  <w:marLeft w:val="0"/>
                  <w:marRight w:val="0"/>
                  <w:marTop w:val="0"/>
                  <w:marBottom w:val="0"/>
                  <w:divBdr>
                    <w:top w:val="none" w:sz="0" w:space="0" w:color="auto"/>
                    <w:left w:val="none" w:sz="0" w:space="0" w:color="auto"/>
                    <w:bottom w:val="none" w:sz="0" w:space="0" w:color="auto"/>
                    <w:right w:val="none" w:sz="0" w:space="0" w:color="auto"/>
                  </w:divBdr>
                  <w:divsChild>
                    <w:div w:id="330568224">
                      <w:marLeft w:val="0"/>
                      <w:marRight w:val="0"/>
                      <w:marTop w:val="0"/>
                      <w:marBottom w:val="0"/>
                      <w:divBdr>
                        <w:top w:val="none" w:sz="0" w:space="0" w:color="auto"/>
                        <w:left w:val="none" w:sz="0" w:space="0" w:color="auto"/>
                        <w:bottom w:val="none" w:sz="0" w:space="0" w:color="auto"/>
                        <w:right w:val="none" w:sz="0" w:space="0" w:color="auto"/>
                      </w:divBdr>
                      <w:divsChild>
                        <w:div w:id="608394243">
                          <w:marLeft w:val="0"/>
                          <w:marRight w:val="0"/>
                          <w:marTop w:val="0"/>
                          <w:marBottom w:val="0"/>
                          <w:divBdr>
                            <w:top w:val="none" w:sz="0" w:space="0" w:color="auto"/>
                            <w:left w:val="none" w:sz="0" w:space="0" w:color="auto"/>
                            <w:bottom w:val="none" w:sz="0" w:space="0" w:color="auto"/>
                            <w:right w:val="none" w:sz="0" w:space="0" w:color="auto"/>
                          </w:divBdr>
                          <w:divsChild>
                            <w:div w:id="643050513">
                              <w:marLeft w:val="2700"/>
                              <w:marRight w:val="3960"/>
                              <w:marTop w:val="0"/>
                              <w:marBottom w:val="0"/>
                              <w:divBdr>
                                <w:top w:val="none" w:sz="0" w:space="0" w:color="auto"/>
                                <w:left w:val="none" w:sz="0" w:space="0" w:color="auto"/>
                                <w:bottom w:val="none" w:sz="0" w:space="0" w:color="auto"/>
                                <w:right w:val="none" w:sz="0" w:space="0" w:color="auto"/>
                              </w:divBdr>
                              <w:divsChild>
                                <w:div w:id="1227104403">
                                  <w:marLeft w:val="0"/>
                                  <w:marRight w:val="0"/>
                                  <w:marTop w:val="0"/>
                                  <w:marBottom w:val="0"/>
                                  <w:divBdr>
                                    <w:top w:val="none" w:sz="0" w:space="0" w:color="auto"/>
                                    <w:left w:val="none" w:sz="0" w:space="0" w:color="auto"/>
                                    <w:bottom w:val="none" w:sz="0" w:space="0" w:color="auto"/>
                                    <w:right w:val="none" w:sz="0" w:space="0" w:color="auto"/>
                                  </w:divBdr>
                                  <w:divsChild>
                                    <w:div w:id="1491215197">
                                      <w:marLeft w:val="0"/>
                                      <w:marRight w:val="0"/>
                                      <w:marTop w:val="0"/>
                                      <w:marBottom w:val="0"/>
                                      <w:divBdr>
                                        <w:top w:val="none" w:sz="0" w:space="0" w:color="auto"/>
                                        <w:left w:val="none" w:sz="0" w:space="0" w:color="auto"/>
                                        <w:bottom w:val="none" w:sz="0" w:space="0" w:color="auto"/>
                                        <w:right w:val="none" w:sz="0" w:space="0" w:color="auto"/>
                                      </w:divBdr>
                                      <w:divsChild>
                                        <w:div w:id="1418013494">
                                          <w:marLeft w:val="0"/>
                                          <w:marRight w:val="0"/>
                                          <w:marTop w:val="0"/>
                                          <w:marBottom w:val="0"/>
                                          <w:divBdr>
                                            <w:top w:val="none" w:sz="0" w:space="0" w:color="auto"/>
                                            <w:left w:val="none" w:sz="0" w:space="0" w:color="auto"/>
                                            <w:bottom w:val="none" w:sz="0" w:space="0" w:color="auto"/>
                                            <w:right w:val="none" w:sz="0" w:space="0" w:color="auto"/>
                                          </w:divBdr>
                                          <w:divsChild>
                                            <w:div w:id="898904747">
                                              <w:marLeft w:val="0"/>
                                              <w:marRight w:val="0"/>
                                              <w:marTop w:val="90"/>
                                              <w:marBottom w:val="0"/>
                                              <w:divBdr>
                                                <w:top w:val="none" w:sz="0" w:space="0" w:color="auto"/>
                                                <w:left w:val="none" w:sz="0" w:space="0" w:color="auto"/>
                                                <w:bottom w:val="none" w:sz="0" w:space="0" w:color="auto"/>
                                                <w:right w:val="none" w:sz="0" w:space="0" w:color="auto"/>
                                              </w:divBdr>
                                              <w:divsChild>
                                                <w:div w:id="1705445311">
                                                  <w:marLeft w:val="0"/>
                                                  <w:marRight w:val="0"/>
                                                  <w:marTop w:val="0"/>
                                                  <w:marBottom w:val="405"/>
                                                  <w:divBdr>
                                                    <w:top w:val="none" w:sz="0" w:space="0" w:color="auto"/>
                                                    <w:left w:val="none" w:sz="0" w:space="0" w:color="auto"/>
                                                    <w:bottom w:val="none" w:sz="0" w:space="0" w:color="auto"/>
                                                    <w:right w:val="none" w:sz="0" w:space="0" w:color="auto"/>
                                                  </w:divBdr>
                                                  <w:divsChild>
                                                    <w:div w:id="2102217963">
                                                      <w:marLeft w:val="0"/>
                                                      <w:marRight w:val="0"/>
                                                      <w:marTop w:val="0"/>
                                                      <w:marBottom w:val="0"/>
                                                      <w:divBdr>
                                                        <w:top w:val="none" w:sz="0" w:space="0" w:color="auto"/>
                                                        <w:left w:val="none" w:sz="0" w:space="0" w:color="auto"/>
                                                        <w:bottom w:val="none" w:sz="0" w:space="0" w:color="auto"/>
                                                        <w:right w:val="none" w:sz="0" w:space="0" w:color="auto"/>
                                                      </w:divBdr>
                                                      <w:divsChild>
                                                        <w:div w:id="989096470">
                                                          <w:marLeft w:val="0"/>
                                                          <w:marRight w:val="0"/>
                                                          <w:marTop w:val="0"/>
                                                          <w:marBottom w:val="0"/>
                                                          <w:divBdr>
                                                            <w:top w:val="single" w:sz="6" w:space="0" w:color="DFE1E5"/>
                                                            <w:left w:val="single" w:sz="6" w:space="0" w:color="DFE1E5"/>
                                                            <w:bottom w:val="single" w:sz="6" w:space="0" w:color="DFE1E5"/>
                                                            <w:right w:val="single" w:sz="6" w:space="0" w:color="DFE1E5"/>
                                                          </w:divBdr>
                                                          <w:divsChild>
                                                            <w:div w:id="33384870">
                                                              <w:marLeft w:val="0"/>
                                                              <w:marRight w:val="0"/>
                                                              <w:marTop w:val="0"/>
                                                              <w:marBottom w:val="0"/>
                                                              <w:divBdr>
                                                                <w:top w:val="none" w:sz="0" w:space="0" w:color="auto"/>
                                                                <w:left w:val="none" w:sz="0" w:space="0" w:color="auto"/>
                                                                <w:bottom w:val="none" w:sz="0" w:space="0" w:color="auto"/>
                                                                <w:right w:val="none" w:sz="0" w:space="0" w:color="auto"/>
                                                              </w:divBdr>
                                                              <w:divsChild>
                                                                <w:div w:id="1716003662">
                                                                  <w:marLeft w:val="0"/>
                                                                  <w:marRight w:val="0"/>
                                                                  <w:marTop w:val="0"/>
                                                                  <w:marBottom w:val="0"/>
                                                                  <w:divBdr>
                                                                    <w:top w:val="none" w:sz="0" w:space="0" w:color="auto"/>
                                                                    <w:left w:val="none" w:sz="0" w:space="0" w:color="auto"/>
                                                                    <w:bottom w:val="none" w:sz="0" w:space="0" w:color="auto"/>
                                                                    <w:right w:val="none" w:sz="0" w:space="0" w:color="auto"/>
                                                                  </w:divBdr>
                                                                  <w:divsChild>
                                                                    <w:div w:id="1435636063">
                                                                      <w:marLeft w:val="0"/>
                                                                      <w:marRight w:val="0"/>
                                                                      <w:marTop w:val="0"/>
                                                                      <w:marBottom w:val="0"/>
                                                                      <w:divBdr>
                                                                        <w:top w:val="none" w:sz="0" w:space="0" w:color="auto"/>
                                                                        <w:left w:val="none" w:sz="0" w:space="0" w:color="auto"/>
                                                                        <w:bottom w:val="none" w:sz="0" w:space="0" w:color="auto"/>
                                                                        <w:right w:val="none" w:sz="0" w:space="0" w:color="auto"/>
                                                                      </w:divBdr>
                                                                      <w:divsChild>
                                                                        <w:div w:id="1825273059">
                                                                          <w:marLeft w:val="0"/>
                                                                          <w:marRight w:val="0"/>
                                                                          <w:marTop w:val="0"/>
                                                                          <w:marBottom w:val="0"/>
                                                                          <w:divBdr>
                                                                            <w:top w:val="none" w:sz="0" w:space="0" w:color="auto"/>
                                                                            <w:left w:val="none" w:sz="0" w:space="0" w:color="auto"/>
                                                                            <w:bottom w:val="none" w:sz="0" w:space="0" w:color="auto"/>
                                                                            <w:right w:val="none" w:sz="0" w:space="0" w:color="auto"/>
                                                                          </w:divBdr>
                                                                          <w:divsChild>
                                                                            <w:div w:id="1648434131">
                                                                              <w:marLeft w:val="0"/>
                                                                              <w:marRight w:val="0"/>
                                                                              <w:marTop w:val="0"/>
                                                                              <w:marBottom w:val="0"/>
                                                                              <w:divBdr>
                                                                                <w:top w:val="none" w:sz="0" w:space="0" w:color="auto"/>
                                                                                <w:left w:val="none" w:sz="0" w:space="0" w:color="auto"/>
                                                                                <w:bottom w:val="none" w:sz="0" w:space="0" w:color="auto"/>
                                                                                <w:right w:val="none" w:sz="0" w:space="0" w:color="auto"/>
                                                                              </w:divBdr>
                                                                              <w:divsChild>
                                                                                <w:div w:id="463699509">
                                                                                  <w:marLeft w:val="0"/>
                                                                                  <w:marRight w:val="0"/>
                                                                                  <w:marTop w:val="0"/>
                                                                                  <w:marBottom w:val="0"/>
                                                                                  <w:divBdr>
                                                                                    <w:top w:val="none" w:sz="0" w:space="0" w:color="auto"/>
                                                                                    <w:left w:val="none" w:sz="0" w:space="0" w:color="auto"/>
                                                                                    <w:bottom w:val="none" w:sz="0" w:space="0" w:color="auto"/>
                                                                                    <w:right w:val="none" w:sz="0" w:space="0" w:color="auto"/>
                                                                                  </w:divBdr>
                                                                                  <w:divsChild>
                                                                                    <w:div w:id="46250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909174">
      <w:bodyDiv w:val="1"/>
      <w:marLeft w:val="0"/>
      <w:marRight w:val="0"/>
      <w:marTop w:val="0"/>
      <w:marBottom w:val="0"/>
      <w:divBdr>
        <w:top w:val="none" w:sz="0" w:space="0" w:color="auto"/>
        <w:left w:val="none" w:sz="0" w:space="0" w:color="auto"/>
        <w:bottom w:val="none" w:sz="0" w:space="0" w:color="auto"/>
        <w:right w:val="none" w:sz="0" w:space="0" w:color="auto"/>
      </w:divBdr>
    </w:div>
    <w:div w:id="961036699">
      <w:bodyDiv w:val="1"/>
      <w:marLeft w:val="0"/>
      <w:marRight w:val="0"/>
      <w:marTop w:val="0"/>
      <w:marBottom w:val="0"/>
      <w:divBdr>
        <w:top w:val="none" w:sz="0" w:space="0" w:color="auto"/>
        <w:left w:val="none" w:sz="0" w:space="0" w:color="auto"/>
        <w:bottom w:val="none" w:sz="0" w:space="0" w:color="auto"/>
        <w:right w:val="none" w:sz="0" w:space="0" w:color="auto"/>
      </w:divBdr>
      <w:divsChild>
        <w:div w:id="635989567">
          <w:marLeft w:val="0"/>
          <w:marRight w:val="0"/>
          <w:marTop w:val="0"/>
          <w:marBottom w:val="0"/>
          <w:divBdr>
            <w:top w:val="none" w:sz="0" w:space="0" w:color="auto"/>
            <w:left w:val="none" w:sz="0" w:space="0" w:color="auto"/>
            <w:bottom w:val="none" w:sz="0" w:space="0" w:color="auto"/>
            <w:right w:val="none" w:sz="0" w:space="0" w:color="auto"/>
          </w:divBdr>
          <w:divsChild>
            <w:div w:id="2035573387">
              <w:marLeft w:val="0"/>
              <w:marRight w:val="0"/>
              <w:marTop w:val="0"/>
              <w:marBottom w:val="0"/>
              <w:divBdr>
                <w:top w:val="none" w:sz="0" w:space="0" w:color="auto"/>
                <w:left w:val="none" w:sz="0" w:space="0" w:color="auto"/>
                <w:bottom w:val="none" w:sz="0" w:space="0" w:color="auto"/>
                <w:right w:val="none" w:sz="0" w:space="0" w:color="auto"/>
              </w:divBdr>
              <w:divsChild>
                <w:div w:id="390616537">
                  <w:marLeft w:val="0"/>
                  <w:marRight w:val="0"/>
                  <w:marTop w:val="0"/>
                  <w:marBottom w:val="0"/>
                  <w:divBdr>
                    <w:top w:val="none" w:sz="0" w:space="0" w:color="auto"/>
                    <w:left w:val="none" w:sz="0" w:space="0" w:color="auto"/>
                    <w:bottom w:val="none" w:sz="0" w:space="0" w:color="auto"/>
                    <w:right w:val="none" w:sz="0" w:space="0" w:color="auto"/>
                  </w:divBdr>
                  <w:divsChild>
                    <w:div w:id="199561905">
                      <w:marLeft w:val="0"/>
                      <w:marRight w:val="0"/>
                      <w:marTop w:val="0"/>
                      <w:marBottom w:val="0"/>
                      <w:divBdr>
                        <w:top w:val="none" w:sz="0" w:space="0" w:color="auto"/>
                        <w:left w:val="none" w:sz="0" w:space="0" w:color="auto"/>
                        <w:bottom w:val="none" w:sz="0" w:space="0" w:color="auto"/>
                        <w:right w:val="none" w:sz="0" w:space="0" w:color="auto"/>
                      </w:divBdr>
                      <w:divsChild>
                        <w:div w:id="845486065">
                          <w:marLeft w:val="0"/>
                          <w:marRight w:val="0"/>
                          <w:marTop w:val="0"/>
                          <w:marBottom w:val="0"/>
                          <w:divBdr>
                            <w:top w:val="none" w:sz="0" w:space="0" w:color="auto"/>
                            <w:left w:val="none" w:sz="0" w:space="0" w:color="auto"/>
                            <w:bottom w:val="none" w:sz="0" w:space="0" w:color="auto"/>
                            <w:right w:val="none" w:sz="0" w:space="0" w:color="auto"/>
                          </w:divBdr>
                          <w:divsChild>
                            <w:div w:id="1994219531">
                              <w:marLeft w:val="0"/>
                              <w:marRight w:val="300"/>
                              <w:marTop w:val="180"/>
                              <w:marBottom w:val="0"/>
                              <w:divBdr>
                                <w:top w:val="none" w:sz="0" w:space="0" w:color="auto"/>
                                <w:left w:val="none" w:sz="0" w:space="0" w:color="auto"/>
                                <w:bottom w:val="none" w:sz="0" w:space="0" w:color="auto"/>
                                <w:right w:val="none" w:sz="0" w:space="0" w:color="auto"/>
                              </w:divBdr>
                              <w:divsChild>
                                <w:div w:id="73585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178478">
          <w:marLeft w:val="0"/>
          <w:marRight w:val="0"/>
          <w:marTop w:val="0"/>
          <w:marBottom w:val="0"/>
          <w:divBdr>
            <w:top w:val="none" w:sz="0" w:space="0" w:color="auto"/>
            <w:left w:val="none" w:sz="0" w:space="0" w:color="auto"/>
            <w:bottom w:val="none" w:sz="0" w:space="0" w:color="auto"/>
            <w:right w:val="none" w:sz="0" w:space="0" w:color="auto"/>
          </w:divBdr>
          <w:divsChild>
            <w:div w:id="651834048">
              <w:marLeft w:val="0"/>
              <w:marRight w:val="0"/>
              <w:marTop w:val="0"/>
              <w:marBottom w:val="0"/>
              <w:divBdr>
                <w:top w:val="none" w:sz="0" w:space="0" w:color="auto"/>
                <w:left w:val="none" w:sz="0" w:space="0" w:color="auto"/>
                <w:bottom w:val="none" w:sz="0" w:space="0" w:color="auto"/>
                <w:right w:val="none" w:sz="0" w:space="0" w:color="auto"/>
              </w:divBdr>
              <w:divsChild>
                <w:div w:id="1504274680">
                  <w:marLeft w:val="0"/>
                  <w:marRight w:val="0"/>
                  <w:marTop w:val="0"/>
                  <w:marBottom w:val="0"/>
                  <w:divBdr>
                    <w:top w:val="none" w:sz="0" w:space="0" w:color="auto"/>
                    <w:left w:val="none" w:sz="0" w:space="0" w:color="auto"/>
                    <w:bottom w:val="none" w:sz="0" w:space="0" w:color="auto"/>
                    <w:right w:val="none" w:sz="0" w:space="0" w:color="auto"/>
                  </w:divBdr>
                  <w:divsChild>
                    <w:div w:id="1657759346">
                      <w:marLeft w:val="0"/>
                      <w:marRight w:val="0"/>
                      <w:marTop w:val="0"/>
                      <w:marBottom w:val="0"/>
                      <w:divBdr>
                        <w:top w:val="none" w:sz="0" w:space="0" w:color="auto"/>
                        <w:left w:val="none" w:sz="0" w:space="0" w:color="auto"/>
                        <w:bottom w:val="none" w:sz="0" w:space="0" w:color="auto"/>
                        <w:right w:val="none" w:sz="0" w:space="0" w:color="auto"/>
                      </w:divBdr>
                      <w:divsChild>
                        <w:div w:id="588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043081">
      <w:bodyDiv w:val="1"/>
      <w:marLeft w:val="0"/>
      <w:marRight w:val="0"/>
      <w:marTop w:val="0"/>
      <w:marBottom w:val="0"/>
      <w:divBdr>
        <w:top w:val="none" w:sz="0" w:space="0" w:color="auto"/>
        <w:left w:val="none" w:sz="0" w:space="0" w:color="auto"/>
        <w:bottom w:val="none" w:sz="0" w:space="0" w:color="auto"/>
        <w:right w:val="none" w:sz="0" w:space="0" w:color="auto"/>
      </w:divBdr>
    </w:div>
    <w:div w:id="964510229">
      <w:bodyDiv w:val="1"/>
      <w:marLeft w:val="0"/>
      <w:marRight w:val="0"/>
      <w:marTop w:val="0"/>
      <w:marBottom w:val="0"/>
      <w:divBdr>
        <w:top w:val="none" w:sz="0" w:space="0" w:color="auto"/>
        <w:left w:val="none" w:sz="0" w:space="0" w:color="auto"/>
        <w:bottom w:val="none" w:sz="0" w:space="0" w:color="auto"/>
        <w:right w:val="none" w:sz="0" w:space="0" w:color="auto"/>
      </w:divBdr>
      <w:divsChild>
        <w:div w:id="1138719641">
          <w:marLeft w:val="0"/>
          <w:marRight w:val="0"/>
          <w:marTop w:val="0"/>
          <w:marBottom w:val="0"/>
          <w:divBdr>
            <w:top w:val="none" w:sz="0" w:space="0" w:color="auto"/>
            <w:left w:val="none" w:sz="0" w:space="0" w:color="auto"/>
            <w:bottom w:val="none" w:sz="0" w:space="0" w:color="auto"/>
            <w:right w:val="none" w:sz="0" w:space="0" w:color="auto"/>
          </w:divBdr>
          <w:divsChild>
            <w:div w:id="780106355">
              <w:marLeft w:val="0"/>
              <w:marRight w:val="0"/>
              <w:marTop w:val="0"/>
              <w:marBottom w:val="0"/>
              <w:divBdr>
                <w:top w:val="none" w:sz="0" w:space="0" w:color="auto"/>
                <w:left w:val="none" w:sz="0" w:space="0" w:color="auto"/>
                <w:bottom w:val="none" w:sz="0" w:space="0" w:color="auto"/>
                <w:right w:val="none" w:sz="0" w:space="0" w:color="auto"/>
              </w:divBdr>
              <w:divsChild>
                <w:div w:id="702482667">
                  <w:marLeft w:val="0"/>
                  <w:marRight w:val="0"/>
                  <w:marTop w:val="0"/>
                  <w:marBottom w:val="0"/>
                  <w:divBdr>
                    <w:top w:val="none" w:sz="0" w:space="0" w:color="auto"/>
                    <w:left w:val="none" w:sz="0" w:space="0" w:color="auto"/>
                    <w:bottom w:val="none" w:sz="0" w:space="0" w:color="auto"/>
                    <w:right w:val="none" w:sz="0" w:space="0" w:color="auto"/>
                  </w:divBdr>
                  <w:divsChild>
                    <w:div w:id="403918528">
                      <w:marLeft w:val="0"/>
                      <w:marRight w:val="0"/>
                      <w:marTop w:val="0"/>
                      <w:marBottom w:val="0"/>
                      <w:divBdr>
                        <w:top w:val="none" w:sz="0" w:space="0" w:color="auto"/>
                        <w:left w:val="none" w:sz="0" w:space="0" w:color="auto"/>
                        <w:bottom w:val="none" w:sz="0" w:space="0" w:color="auto"/>
                        <w:right w:val="none" w:sz="0" w:space="0" w:color="auto"/>
                      </w:divBdr>
                      <w:divsChild>
                        <w:div w:id="1665741384">
                          <w:marLeft w:val="0"/>
                          <w:marRight w:val="0"/>
                          <w:marTop w:val="0"/>
                          <w:marBottom w:val="0"/>
                          <w:divBdr>
                            <w:top w:val="none" w:sz="0" w:space="0" w:color="auto"/>
                            <w:left w:val="none" w:sz="0" w:space="0" w:color="auto"/>
                            <w:bottom w:val="none" w:sz="0" w:space="0" w:color="auto"/>
                            <w:right w:val="none" w:sz="0" w:space="0" w:color="auto"/>
                          </w:divBdr>
                          <w:divsChild>
                            <w:div w:id="672300013">
                              <w:marLeft w:val="2700"/>
                              <w:marRight w:val="3960"/>
                              <w:marTop w:val="0"/>
                              <w:marBottom w:val="0"/>
                              <w:divBdr>
                                <w:top w:val="none" w:sz="0" w:space="0" w:color="auto"/>
                                <w:left w:val="none" w:sz="0" w:space="0" w:color="auto"/>
                                <w:bottom w:val="none" w:sz="0" w:space="0" w:color="auto"/>
                                <w:right w:val="none" w:sz="0" w:space="0" w:color="auto"/>
                              </w:divBdr>
                              <w:divsChild>
                                <w:div w:id="479620665">
                                  <w:marLeft w:val="0"/>
                                  <w:marRight w:val="0"/>
                                  <w:marTop w:val="0"/>
                                  <w:marBottom w:val="0"/>
                                  <w:divBdr>
                                    <w:top w:val="none" w:sz="0" w:space="0" w:color="auto"/>
                                    <w:left w:val="none" w:sz="0" w:space="0" w:color="auto"/>
                                    <w:bottom w:val="none" w:sz="0" w:space="0" w:color="auto"/>
                                    <w:right w:val="none" w:sz="0" w:space="0" w:color="auto"/>
                                  </w:divBdr>
                                  <w:divsChild>
                                    <w:div w:id="172427472">
                                      <w:marLeft w:val="0"/>
                                      <w:marRight w:val="0"/>
                                      <w:marTop w:val="0"/>
                                      <w:marBottom w:val="0"/>
                                      <w:divBdr>
                                        <w:top w:val="none" w:sz="0" w:space="0" w:color="auto"/>
                                        <w:left w:val="none" w:sz="0" w:space="0" w:color="auto"/>
                                        <w:bottom w:val="none" w:sz="0" w:space="0" w:color="auto"/>
                                        <w:right w:val="none" w:sz="0" w:space="0" w:color="auto"/>
                                      </w:divBdr>
                                      <w:divsChild>
                                        <w:div w:id="2135362661">
                                          <w:marLeft w:val="0"/>
                                          <w:marRight w:val="0"/>
                                          <w:marTop w:val="0"/>
                                          <w:marBottom w:val="0"/>
                                          <w:divBdr>
                                            <w:top w:val="none" w:sz="0" w:space="0" w:color="auto"/>
                                            <w:left w:val="none" w:sz="0" w:space="0" w:color="auto"/>
                                            <w:bottom w:val="none" w:sz="0" w:space="0" w:color="auto"/>
                                            <w:right w:val="none" w:sz="0" w:space="0" w:color="auto"/>
                                          </w:divBdr>
                                          <w:divsChild>
                                            <w:div w:id="907153632">
                                              <w:marLeft w:val="0"/>
                                              <w:marRight w:val="0"/>
                                              <w:marTop w:val="90"/>
                                              <w:marBottom w:val="0"/>
                                              <w:divBdr>
                                                <w:top w:val="none" w:sz="0" w:space="0" w:color="auto"/>
                                                <w:left w:val="none" w:sz="0" w:space="0" w:color="auto"/>
                                                <w:bottom w:val="none" w:sz="0" w:space="0" w:color="auto"/>
                                                <w:right w:val="none" w:sz="0" w:space="0" w:color="auto"/>
                                              </w:divBdr>
                                              <w:divsChild>
                                                <w:div w:id="771628466">
                                                  <w:marLeft w:val="0"/>
                                                  <w:marRight w:val="0"/>
                                                  <w:marTop w:val="0"/>
                                                  <w:marBottom w:val="405"/>
                                                  <w:divBdr>
                                                    <w:top w:val="none" w:sz="0" w:space="0" w:color="auto"/>
                                                    <w:left w:val="none" w:sz="0" w:space="0" w:color="auto"/>
                                                    <w:bottom w:val="none" w:sz="0" w:space="0" w:color="auto"/>
                                                    <w:right w:val="none" w:sz="0" w:space="0" w:color="auto"/>
                                                  </w:divBdr>
                                                  <w:divsChild>
                                                    <w:div w:id="71318286">
                                                      <w:marLeft w:val="0"/>
                                                      <w:marRight w:val="0"/>
                                                      <w:marTop w:val="0"/>
                                                      <w:marBottom w:val="0"/>
                                                      <w:divBdr>
                                                        <w:top w:val="none" w:sz="0" w:space="0" w:color="auto"/>
                                                        <w:left w:val="none" w:sz="0" w:space="0" w:color="auto"/>
                                                        <w:bottom w:val="none" w:sz="0" w:space="0" w:color="auto"/>
                                                        <w:right w:val="none" w:sz="0" w:space="0" w:color="auto"/>
                                                      </w:divBdr>
                                                      <w:divsChild>
                                                        <w:div w:id="833883707">
                                                          <w:marLeft w:val="0"/>
                                                          <w:marRight w:val="0"/>
                                                          <w:marTop w:val="0"/>
                                                          <w:marBottom w:val="0"/>
                                                          <w:divBdr>
                                                            <w:top w:val="single" w:sz="6" w:space="0" w:color="DFE1E5"/>
                                                            <w:left w:val="single" w:sz="6" w:space="0" w:color="DFE1E5"/>
                                                            <w:bottom w:val="single" w:sz="6" w:space="0" w:color="DFE1E5"/>
                                                            <w:right w:val="single" w:sz="6" w:space="0" w:color="DFE1E5"/>
                                                          </w:divBdr>
                                                          <w:divsChild>
                                                            <w:div w:id="707991828">
                                                              <w:marLeft w:val="0"/>
                                                              <w:marRight w:val="0"/>
                                                              <w:marTop w:val="0"/>
                                                              <w:marBottom w:val="0"/>
                                                              <w:divBdr>
                                                                <w:top w:val="none" w:sz="0" w:space="0" w:color="auto"/>
                                                                <w:left w:val="none" w:sz="0" w:space="0" w:color="auto"/>
                                                                <w:bottom w:val="none" w:sz="0" w:space="0" w:color="auto"/>
                                                                <w:right w:val="none" w:sz="0" w:space="0" w:color="auto"/>
                                                              </w:divBdr>
                                                              <w:divsChild>
                                                                <w:div w:id="822697952">
                                                                  <w:marLeft w:val="0"/>
                                                                  <w:marRight w:val="0"/>
                                                                  <w:marTop w:val="0"/>
                                                                  <w:marBottom w:val="0"/>
                                                                  <w:divBdr>
                                                                    <w:top w:val="none" w:sz="0" w:space="0" w:color="auto"/>
                                                                    <w:left w:val="none" w:sz="0" w:space="0" w:color="auto"/>
                                                                    <w:bottom w:val="none" w:sz="0" w:space="0" w:color="auto"/>
                                                                    <w:right w:val="none" w:sz="0" w:space="0" w:color="auto"/>
                                                                  </w:divBdr>
                                                                  <w:divsChild>
                                                                    <w:div w:id="1562904838">
                                                                      <w:marLeft w:val="0"/>
                                                                      <w:marRight w:val="0"/>
                                                                      <w:marTop w:val="0"/>
                                                                      <w:marBottom w:val="0"/>
                                                                      <w:divBdr>
                                                                        <w:top w:val="none" w:sz="0" w:space="0" w:color="auto"/>
                                                                        <w:left w:val="none" w:sz="0" w:space="0" w:color="auto"/>
                                                                        <w:bottom w:val="none" w:sz="0" w:space="0" w:color="auto"/>
                                                                        <w:right w:val="none" w:sz="0" w:space="0" w:color="auto"/>
                                                                      </w:divBdr>
                                                                      <w:divsChild>
                                                                        <w:div w:id="856847324">
                                                                          <w:marLeft w:val="0"/>
                                                                          <w:marRight w:val="0"/>
                                                                          <w:marTop w:val="0"/>
                                                                          <w:marBottom w:val="0"/>
                                                                          <w:divBdr>
                                                                            <w:top w:val="none" w:sz="0" w:space="0" w:color="auto"/>
                                                                            <w:left w:val="none" w:sz="0" w:space="0" w:color="auto"/>
                                                                            <w:bottom w:val="none" w:sz="0" w:space="0" w:color="auto"/>
                                                                            <w:right w:val="none" w:sz="0" w:space="0" w:color="auto"/>
                                                                          </w:divBdr>
                                                                          <w:divsChild>
                                                                            <w:div w:id="1334380215">
                                                                              <w:marLeft w:val="0"/>
                                                                              <w:marRight w:val="0"/>
                                                                              <w:marTop w:val="0"/>
                                                                              <w:marBottom w:val="0"/>
                                                                              <w:divBdr>
                                                                                <w:top w:val="none" w:sz="0" w:space="0" w:color="auto"/>
                                                                                <w:left w:val="none" w:sz="0" w:space="0" w:color="auto"/>
                                                                                <w:bottom w:val="none" w:sz="0" w:space="0" w:color="auto"/>
                                                                                <w:right w:val="none" w:sz="0" w:space="0" w:color="auto"/>
                                                                              </w:divBdr>
                                                                              <w:divsChild>
                                                                                <w:div w:id="1974559136">
                                                                                  <w:marLeft w:val="0"/>
                                                                                  <w:marRight w:val="0"/>
                                                                                  <w:marTop w:val="0"/>
                                                                                  <w:marBottom w:val="0"/>
                                                                                  <w:divBdr>
                                                                                    <w:top w:val="none" w:sz="0" w:space="0" w:color="auto"/>
                                                                                    <w:left w:val="none" w:sz="0" w:space="0" w:color="auto"/>
                                                                                    <w:bottom w:val="none" w:sz="0" w:space="0" w:color="auto"/>
                                                                                    <w:right w:val="none" w:sz="0" w:space="0" w:color="auto"/>
                                                                                  </w:divBdr>
                                                                                  <w:divsChild>
                                                                                    <w:div w:id="19523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452711">
      <w:bodyDiv w:val="1"/>
      <w:marLeft w:val="0"/>
      <w:marRight w:val="0"/>
      <w:marTop w:val="0"/>
      <w:marBottom w:val="0"/>
      <w:divBdr>
        <w:top w:val="none" w:sz="0" w:space="0" w:color="auto"/>
        <w:left w:val="none" w:sz="0" w:space="0" w:color="auto"/>
        <w:bottom w:val="none" w:sz="0" w:space="0" w:color="auto"/>
        <w:right w:val="none" w:sz="0" w:space="0" w:color="auto"/>
      </w:divBdr>
      <w:divsChild>
        <w:div w:id="1918243629">
          <w:marLeft w:val="0"/>
          <w:marRight w:val="0"/>
          <w:marTop w:val="0"/>
          <w:marBottom w:val="0"/>
          <w:divBdr>
            <w:top w:val="none" w:sz="0" w:space="0" w:color="auto"/>
            <w:left w:val="none" w:sz="0" w:space="0" w:color="auto"/>
            <w:bottom w:val="none" w:sz="0" w:space="0" w:color="auto"/>
            <w:right w:val="none" w:sz="0" w:space="0" w:color="auto"/>
          </w:divBdr>
          <w:divsChild>
            <w:div w:id="1928609629">
              <w:marLeft w:val="0"/>
              <w:marRight w:val="0"/>
              <w:marTop w:val="0"/>
              <w:marBottom w:val="0"/>
              <w:divBdr>
                <w:top w:val="none" w:sz="0" w:space="0" w:color="auto"/>
                <w:left w:val="none" w:sz="0" w:space="0" w:color="auto"/>
                <w:bottom w:val="none" w:sz="0" w:space="0" w:color="auto"/>
                <w:right w:val="none" w:sz="0" w:space="0" w:color="auto"/>
              </w:divBdr>
              <w:divsChild>
                <w:div w:id="2005164769">
                  <w:marLeft w:val="0"/>
                  <w:marRight w:val="0"/>
                  <w:marTop w:val="0"/>
                  <w:marBottom w:val="0"/>
                  <w:divBdr>
                    <w:top w:val="none" w:sz="0" w:space="0" w:color="auto"/>
                    <w:left w:val="none" w:sz="0" w:space="0" w:color="auto"/>
                    <w:bottom w:val="none" w:sz="0" w:space="0" w:color="auto"/>
                    <w:right w:val="none" w:sz="0" w:space="0" w:color="auto"/>
                  </w:divBdr>
                  <w:divsChild>
                    <w:div w:id="827136682">
                      <w:marLeft w:val="0"/>
                      <w:marRight w:val="0"/>
                      <w:marTop w:val="0"/>
                      <w:marBottom w:val="0"/>
                      <w:divBdr>
                        <w:top w:val="none" w:sz="0" w:space="0" w:color="auto"/>
                        <w:left w:val="none" w:sz="0" w:space="0" w:color="auto"/>
                        <w:bottom w:val="none" w:sz="0" w:space="0" w:color="auto"/>
                        <w:right w:val="none" w:sz="0" w:space="0" w:color="auto"/>
                      </w:divBdr>
                      <w:divsChild>
                        <w:div w:id="410353150">
                          <w:marLeft w:val="0"/>
                          <w:marRight w:val="0"/>
                          <w:marTop w:val="0"/>
                          <w:marBottom w:val="0"/>
                          <w:divBdr>
                            <w:top w:val="none" w:sz="0" w:space="0" w:color="auto"/>
                            <w:left w:val="none" w:sz="0" w:space="0" w:color="auto"/>
                            <w:bottom w:val="none" w:sz="0" w:space="0" w:color="auto"/>
                            <w:right w:val="none" w:sz="0" w:space="0" w:color="auto"/>
                          </w:divBdr>
                          <w:divsChild>
                            <w:div w:id="1380203388">
                              <w:marLeft w:val="2700"/>
                              <w:marRight w:val="3960"/>
                              <w:marTop w:val="0"/>
                              <w:marBottom w:val="0"/>
                              <w:divBdr>
                                <w:top w:val="none" w:sz="0" w:space="0" w:color="auto"/>
                                <w:left w:val="none" w:sz="0" w:space="0" w:color="auto"/>
                                <w:bottom w:val="none" w:sz="0" w:space="0" w:color="auto"/>
                                <w:right w:val="none" w:sz="0" w:space="0" w:color="auto"/>
                              </w:divBdr>
                              <w:divsChild>
                                <w:div w:id="564023704">
                                  <w:marLeft w:val="0"/>
                                  <w:marRight w:val="0"/>
                                  <w:marTop w:val="0"/>
                                  <w:marBottom w:val="0"/>
                                  <w:divBdr>
                                    <w:top w:val="none" w:sz="0" w:space="0" w:color="auto"/>
                                    <w:left w:val="none" w:sz="0" w:space="0" w:color="auto"/>
                                    <w:bottom w:val="none" w:sz="0" w:space="0" w:color="auto"/>
                                    <w:right w:val="none" w:sz="0" w:space="0" w:color="auto"/>
                                  </w:divBdr>
                                  <w:divsChild>
                                    <w:div w:id="2112310622">
                                      <w:marLeft w:val="0"/>
                                      <w:marRight w:val="0"/>
                                      <w:marTop w:val="0"/>
                                      <w:marBottom w:val="0"/>
                                      <w:divBdr>
                                        <w:top w:val="none" w:sz="0" w:space="0" w:color="auto"/>
                                        <w:left w:val="none" w:sz="0" w:space="0" w:color="auto"/>
                                        <w:bottom w:val="none" w:sz="0" w:space="0" w:color="auto"/>
                                        <w:right w:val="none" w:sz="0" w:space="0" w:color="auto"/>
                                      </w:divBdr>
                                      <w:divsChild>
                                        <w:div w:id="544873280">
                                          <w:marLeft w:val="0"/>
                                          <w:marRight w:val="0"/>
                                          <w:marTop w:val="0"/>
                                          <w:marBottom w:val="0"/>
                                          <w:divBdr>
                                            <w:top w:val="none" w:sz="0" w:space="0" w:color="auto"/>
                                            <w:left w:val="none" w:sz="0" w:space="0" w:color="auto"/>
                                            <w:bottom w:val="none" w:sz="0" w:space="0" w:color="auto"/>
                                            <w:right w:val="none" w:sz="0" w:space="0" w:color="auto"/>
                                          </w:divBdr>
                                          <w:divsChild>
                                            <w:div w:id="438644023">
                                              <w:marLeft w:val="0"/>
                                              <w:marRight w:val="0"/>
                                              <w:marTop w:val="90"/>
                                              <w:marBottom w:val="0"/>
                                              <w:divBdr>
                                                <w:top w:val="none" w:sz="0" w:space="0" w:color="auto"/>
                                                <w:left w:val="none" w:sz="0" w:space="0" w:color="auto"/>
                                                <w:bottom w:val="none" w:sz="0" w:space="0" w:color="auto"/>
                                                <w:right w:val="none" w:sz="0" w:space="0" w:color="auto"/>
                                              </w:divBdr>
                                              <w:divsChild>
                                                <w:div w:id="568803803">
                                                  <w:marLeft w:val="0"/>
                                                  <w:marRight w:val="0"/>
                                                  <w:marTop w:val="0"/>
                                                  <w:marBottom w:val="405"/>
                                                  <w:divBdr>
                                                    <w:top w:val="none" w:sz="0" w:space="0" w:color="auto"/>
                                                    <w:left w:val="none" w:sz="0" w:space="0" w:color="auto"/>
                                                    <w:bottom w:val="none" w:sz="0" w:space="0" w:color="auto"/>
                                                    <w:right w:val="none" w:sz="0" w:space="0" w:color="auto"/>
                                                  </w:divBdr>
                                                  <w:divsChild>
                                                    <w:div w:id="1299408951">
                                                      <w:marLeft w:val="0"/>
                                                      <w:marRight w:val="0"/>
                                                      <w:marTop w:val="0"/>
                                                      <w:marBottom w:val="0"/>
                                                      <w:divBdr>
                                                        <w:top w:val="none" w:sz="0" w:space="0" w:color="auto"/>
                                                        <w:left w:val="none" w:sz="0" w:space="0" w:color="auto"/>
                                                        <w:bottom w:val="none" w:sz="0" w:space="0" w:color="auto"/>
                                                        <w:right w:val="none" w:sz="0" w:space="0" w:color="auto"/>
                                                      </w:divBdr>
                                                      <w:divsChild>
                                                        <w:div w:id="512841813">
                                                          <w:marLeft w:val="0"/>
                                                          <w:marRight w:val="0"/>
                                                          <w:marTop w:val="0"/>
                                                          <w:marBottom w:val="0"/>
                                                          <w:divBdr>
                                                            <w:top w:val="single" w:sz="6" w:space="0" w:color="DFE1E5"/>
                                                            <w:left w:val="single" w:sz="6" w:space="0" w:color="DFE1E5"/>
                                                            <w:bottom w:val="single" w:sz="6" w:space="0" w:color="DFE1E5"/>
                                                            <w:right w:val="single" w:sz="6" w:space="0" w:color="DFE1E5"/>
                                                          </w:divBdr>
                                                          <w:divsChild>
                                                            <w:div w:id="722287547">
                                                              <w:marLeft w:val="0"/>
                                                              <w:marRight w:val="0"/>
                                                              <w:marTop w:val="0"/>
                                                              <w:marBottom w:val="0"/>
                                                              <w:divBdr>
                                                                <w:top w:val="none" w:sz="0" w:space="0" w:color="auto"/>
                                                                <w:left w:val="none" w:sz="0" w:space="0" w:color="auto"/>
                                                                <w:bottom w:val="none" w:sz="0" w:space="0" w:color="auto"/>
                                                                <w:right w:val="none" w:sz="0" w:space="0" w:color="auto"/>
                                                              </w:divBdr>
                                                              <w:divsChild>
                                                                <w:div w:id="1258636547">
                                                                  <w:marLeft w:val="0"/>
                                                                  <w:marRight w:val="0"/>
                                                                  <w:marTop w:val="0"/>
                                                                  <w:marBottom w:val="0"/>
                                                                  <w:divBdr>
                                                                    <w:top w:val="none" w:sz="0" w:space="0" w:color="auto"/>
                                                                    <w:left w:val="none" w:sz="0" w:space="0" w:color="auto"/>
                                                                    <w:bottom w:val="none" w:sz="0" w:space="0" w:color="auto"/>
                                                                    <w:right w:val="none" w:sz="0" w:space="0" w:color="auto"/>
                                                                  </w:divBdr>
                                                                  <w:divsChild>
                                                                    <w:div w:id="1474297901">
                                                                      <w:marLeft w:val="0"/>
                                                                      <w:marRight w:val="0"/>
                                                                      <w:marTop w:val="0"/>
                                                                      <w:marBottom w:val="0"/>
                                                                      <w:divBdr>
                                                                        <w:top w:val="none" w:sz="0" w:space="0" w:color="auto"/>
                                                                        <w:left w:val="none" w:sz="0" w:space="0" w:color="auto"/>
                                                                        <w:bottom w:val="none" w:sz="0" w:space="0" w:color="auto"/>
                                                                        <w:right w:val="none" w:sz="0" w:space="0" w:color="auto"/>
                                                                      </w:divBdr>
                                                                      <w:divsChild>
                                                                        <w:div w:id="1344287316">
                                                                          <w:marLeft w:val="0"/>
                                                                          <w:marRight w:val="0"/>
                                                                          <w:marTop w:val="0"/>
                                                                          <w:marBottom w:val="0"/>
                                                                          <w:divBdr>
                                                                            <w:top w:val="none" w:sz="0" w:space="0" w:color="auto"/>
                                                                            <w:left w:val="none" w:sz="0" w:space="0" w:color="auto"/>
                                                                            <w:bottom w:val="none" w:sz="0" w:space="0" w:color="auto"/>
                                                                            <w:right w:val="none" w:sz="0" w:space="0" w:color="auto"/>
                                                                          </w:divBdr>
                                                                          <w:divsChild>
                                                                            <w:div w:id="1872958511">
                                                                              <w:marLeft w:val="0"/>
                                                                              <w:marRight w:val="0"/>
                                                                              <w:marTop w:val="0"/>
                                                                              <w:marBottom w:val="0"/>
                                                                              <w:divBdr>
                                                                                <w:top w:val="none" w:sz="0" w:space="0" w:color="auto"/>
                                                                                <w:left w:val="none" w:sz="0" w:space="0" w:color="auto"/>
                                                                                <w:bottom w:val="none" w:sz="0" w:space="0" w:color="auto"/>
                                                                                <w:right w:val="none" w:sz="0" w:space="0" w:color="auto"/>
                                                                              </w:divBdr>
                                                                              <w:divsChild>
                                                                                <w:div w:id="273942448">
                                                                                  <w:marLeft w:val="0"/>
                                                                                  <w:marRight w:val="0"/>
                                                                                  <w:marTop w:val="0"/>
                                                                                  <w:marBottom w:val="0"/>
                                                                                  <w:divBdr>
                                                                                    <w:top w:val="none" w:sz="0" w:space="0" w:color="auto"/>
                                                                                    <w:left w:val="none" w:sz="0" w:space="0" w:color="auto"/>
                                                                                    <w:bottom w:val="none" w:sz="0" w:space="0" w:color="auto"/>
                                                                                    <w:right w:val="none" w:sz="0" w:space="0" w:color="auto"/>
                                                                                  </w:divBdr>
                                                                                  <w:divsChild>
                                                                                    <w:div w:id="3060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420629">
      <w:bodyDiv w:val="1"/>
      <w:marLeft w:val="0"/>
      <w:marRight w:val="0"/>
      <w:marTop w:val="0"/>
      <w:marBottom w:val="0"/>
      <w:divBdr>
        <w:top w:val="none" w:sz="0" w:space="0" w:color="auto"/>
        <w:left w:val="none" w:sz="0" w:space="0" w:color="auto"/>
        <w:bottom w:val="none" w:sz="0" w:space="0" w:color="auto"/>
        <w:right w:val="none" w:sz="0" w:space="0" w:color="auto"/>
      </w:divBdr>
    </w:div>
    <w:div w:id="1040473303">
      <w:bodyDiv w:val="1"/>
      <w:marLeft w:val="0"/>
      <w:marRight w:val="0"/>
      <w:marTop w:val="0"/>
      <w:marBottom w:val="0"/>
      <w:divBdr>
        <w:top w:val="none" w:sz="0" w:space="0" w:color="auto"/>
        <w:left w:val="none" w:sz="0" w:space="0" w:color="auto"/>
        <w:bottom w:val="none" w:sz="0" w:space="0" w:color="auto"/>
        <w:right w:val="none" w:sz="0" w:space="0" w:color="auto"/>
      </w:divBdr>
    </w:div>
    <w:div w:id="1061253953">
      <w:bodyDiv w:val="1"/>
      <w:marLeft w:val="0"/>
      <w:marRight w:val="0"/>
      <w:marTop w:val="0"/>
      <w:marBottom w:val="0"/>
      <w:divBdr>
        <w:top w:val="none" w:sz="0" w:space="0" w:color="auto"/>
        <w:left w:val="none" w:sz="0" w:space="0" w:color="auto"/>
        <w:bottom w:val="none" w:sz="0" w:space="0" w:color="auto"/>
        <w:right w:val="none" w:sz="0" w:space="0" w:color="auto"/>
      </w:divBdr>
    </w:div>
    <w:div w:id="1072659311">
      <w:bodyDiv w:val="1"/>
      <w:marLeft w:val="0"/>
      <w:marRight w:val="0"/>
      <w:marTop w:val="0"/>
      <w:marBottom w:val="0"/>
      <w:divBdr>
        <w:top w:val="none" w:sz="0" w:space="0" w:color="auto"/>
        <w:left w:val="none" w:sz="0" w:space="0" w:color="auto"/>
        <w:bottom w:val="none" w:sz="0" w:space="0" w:color="auto"/>
        <w:right w:val="none" w:sz="0" w:space="0" w:color="auto"/>
      </w:divBdr>
      <w:divsChild>
        <w:div w:id="250282953">
          <w:marLeft w:val="0"/>
          <w:marRight w:val="0"/>
          <w:marTop w:val="0"/>
          <w:marBottom w:val="0"/>
          <w:divBdr>
            <w:top w:val="none" w:sz="0" w:space="0" w:color="auto"/>
            <w:left w:val="none" w:sz="0" w:space="0" w:color="auto"/>
            <w:bottom w:val="none" w:sz="0" w:space="0" w:color="auto"/>
            <w:right w:val="none" w:sz="0" w:space="0" w:color="auto"/>
          </w:divBdr>
          <w:divsChild>
            <w:div w:id="387536225">
              <w:marLeft w:val="0"/>
              <w:marRight w:val="0"/>
              <w:marTop w:val="0"/>
              <w:marBottom w:val="0"/>
              <w:divBdr>
                <w:top w:val="none" w:sz="0" w:space="0" w:color="auto"/>
                <w:left w:val="none" w:sz="0" w:space="0" w:color="auto"/>
                <w:bottom w:val="none" w:sz="0" w:space="0" w:color="auto"/>
                <w:right w:val="none" w:sz="0" w:space="0" w:color="auto"/>
              </w:divBdr>
              <w:divsChild>
                <w:div w:id="1234704403">
                  <w:marLeft w:val="0"/>
                  <w:marRight w:val="0"/>
                  <w:marTop w:val="0"/>
                  <w:marBottom w:val="0"/>
                  <w:divBdr>
                    <w:top w:val="none" w:sz="0" w:space="0" w:color="auto"/>
                    <w:left w:val="none" w:sz="0" w:space="0" w:color="auto"/>
                    <w:bottom w:val="none" w:sz="0" w:space="0" w:color="auto"/>
                    <w:right w:val="none" w:sz="0" w:space="0" w:color="auto"/>
                  </w:divBdr>
                  <w:divsChild>
                    <w:div w:id="1300380244">
                      <w:marLeft w:val="0"/>
                      <w:marRight w:val="0"/>
                      <w:marTop w:val="0"/>
                      <w:marBottom w:val="0"/>
                      <w:divBdr>
                        <w:top w:val="none" w:sz="0" w:space="0" w:color="auto"/>
                        <w:left w:val="none" w:sz="0" w:space="0" w:color="auto"/>
                        <w:bottom w:val="none" w:sz="0" w:space="0" w:color="auto"/>
                        <w:right w:val="none" w:sz="0" w:space="0" w:color="auto"/>
                      </w:divBdr>
                      <w:divsChild>
                        <w:div w:id="1980181762">
                          <w:marLeft w:val="0"/>
                          <w:marRight w:val="0"/>
                          <w:marTop w:val="0"/>
                          <w:marBottom w:val="0"/>
                          <w:divBdr>
                            <w:top w:val="none" w:sz="0" w:space="0" w:color="auto"/>
                            <w:left w:val="none" w:sz="0" w:space="0" w:color="auto"/>
                            <w:bottom w:val="none" w:sz="0" w:space="0" w:color="auto"/>
                            <w:right w:val="none" w:sz="0" w:space="0" w:color="auto"/>
                          </w:divBdr>
                          <w:divsChild>
                            <w:div w:id="1805654361">
                              <w:marLeft w:val="2700"/>
                              <w:marRight w:val="3960"/>
                              <w:marTop w:val="0"/>
                              <w:marBottom w:val="0"/>
                              <w:divBdr>
                                <w:top w:val="none" w:sz="0" w:space="0" w:color="auto"/>
                                <w:left w:val="none" w:sz="0" w:space="0" w:color="auto"/>
                                <w:bottom w:val="none" w:sz="0" w:space="0" w:color="auto"/>
                                <w:right w:val="none" w:sz="0" w:space="0" w:color="auto"/>
                              </w:divBdr>
                              <w:divsChild>
                                <w:div w:id="174345107">
                                  <w:marLeft w:val="0"/>
                                  <w:marRight w:val="0"/>
                                  <w:marTop w:val="0"/>
                                  <w:marBottom w:val="0"/>
                                  <w:divBdr>
                                    <w:top w:val="none" w:sz="0" w:space="0" w:color="auto"/>
                                    <w:left w:val="none" w:sz="0" w:space="0" w:color="auto"/>
                                    <w:bottom w:val="none" w:sz="0" w:space="0" w:color="auto"/>
                                    <w:right w:val="none" w:sz="0" w:space="0" w:color="auto"/>
                                  </w:divBdr>
                                  <w:divsChild>
                                    <w:div w:id="1044216781">
                                      <w:marLeft w:val="0"/>
                                      <w:marRight w:val="0"/>
                                      <w:marTop w:val="0"/>
                                      <w:marBottom w:val="0"/>
                                      <w:divBdr>
                                        <w:top w:val="none" w:sz="0" w:space="0" w:color="auto"/>
                                        <w:left w:val="none" w:sz="0" w:space="0" w:color="auto"/>
                                        <w:bottom w:val="none" w:sz="0" w:space="0" w:color="auto"/>
                                        <w:right w:val="none" w:sz="0" w:space="0" w:color="auto"/>
                                      </w:divBdr>
                                      <w:divsChild>
                                        <w:div w:id="112555395">
                                          <w:marLeft w:val="0"/>
                                          <w:marRight w:val="0"/>
                                          <w:marTop w:val="0"/>
                                          <w:marBottom w:val="0"/>
                                          <w:divBdr>
                                            <w:top w:val="none" w:sz="0" w:space="0" w:color="auto"/>
                                            <w:left w:val="none" w:sz="0" w:space="0" w:color="auto"/>
                                            <w:bottom w:val="none" w:sz="0" w:space="0" w:color="auto"/>
                                            <w:right w:val="none" w:sz="0" w:space="0" w:color="auto"/>
                                          </w:divBdr>
                                          <w:divsChild>
                                            <w:div w:id="809205032">
                                              <w:marLeft w:val="0"/>
                                              <w:marRight w:val="0"/>
                                              <w:marTop w:val="90"/>
                                              <w:marBottom w:val="0"/>
                                              <w:divBdr>
                                                <w:top w:val="none" w:sz="0" w:space="0" w:color="auto"/>
                                                <w:left w:val="none" w:sz="0" w:space="0" w:color="auto"/>
                                                <w:bottom w:val="none" w:sz="0" w:space="0" w:color="auto"/>
                                                <w:right w:val="none" w:sz="0" w:space="0" w:color="auto"/>
                                              </w:divBdr>
                                              <w:divsChild>
                                                <w:div w:id="489636423">
                                                  <w:marLeft w:val="0"/>
                                                  <w:marRight w:val="0"/>
                                                  <w:marTop w:val="0"/>
                                                  <w:marBottom w:val="405"/>
                                                  <w:divBdr>
                                                    <w:top w:val="none" w:sz="0" w:space="0" w:color="auto"/>
                                                    <w:left w:val="none" w:sz="0" w:space="0" w:color="auto"/>
                                                    <w:bottom w:val="none" w:sz="0" w:space="0" w:color="auto"/>
                                                    <w:right w:val="none" w:sz="0" w:space="0" w:color="auto"/>
                                                  </w:divBdr>
                                                  <w:divsChild>
                                                    <w:div w:id="649602094">
                                                      <w:marLeft w:val="0"/>
                                                      <w:marRight w:val="0"/>
                                                      <w:marTop w:val="0"/>
                                                      <w:marBottom w:val="0"/>
                                                      <w:divBdr>
                                                        <w:top w:val="none" w:sz="0" w:space="0" w:color="auto"/>
                                                        <w:left w:val="none" w:sz="0" w:space="0" w:color="auto"/>
                                                        <w:bottom w:val="none" w:sz="0" w:space="0" w:color="auto"/>
                                                        <w:right w:val="none" w:sz="0" w:space="0" w:color="auto"/>
                                                      </w:divBdr>
                                                      <w:divsChild>
                                                        <w:div w:id="1377656012">
                                                          <w:marLeft w:val="0"/>
                                                          <w:marRight w:val="0"/>
                                                          <w:marTop w:val="0"/>
                                                          <w:marBottom w:val="0"/>
                                                          <w:divBdr>
                                                            <w:top w:val="single" w:sz="6" w:space="0" w:color="DFE1E5"/>
                                                            <w:left w:val="single" w:sz="6" w:space="0" w:color="DFE1E5"/>
                                                            <w:bottom w:val="single" w:sz="6" w:space="0" w:color="DFE1E5"/>
                                                            <w:right w:val="single" w:sz="6" w:space="0" w:color="DFE1E5"/>
                                                          </w:divBdr>
                                                          <w:divsChild>
                                                            <w:div w:id="897328990">
                                                              <w:marLeft w:val="0"/>
                                                              <w:marRight w:val="0"/>
                                                              <w:marTop w:val="0"/>
                                                              <w:marBottom w:val="0"/>
                                                              <w:divBdr>
                                                                <w:top w:val="none" w:sz="0" w:space="0" w:color="auto"/>
                                                                <w:left w:val="none" w:sz="0" w:space="0" w:color="auto"/>
                                                                <w:bottom w:val="none" w:sz="0" w:space="0" w:color="auto"/>
                                                                <w:right w:val="none" w:sz="0" w:space="0" w:color="auto"/>
                                                              </w:divBdr>
                                                              <w:divsChild>
                                                                <w:div w:id="640814249">
                                                                  <w:marLeft w:val="0"/>
                                                                  <w:marRight w:val="0"/>
                                                                  <w:marTop w:val="0"/>
                                                                  <w:marBottom w:val="0"/>
                                                                  <w:divBdr>
                                                                    <w:top w:val="none" w:sz="0" w:space="0" w:color="auto"/>
                                                                    <w:left w:val="none" w:sz="0" w:space="0" w:color="auto"/>
                                                                    <w:bottom w:val="none" w:sz="0" w:space="0" w:color="auto"/>
                                                                    <w:right w:val="none" w:sz="0" w:space="0" w:color="auto"/>
                                                                  </w:divBdr>
                                                                  <w:divsChild>
                                                                    <w:div w:id="1715235712">
                                                                      <w:marLeft w:val="0"/>
                                                                      <w:marRight w:val="0"/>
                                                                      <w:marTop w:val="0"/>
                                                                      <w:marBottom w:val="0"/>
                                                                      <w:divBdr>
                                                                        <w:top w:val="none" w:sz="0" w:space="0" w:color="auto"/>
                                                                        <w:left w:val="none" w:sz="0" w:space="0" w:color="auto"/>
                                                                        <w:bottom w:val="none" w:sz="0" w:space="0" w:color="auto"/>
                                                                        <w:right w:val="none" w:sz="0" w:space="0" w:color="auto"/>
                                                                      </w:divBdr>
                                                                      <w:divsChild>
                                                                        <w:div w:id="1873221546">
                                                                          <w:marLeft w:val="0"/>
                                                                          <w:marRight w:val="0"/>
                                                                          <w:marTop w:val="0"/>
                                                                          <w:marBottom w:val="0"/>
                                                                          <w:divBdr>
                                                                            <w:top w:val="none" w:sz="0" w:space="0" w:color="auto"/>
                                                                            <w:left w:val="none" w:sz="0" w:space="0" w:color="auto"/>
                                                                            <w:bottom w:val="none" w:sz="0" w:space="0" w:color="auto"/>
                                                                            <w:right w:val="none" w:sz="0" w:space="0" w:color="auto"/>
                                                                          </w:divBdr>
                                                                          <w:divsChild>
                                                                            <w:div w:id="1678802465">
                                                                              <w:marLeft w:val="0"/>
                                                                              <w:marRight w:val="0"/>
                                                                              <w:marTop w:val="0"/>
                                                                              <w:marBottom w:val="0"/>
                                                                              <w:divBdr>
                                                                                <w:top w:val="none" w:sz="0" w:space="0" w:color="auto"/>
                                                                                <w:left w:val="none" w:sz="0" w:space="0" w:color="auto"/>
                                                                                <w:bottom w:val="none" w:sz="0" w:space="0" w:color="auto"/>
                                                                                <w:right w:val="none" w:sz="0" w:space="0" w:color="auto"/>
                                                                              </w:divBdr>
                                                                              <w:divsChild>
                                                                                <w:div w:id="1503663985">
                                                                                  <w:marLeft w:val="0"/>
                                                                                  <w:marRight w:val="0"/>
                                                                                  <w:marTop w:val="0"/>
                                                                                  <w:marBottom w:val="0"/>
                                                                                  <w:divBdr>
                                                                                    <w:top w:val="none" w:sz="0" w:space="0" w:color="auto"/>
                                                                                    <w:left w:val="none" w:sz="0" w:space="0" w:color="auto"/>
                                                                                    <w:bottom w:val="none" w:sz="0" w:space="0" w:color="auto"/>
                                                                                    <w:right w:val="none" w:sz="0" w:space="0" w:color="auto"/>
                                                                                  </w:divBdr>
                                                                                  <w:divsChild>
                                                                                    <w:div w:id="116347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5226587">
      <w:bodyDiv w:val="1"/>
      <w:marLeft w:val="0"/>
      <w:marRight w:val="0"/>
      <w:marTop w:val="0"/>
      <w:marBottom w:val="0"/>
      <w:divBdr>
        <w:top w:val="none" w:sz="0" w:space="0" w:color="auto"/>
        <w:left w:val="none" w:sz="0" w:space="0" w:color="auto"/>
        <w:bottom w:val="none" w:sz="0" w:space="0" w:color="auto"/>
        <w:right w:val="none" w:sz="0" w:space="0" w:color="auto"/>
      </w:divBdr>
      <w:divsChild>
        <w:div w:id="875658734">
          <w:marLeft w:val="0"/>
          <w:marRight w:val="0"/>
          <w:marTop w:val="0"/>
          <w:marBottom w:val="0"/>
          <w:divBdr>
            <w:top w:val="none" w:sz="0" w:space="0" w:color="auto"/>
            <w:left w:val="none" w:sz="0" w:space="0" w:color="auto"/>
            <w:bottom w:val="none" w:sz="0" w:space="0" w:color="auto"/>
            <w:right w:val="none" w:sz="0" w:space="0" w:color="auto"/>
          </w:divBdr>
          <w:divsChild>
            <w:div w:id="1064186051">
              <w:marLeft w:val="0"/>
              <w:marRight w:val="0"/>
              <w:marTop w:val="0"/>
              <w:marBottom w:val="0"/>
              <w:divBdr>
                <w:top w:val="none" w:sz="0" w:space="0" w:color="auto"/>
                <w:left w:val="none" w:sz="0" w:space="0" w:color="auto"/>
                <w:bottom w:val="none" w:sz="0" w:space="0" w:color="auto"/>
                <w:right w:val="none" w:sz="0" w:space="0" w:color="auto"/>
              </w:divBdr>
              <w:divsChild>
                <w:div w:id="1572156591">
                  <w:marLeft w:val="0"/>
                  <w:marRight w:val="0"/>
                  <w:marTop w:val="0"/>
                  <w:marBottom w:val="0"/>
                  <w:divBdr>
                    <w:top w:val="none" w:sz="0" w:space="0" w:color="auto"/>
                    <w:left w:val="none" w:sz="0" w:space="0" w:color="auto"/>
                    <w:bottom w:val="none" w:sz="0" w:space="0" w:color="auto"/>
                    <w:right w:val="none" w:sz="0" w:space="0" w:color="auto"/>
                  </w:divBdr>
                  <w:divsChild>
                    <w:div w:id="1909684171">
                      <w:marLeft w:val="0"/>
                      <w:marRight w:val="0"/>
                      <w:marTop w:val="0"/>
                      <w:marBottom w:val="0"/>
                      <w:divBdr>
                        <w:top w:val="none" w:sz="0" w:space="0" w:color="auto"/>
                        <w:left w:val="none" w:sz="0" w:space="0" w:color="auto"/>
                        <w:bottom w:val="none" w:sz="0" w:space="0" w:color="auto"/>
                        <w:right w:val="none" w:sz="0" w:space="0" w:color="auto"/>
                      </w:divBdr>
                      <w:divsChild>
                        <w:div w:id="2036694264">
                          <w:marLeft w:val="0"/>
                          <w:marRight w:val="0"/>
                          <w:marTop w:val="0"/>
                          <w:marBottom w:val="0"/>
                          <w:divBdr>
                            <w:top w:val="none" w:sz="0" w:space="0" w:color="auto"/>
                            <w:left w:val="none" w:sz="0" w:space="0" w:color="auto"/>
                            <w:bottom w:val="none" w:sz="0" w:space="0" w:color="auto"/>
                            <w:right w:val="none" w:sz="0" w:space="0" w:color="auto"/>
                          </w:divBdr>
                          <w:divsChild>
                            <w:div w:id="1634554142">
                              <w:marLeft w:val="2700"/>
                              <w:marRight w:val="3960"/>
                              <w:marTop w:val="0"/>
                              <w:marBottom w:val="0"/>
                              <w:divBdr>
                                <w:top w:val="none" w:sz="0" w:space="0" w:color="auto"/>
                                <w:left w:val="none" w:sz="0" w:space="0" w:color="auto"/>
                                <w:bottom w:val="none" w:sz="0" w:space="0" w:color="auto"/>
                                <w:right w:val="none" w:sz="0" w:space="0" w:color="auto"/>
                              </w:divBdr>
                              <w:divsChild>
                                <w:div w:id="112947274">
                                  <w:marLeft w:val="0"/>
                                  <w:marRight w:val="0"/>
                                  <w:marTop w:val="0"/>
                                  <w:marBottom w:val="0"/>
                                  <w:divBdr>
                                    <w:top w:val="none" w:sz="0" w:space="0" w:color="auto"/>
                                    <w:left w:val="none" w:sz="0" w:space="0" w:color="auto"/>
                                    <w:bottom w:val="none" w:sz="0" w:space="0" w:color="auto"/>
                                    <w:right w:val="none" w:sz="0" w:space="0" w:color="auto"/>
                                  </w:divBdr>
                                  <w:divsChild>
                                    <w:div w:id="1662586014">
                                      <w:marLeft w:val="0"/>
                                      <w:marRight w:val="0"/>
                                      <w:marTop w:val="0"/>
                                      <w:marBottom w:val="0"/>
                                      <w:divBdr>
                                        <w:top w:val="none" w:sz="0" w:space="0" w:color="auto"/>
                                        <w:left w:val="none" w:sz="0" w:space="0" w:color="auto"/>
                                        <w:bottom w:val="none" w:sz="0" w:space="0" w:color="auto"/>
                                        <w:right w:val="none" w:sz="0" w:space="0" w:color="auto"/>
                                      </w:divBdr>
                                      <w:divsChild>
                                        <w:div w:id="1703895146">
                                          <w:marLeft w:val="0"/>
                                          <w:marRight w:val="0"/>
                                          <w:marTop w:val="0"/>
                                          <w:marBottom w:val="0"/>
                                          <w:divBdr>
                                            <w:top w:val="none" w:sz="0" w:space="0" w:color="auto"/>
                                            <w:left w:val="none" w:sz="0" w:space="0" w:color="auto"/>
                                            <w:bottom w:val="none" w:sz="0" w:space="0" w:color="auto"/>
                                            <w:right w:val="none" w:sz="0" w:space="0" w:color="auto"/>
                                          </w:divBdr>
                                          <w:divsChild>
                                            <w:div w:id="430704503">
                                              <w:marLeft w:val="0"/>
                                              <w:marRight w:val="0"/>
                                              <w:marTop w:val="90"/>
                                              <w:marBottom w:val="0"/>
                                              <w:divBdr>
                                                <w:top w:val="none" w:sz="0" w:space="0" w:color="auto"/>
                                                <w:left w:val="none" w:sz="0" w:space="0" w:color="auto"/>
                                                <w:bottom w:val="none" w:sz="0" w:space="0" w:color="auto"/>
                                                <w:right w:val="none" w:sz="0" w:space="0" w:color="auto"/>
                                              </w:divBdr>
                                              <w:divsChild>
                                                <w:div w:id="2105227392">
                                                  <w:marLeft w:val="0"/>
                                                  <w:marRight w:val="0"/>
                                                  <w:marTop w:val="0"/>
                                                  <w:marBottom w:val="405"/>
                                                  <w:divBdr>
                                                    <w:top w:val="none" w:sz="0" w:space="0" w:color="auto"/>
                                                    <w:left w:val="none" w:sz="0" w:space="0" w:color="auto"/>
                                                    <w:bottom w:val="none" w:sz="0" w:space="0" w:color="auto"/>
                                                    <w:right w:val="none" w:sz="0" w:space="0" w:color="auto"/>
                                                  </w:divBdr>
                                                  <w:divsChild>
                                                    <w:div w:id="841160509">
                                                      <w:marLeft w:val="0"/>
                                                      <w:marRight w:val="0"/>
                                                      <w:marTop w:val="0"/>
                                                      <w:marBottom w:val="0"/>
                                                      <w:divBdr>
                                                        <w:top w:val="none" w:sz="0" w:space="0" w:color="auto"/>
                                                        <w:left w:val="none" w:sz="0" w:space="0" w:color="auto"/>
                                                        <w:bottom w:val="none" w:sz="0" w:space="0" w:color="auto"/>
                                                        <w:right w:val="none" w:sz="0" w:space="0" w:color="auto"/>
                                                      </w:divBdr>
                                                      <w:divsChild>
                                                        <w:div w:id="164782535">
                                                          <w:marLeft w:val="0"/>
                                                          <w:marRight w:val="0"/>
                                                          <w:marTop w:val="0"/>
                                                          <w:marBottom w:val="0"/>
                                                          <w:divBdr>
                                                            <w:top w:val="single" w:sz="6" w:space="0" w:color="DFE1E5"/>
                                                            <w:left w:val="single" w:sz="6" w:space="0" w:color="DFE1E5"/>
                                                            <w:bottom w:val="single" w:sz="6" w:space="0" w:color="DFE1E5"/>
                                                            <w:right w:val="single" w:sz="6" w:space="0" w:color="DFE1E5"/>
                                                          </w:divBdr>
                                                          <w:divsChild>
                                                            <w:div w:id="948782842">
                                                              <w:marLeft w:val="0"/>
                                                              <w:marRight w:val="0"/>
                                                              <w:marTop w:val="0"/>
                                                              <w:marBottom w:val="0"/>
                                                              <w:divBdr>
                                                                <w:top w:val="none" w:sz="0" w:space="0" w:color="auto"/>
                                                                <w:left w:val="none" w:sz="0" w:space="0" w:color="auto"/>
                                                                <w:bottom w:val="none" w:sz="0" w:space="0" w:color="auto"/>
                                                                <w:right w:val="none" w:sz="0" w:space="0" w:color="auto"/>
                                                              </w:divBdr>
                                                              <w:divsChild>
                                                                <w:div w:id="608859389">
                                                                  <w:marLeft w:val="0"/>
                                                                  <w:marRight w:val="0"/>
                                                                  <w:marTop w:val="0"/>
                                                                  <w:marBottom w:val="0"/>
                                                                  <w:divBdr>
                                                                    <w:top w:val="none" w:sz="0" w:space="0" w:color="auto"/>
                                                                    <w:left w:val="none" w:sz="0" w:space="0" w:color="auto"/>
                                                                    <w:bottom w:val="none" w:sz="0" w:space="0" w:color="auto"/>
                                                                    <w:right w:val="none" w:sz="0" w:space="0" w:color="auto"/>
                                                                  </w:divBdr>
                                                                  <w:divsChild>
                                                                    <w:div w:id="737752892">
                                                                      <w:marLeft w:val="0"/>
                                                                      <w:marRight w:val="0"/>
                                                                      <w:marTop w:val="0"/>
                                                                      <w:marBottom w:val="0"/>
                                                                      <w:divBdr>
                                                                        <w:top w:val="none" w:sz="0" w:space="0" w:color="auto"/>
                                                                        <w:left w:val="none" w:sz="0" w:space="0" w:color="auto"/>
                                                                        <w:bottom w:val="none" w:sz="0" w:space="0" w:color="auto"/>
                                                                        <w:right w:val="none" w:sz="0" w:space="0" w:color="auto"/>
                                                                      </w:divBdr>
                                                                      <w:divsChild>
                                                                        <w:div w:id="314726354">
                                                                          <w:marLeft w:val="0"/>
                                                                          <w:marRight w:val="0"/>
                                                                          <w:marTop w:val="0"/>
                                                                          <w:marBottom w:val="0"/>
                                                                          <w:divBdr>
                                                                            <w:top w:val="none" w:sz="0" w:space="0" w:color="auto"/>
                                                                            <w:left w:val="none" w:sz="0" w:space="0" w:color="auto"/>
                                                                            <w:bottom w:val="none" w:sz="0" w:space="0" w:color="auto"/>
                                                                            <w:right w:val="none" w:sz="0" w:space="0" w:color="auto"/>
                                                                          </w:divBdr>
                                                                          <w:divsChild>
                                                                            <w:div w:id="1497838799">
                                                                              <w:marLeft w:val="0"/>
                                                                              <w:marRight w:val="0"/>
                                                                              <w:marTop w:val="0"/>
                                                                              <w:marBottom w:val="0"/>
                                                                              <w:divBdr>
                                                                                <w:top w:val="none" w:sz="0" w:space="0" w:color="auto"/>
                                                                                <w:left w:val="none" w:sz="0" w:space="0" w:color="auto"/>
                                                                                <w:bottom w:val="none" w:sz="0" w:space="0" w:color="auto"/>
                                                                                <w:right w:val="none" w:sz="0" w:space="0" w:color="auto"/>
                                                                              </w:divBdr>
                                                                              <w:divsChild>
                                                                                <w:div w:id="801308771">
                                                                                  <w:marLeft w:val="0"/>
                                                                                  <w:marRight w:val="0"/>
                                                                                  <w:marTop w:val="0"/>
                                                                                  <w:marBottom w:val="0"/>
                                                                                  <w:divBdr>
                                                                                    <w:top w:val="none" w:sz="0" w:space="0" w:color="auto"/>
                                                                                    <w:left w:val="none" w:sz="0" w:space="0" w:color="auto"/>
                                                                                    <w:bottom w:val="none" w:sz="0" w:space="0" w:color="auto"/>
                                                                                    <w:right w:val="none" w:sz="0" w:space="0" w:color="auto"/>
                                                                                  </w:divBdr>
                                                                                  <w:divsChild>
                                                                                    <w:div w:id="17286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4621348">
      <w:bodyDiv w:val="1"/>
      <w:marLeft w:val="0"/>
      <w:marRight w:val="0"/>
      <w:marTop w:val="0"/>
      <w:marBottom w:val="0"/>
      <w:divBdr>
        <w:top w:val="none" w:sz="0" w:space="0" w:color="auto"/>
        <w:left w:val="none" w:sz="0" w:space="0" w:color="auto"/>
        <w:bottom w:val="none" w:sz="0" w:space="0" w:color="auto"/>
        <w:right w:val="none" w:sz="0" w:space="0" w:color="auto"/>
      </w:divBdr>
    </w:div>
    <w:div w:id="1159152395">
      <w:bodyDiv w:val="1"/>
      <w:marLeft w:val="0"/>
      <w:marRight w:val="0"/>
      <w:marTop w:val="0"/>
      <w:marBottom w:val="0"/>
      <w:divBdr>
        <w:top w:val="none" w:sz="0" w:space="0" w:color="auto"/>
        <w:left w:val="none" w:sz="0" w:space="0" w:color="auto"/>
        <w:bottom w:val="none" w:sz="0" w:space="0" w:color="auto"/>
        <w:right w:val="none" w:sz="0" w:space="0" w:color="auto"/>
      </w:divBdr>
      <w:divsChild>
        <w:div w:id="108745972">
          <w:marLeft w:val="0"/>
          <w:marRight w:val="0"/>
          <w:marTop w:val="0"/>
          <w:marBottom w:val="0"/>
          <w:divBdr>
            <w:top w:val="none" w:sz="0" w:space="0" w:color="auto"/>
            <w:left w:val="none" w:sz="0" w:space="0" w:color="auto"/>
            <w:bottom w:val="none" w:sz="0" w:space="0" w:color="auto"/>
            <w:right w:val="none" w:sz="0" w:space="0" w:color="auto"/>
          </w:divBdr>
          <w:divsChild>
            <w:div w:id="132605169">
              <w:marLeft w:val="0"/>
              <w:marRight w:val="0"/>
              <w:marTop w:val="0"/>
              <w:marBottom w:val="0"/>
              <w:divBdr>
                <w:top w:val="none" w:sz="0" w:space="0" w:color="auto"/>
                <w:left w:val="none" w:sz="0" w:space="0" w:color="auto"/>
                <w:bottom w:val="none" w:sz="0" w:space="0" w:color="auto"/>
                <w:right w:val="none" w:sz="0" w:space="0" w:color="auto"/>
              </w:divBdr>
              <w:divsChild>
                <w:div w:id="809008644">
                  <w:marLeft w:val="0"/>
                  <w:marRight w:val="0"/>
                  <w:marTop w:val="0"/>
                  <w:marBottom w:val="0"/>
                  <w:divBdr>
                    <w:top w:val="none" w:sz="0" w:space="0" w:color="auto"/>
                    <w:left w:val="none" w:sz="0" w:space="0" w:color="auto"/>
                    <w:bottom w:val="none" w:sz="0" w:space="0" w:color="auto"/>
                    <w:right w:val="none" w:sz="0" w:space="0" w:color="auto"/>
                  </w:divBdr>
                  <w:divsChild>
                    <w:div w:id="133108572">
                      <w:marLeft w:val="0"/>
                      <w:marRight w:val="0"/>
                      <w:marTop w:val="0"/>
                      <w:marBottom w:val="0"/>
                      <w:divBdr>
                        <w:top w:val="none" w:sz="0" w:space="0" w:color="auto"/>
                        <w:left w:val="none" w:sz="0" w:space="0" w:color="auto"/>
                        <w:bottom w:val="none" w:sz="0" w:space="0" w:color="auto"/>
                        <w:right w:val="none" w:sz="0" w:space="0" w:color="auto"/>
                      </w:divBdr>
                      <w:divsChild>
                        <w:div w:id="179198962">
                          <w:marLeft w:val="0"/>
                          <w:marRight w:val="0"/>
                          <w:marTop w:val="0"/>
                          <w:marBottom w:val="0"/>
                          <w:divBdr>
                            <w:top w:val="none" w:sz="0" w:space="0" w:color="auto"/>
                            <w:left w:val="none" w:sz="0" w:space="0" w:color="auto"/>
                            <w:bottom w:val="none" w:sz="0" w:space="0" w:color="auto"/>
                            <w:right w:val="none" w:sz="0" w:space="0" w:color="auto"/>
                          </w:divBdr>
                          <w:divsChild>
                            <w:div w:id="84888395">
                              <w:marLeft w:val="2700"/>
                              <w:marRight w:val="3960"/>
                              <w:marTop w:val="0"/>
                              <w:marBottom w:val="0"/>
                              <w:divBdr>
                                <w:top w:val="none" w:sz="0" w:space="0" w:color="auto"/>
                                <w:left w:val="none" w:sz="0" w:space="0" w:color="auto"/>
                                <w:bottom w:val="none" w:sz="0" w:space="0" w:color="auto"/>
                                <w:right w:val="none" w:sz="0" w:space="0" w:color="auto"/>
                              </w:divBdr>
                              <w:divsChild>
                                <w:div w:id="93092736">
                                  <w:marLeft w:val="0"/>
                                  <w:marRight w:val="0"/>
                                  <w:marTop w:val="0"/>
                                  <w:marBottom w:val="0"/>
                                  <w:divBdr>
                                    <w:top w:val="none" w:sz="0" w:space="0" w:color="auto"/>
                                    <w:left w:val="none" w:sz="0" w:space="0" w:color="auto"/>
                                    <w:bottom w:val="none" w:sz="0" w:space="0" w:color="auto"/>
                                    <w:right w:val="none" w:sz="0" w:space="0" w:color="auto"/>
                                  </w:divBdr>
                                  <w:divsChild>
                                    <w:div w:id="219220112">
                                      <w:marLeft w:val="0"/>
                                      <w:marRight w:val="0"/>
                                      <w:marTop w:val="0"/>
                                      <w:marBottom w:val="0"/>
                                      <w:divBdr>
                                        <w:top w:val="none" w:sz="0" w:space="0" w:color="auto"/>
                                        <w:left w:val="none" w:sz="0" w:space="0" w:color="auto"/>
                                        <w:bottom w:val="none" w:sz="0" w:space="0" w:color="auto"/>
                                        <w:right w:val="none" w:sz="0" w:space="0" w:color="auto"/>
                                      </w:divBdr>
                                      <w:divsChild>
                                        <w:div w:id="388191822">
                                          <w:marLeft w:val="0"/>
                                          <w:marRight w:val="0"/>
                                          <w:marTop w:val="0"/>
                                          <w:marBottom w:val="0"/>
                                          <w:divBdr>
                                            <w:top w:val="none" w:sz="0" w:space="0" w:color="auto"/>
                                            <w:left w:val="none" w:sz="0" w:space="0" w:color="auto"/>
                                            <w:bottom w:val="none" w:sz="0" w:space="0" w:color="auto"/>
                                            <w:right w:val="none" w:sz="0" w:space="0" w:color="auto"/>
                                          </w:divBdr>
                                          <w:divsChild>
                                            <w:div w:id="584219380">
                                              <w:marLeft w:val="0"/>
                                              <w:marRight w:val="0"/>
                                              <w:marTop w:val="90"/>
                                              <w:marBottom w:val="0"/>
                                              <w:divBdr>
                                                <w:top w:val="none" w:sz="0" w:space="0" w:color="auto"/>
                                                <w:left w:val="none" w:sz="0" w:space="0" w:color="auto"/>
                                                <w:bottom w:val="none" w:sz="0" w:space="0" w:color="auto"/>
                                                <w:right w:val="none" w:sz="0" w:space="0" w:color="auto"/>
                                              </w:divBdr>
                                              <w:divsChild>
                                                <w:div w:id="1464153313">
                                                  <w:marLeft w:val="0"/>
                                                  <w:marRight w:val="0"/>
                                                  <w:marTop w:val="0"/>
                                                  <w:marBottom w:val="405"/>
                                                  <w:divBdr>
                                                    <w:top w:val="none" w:sz="0" w:space="0" w:color="auto"/>
                                                    <w:left w:val="none" w:sz="0" w:space="0" w:color="auto"/>
                                                    <w:bottom w:val="none" w:sz="0" w:space="0" w:color="auto"/>
                                                    <w:right w:val="none" w:sz="0" w:space="0" w:color="auto"/>
                                                  </w:divBdr>
                                                  <w:divsChild>
                                                    <w:div w:id="1632785236">
                                                      <w:marLeft w:val="0"/>
                                                      <w:marRight w:val="0"/>
                                                      <w:marTop w:val="0"/>
                                                      <w:marBottom w:val="0"/>
                                                      <w:divBdr>
                                                        <w:top w:val="none" w:sz="0" w:space="0" w:color="auto"/>
                                                        <w:left w:val="none" w:sz="0" w:space="0" w:color="auto"/>
                                                        <w:bottom w:val="none" w:sz="0" w:space="0" w:color="auto"/>
                                                        <w:right w:val="none" w:sz="0" w:space="0" w:color="auto"/>
                                                      </w:divBdr>
                                                      <w:divsChild>
                                                        <w:div w:id="1233469457">
                                                          <w:marLeft w:val="0"/>
                                                          <w:marRight w:val="0"/>
                                                          <w:marTop w:val="0"/>
                                                          <w:marBottom w:val="0"/>
                                                          <w:divBdr>
                                                            <w:top w:val="single" w:sz="6" w:space="0" w:color="DFE1E5"/>
                                                            <w:left w:val="single" w:sz="6" w:space="0" w:color="DFE1E5"/>
                                                            <w:bottom w:val="single" w:sz="6" w:space="0" w:color="DFE1E5"/>
                                                            <w:right w:val="single" w:sz="6" w:space="0" w:color="DFE1E5"/>
                                                          </w:divBdr>
                                                          <w:divsChild>
                                                            <w:div w:id="1082020138">
                                                              <w:marLeft w:val="0"/>
                                                              <w:marRight w:val="0"/>
                                                              <w:marTop w:val="0"/>
                                                              <w:marBottom w:val="0"/>
                                                              <w:divBdr>
                                                                <w:top w:val="none" w:sz="0" w:space="0" w:color="auto"/>
                                                                <w:left w:val="none" w:sz="0" w:space="0" w:color="auto"/>
                                                                <w:bottom w:val="none" w:sz="0" w:space="0" w:color="auto"/>
                                                                <w:right w:val="none" w:sz="0" w:space="0" w:color="auto"/>
                                                              </w:divBdr>
                                                              <w:divsChild>
                                                                <w:div w:id="343240403">
                                                                  <w:marLeft w:val="0"/>
                                                                  <w:marRight w:val="0"/>
                                                                  <w:marTop w:val="0"/>
                                                                  <w:marBottom w:val="0"/>
                                                                  <w:divBdr>
                                                                    <w:top w:val="none" w:sz="0" w:space="0" w:color="auto"/>
                                                                    <w:left w:val="none" w:sz="0" w:space="0" w:color="auto"/>
                                                                    <w:bottom w:val="none" w:sz="0" w:space="0" w:color="auto"/>
                                                                    <w:right w:val="none" w:sz="0" w:space="0" w:color="auto"/>
                                                                  </w:divBdr>
                                                                  <w:divsChild>
                                                                    <w:div w:id="1760251313">
                                                                      <w:marLeft w:val="0"/>
                                                                      <w:marRight w:val="0"/>
                                                                      <w:marTop w:val="0"/>
                                                                      <w:marBottom w:val="0"/>
                                                                      <w:divBdr>
                                                                        <w:top w:val="none" w:sz="0" w:space="0" w:color="auto"/>
                                                                        <w:left w:val="none" w:sz="0" w:space="0" w:color="auto"/>
                                                                        <w:bottom w:val="none" w:sz="0" w:space="0" w:color="auto"/>
                                                                        <w:right w:val="none" w:sz="0" w:space="0" w:color="auto"/>
                                                                      </w:divBdr>
                                                                      <w:divsChild>
                                                                        <w:div w:id="814419354">
                                                                          <w:marLeft w:val="0"/>
                                                                          <w:marRight w:val="0"/>
                                                                          <w:marTop w:val="0"/>
                                                                          <w:marBottom w:val="0"/>
                                                                          <w:divBdr>
                                                                            <w:top w:val="none" w:sz="0" w:space="0" w:color="auto"/>
                                                                            <w:left w:val="none" w:sz="0" w:space="0" w:color="auto"/>
                                                                            <w:bottom w:val="none" w:sz="0" w:space="0" w:color="auto"/>
                                                                            <w:right w:val="none" w:sz="0" w:space="0" w:color="auto"/>
                                                                          </w:divBdr>
                                                                          <w:divsChild>
                                                                            <w:div w:id="1666014282">
                                                                              <w:marLeft w:val="0"/>
                                                                              <w:marRight w:val="0"/>
                                                                              <w:marTop w:val="0"/>
                                                                              <w:marBottom w:val="0"/>
                                                                              <w:divBdr>
                                                                                <w:top w:val="none" w:sz="0" w:space="0" w:color="auto"/>
                                                                                <w:left w:val="none" w:sz="0" w:space="0" w:color="auto"/>
                                                                                <w:bottom w:val="none" w:sz="0" w:space="0" w:color="auto"/>
                                                                                <w:right w:val="none" w:sz="0" w:space="0" w:color="auto"/>
                                                                              </w:divBdr>
                                                                              <w:divsChild>
                                                                                <w:div w:id="1013410986">
                                                                                  <w:marLeft w:val="0"/>
                                                                                  <w:marRight w:val="0"/>
                                                                                  <w:marTop w:val="0"/>
                                                                                  <w:marBottom w:val="0"/>
                                                                                  <w:divBdr>
                                                                                    <w:top w:val="none" w:sz="0" w:space="0" w:color="auto"/>
                                                                                    <w:left w:val="none" w:sz="0" w:space="0" w:color="auto"/>
                                                                                    <w:bottom w:val="none" w:sz="0" w:space="0" w:color="auto"/>
                                                                                    <w:right w:val="none" w:sz="0" w:space="0" w:color="auto"/>
                                                                                  </w:divBdr>
                                                                                  <w:divsChild>
                                                                                    <w:div w:id="60870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9222945">
      <w:bodyDiv w:val="1"/>
      <w:marLeft w:val="0"/>
      <w:marRight w:val="0"/>
      <w:marTop w:val="0"/>
      <w:marBottom w:val="0"/>
      <w:divBdr>
        <w:top w:val="none" w:sz="0" w:space="0" w:color="auto"/>
        <w:left w:val="none" w:sz="0" w:space="0" w:color="auto"/>
        <w:bottom w:val="none" w:sz="0" w:space="0" w:color="auto"/>
        <w:right w:val="none" w:sz="0" w:space="0" w:color="auto"/>
      </w:divBdr>
      <w:divsChild>
        <w:div w:id="944576846">
          <w:marLeft w:val="0"/>
          <w:marRight w:val="0"/>
          <w:marTop w:val="0"/>
          <w:marBottom w:val="0"/>
          <w:divBdr>
            <w:top w:val="none" w:sz="0" w:space="0" w:color="auto"/>
            <w:left w:val="none" w:sz="0" w:space="0" w:color="auto"/>
            <w:bottom w:val="none" w:sz="0" w:space="0" w:color="auto"/>
            <w:right w:val="none" w:sz="0" w:space="0" w:color="auto"/>
          </w:divBdr>
          <w:divsChild>
            <w:div w:id="1972320471">
              <w:marLeft w:val="0"/>
              <w:marRight w:val="0"/>
              <w:marTop w:val="0"/>
              <w:marBottom w:val="0"/>
              <w:divBdr>
                <w:top w:val="none" w:sz="0" w:space="0" w:color="auto"/>
                <w:left w:val="none" w:sz="0" w:space="0" w:color="auto"/>
                <w:bottom w:val="none" w:sz="0" w:space="0" w:color="auto"/>
                <w:right w:val="none" w:sz="0" w:space="0" w:color="auto"/>
              </w:divBdr>
              <w:divsChild>
                <w:div w:id="2123112520">
                  <w:marLeft w:val="0"/>
                  <w:marRight w:val="0"/>
                  <w:marTop w:val="0"/>
                  <w:marBottom w:val="0"/>
                  <w:divBdr>
                    <w:top w:val="none" w:sz="0" w:space="0" w:color="auto"/>
                    <w:left w:val="none" w:sz="0" w:space="0" w:color="auto"/>
                    <w:bottom w:val="none" w:sz="0" w:space="0" w:color="auto"/>
                    <w:right w:val="none" w:sz="0" w:space="0" w:color="auto"/>
                  </w:divBdr>
                  <w:divsChild>
                    <w:div w:id="495875307">
                      <w:marLeft w:val="0"/>
                      <w:marRight w:val="0"/>
                      <w:marTop w:val="0"/>
                      <w:marBottom w:val="0"/>
                      <w:divBdr>
                        <w:top w:val="none" w:sz="0" w:space="0" w:color="auto"/>
                        <w:left w:val="none" w:sz="0" w:space="0" w:color="auto"/>
                        <w:bottom w:val="none" w:sz="0" w:space="0" w:color="auto"/>
                        <w:right w:val="none" w:sz="0" w:space="0" w:color="auto"/>
                      </w:divBdr>
                      <w:divsChild>
                        <w:div w:id="1586304716">
                          <w:marLeft w:val="0"/>
                          <w:marRight w:val="0"/>
                          <w:marTop w:val="0"/>
                          <w:marBottom w:val="0"/>
                          <w:divBdr>
                            <w:top w:val="none" w:sz="0" w:space="0" w:color="auto"/>
                            <w:left w:val="none" w:sz="0" w:space="0" w:color="auto"/>
                            <w:bottom w:val="none" w:sz="0" w:space="0" w:color="auto"/>
                            <w:right w:val="none" w:sz="0" w:space="0" w:color="auto"/>
                          </w:divBdr>
                          <w:divsChild>
                            <w:div w:id="66349326">
                              <w:marLeft w:val="2700"/>
                              <w:marRight w:val="3960"/>
                              <w:marTop w:val="0"/>
                              <w:marBottom w:val="0"/>
                              <w:divBdr>
                                <w:top w:val="none" w:sz="0" w:space="0" w:color="auto"/>
                                <w:left w:val="none" w:sz="0" w:space="0" w:color="auto"/>
                                <w:bottom w:val="none" w:sz="0" w:space="0" w:color="auto"/>
                                <w:right w:val="none" w:sz="0" w:space="0" w:color="auto"/>
                              </w:divBdr>
                              <w:divsChild>
                                <w:div w:id="247619464">
                                  <w:marLeft w:val="0"/>
                                  <w:marRight w:val="0"/>
                                  <w:marTop w:val="0"/>
                                  <w:marBottom w:val="0"/>
                                  <w:divBdr>
                                    <w:top w:val="none" w:sz="0" w:space="0" w:color="auto"/>
                                    <w:left w:val="none" w:sz="0" w:space="0" w:color="auto"/>
                                    <w:bottom w:val="none" w:sz="0" w:space="0" w:color="auto"/>
                                    <w:right w:val="none" w:sz="0" w:space="0" w:color="auto"/>
                                  </w:divBdr>
                                  <w:divsChild>
                                    <w:div w:id="630593244">
                                      <w:marLeft w:val="0"/>
                                      <w:marRight w:val="0"/>
                                      <w:marTop w:val="0"/>
                                      <w:marBottom w:val="0"/>
                                      <w:divBdr>
                                        <w:top w:val="none" w:sz="0" w:space="0" w:color="auto"/>
                                        <w:left w:val="none" w:sz="0" w:space="0" w:color="auto"/>
                                        <w:bottom w:val="none" w:sz="0" w:space="0" w:color="auto"/>
                                        <w:right w:val="none" w:sz="0" w:space="0" w:color="auto"/>
                                      </w:divBdr>
                                      <w:divsChild>
                                        <w:div w:id="295644731">
                                          <w:marLeft w:val="0"/>
                                          <w:marRight w:val="0"/>
                                          <w:marTop w:val="0"/>
                                          <w:marBottom w:val="0"/>
                                          <w:divBdr>
                                            <w:top w:val="none" w:sz="0" w:space="0" w:color="auto"/>
                                            <w:left w:val="none" w:sz="0" w:space="0" w:color="auto"/>
                                            <w:bottom w:val="none" w:sz="0" w:space="0" w:color="auto"/>
                                            <w:right w:val="none" w:sz="0" w:space="0" w:color="auto"/>
                                          </w:divBdr>
                                          <w:divsChild>
                                            <w:div w:id="495733155">
                                              <w:marLeft w:val="0"/>
                                              <w:marRight w:val="0"/>
                                              <w:marTop w:val="90"/>
                                              <w:marBottom w:val="0"/>
                                              <w:divBdr>
                                                <w:top w:val="none" w:sz="0" w:space="0" w:color="auto"/>
                                                <w:left w:val="none" w:sz="0" w:space="0" w:color="auto"/>
                                                <w:bottom w:val="none" w:sz="0" w:space="0" w:color="auto"/>
                                                <w:right w:val="none" w:sz="0" w:space="0" w:color="auto"/>
                                              </w:divBdr>
                                              <w:divsChild>
                                                <w:div w:id="465897433">
                                                  <w:marLeft w:val="0"/>
                                                  <w:marRight w:val="0"/>
                                                  <w:marTop w:val="0"/>
                                                  <w:marBottom w:val="405"/>
                                                  <w:divBdr>
                                                    <w:top w:val="none" w:sz="0" w:space="0" w:color="auto"/>
                                                    <w:left w:val="none" w:sz="0" w:space="0" w:color="auto"/>
                                                    <w:bottom w:val="none" w:sz="0" w:space="0" w:color="auto"/>
                                                    <w:right w:val="none" w:sz="0" w:space="0" w:color="auto"/>
                                                  </w:divBdr>
                                                  <w:divsChild>
                                                    <w:div w:id="1574852234">
                                                      <w:marLeft w:val="0"/>
                                                      <w:marRight w:val="0"/>
                                                      <w:marTop w:val="0"/>
                                                      <w:marBottom w:val="0"/>
                                                      <w:divBdr>
                                                        <w:top w:val="none" w:sz="0" w:space="0" w:color="auto"/>
                                                        <w:left w:val="none" w:sz="0" w:space="0" w:color="auto"/>
                                                        <w:bottom w:val="none" w:sz="0" w:space="0" w:color="auto"/>
                                                        <w:right w:val="none" w:sz="0" w:space="0" w:color="auto"/>
                                                      </w:divBdr>
                                                      <w:divsChild>
                                                        <w:div w:id="1499228753">
                                                          <w:marLeft w:val="0"/>
                                                          <w:marRight w:val="0"/>
                                                          <w:marTop w:val="0"/>
                                                          <w:marBottom w:val="0"/>
                                                          <w:divBdr>
                                                            <w:top w:val="single" w:sz="6" w:space="0" w:color="DFE1E5"/>
                                                            <w:left w:val="single" w:sz="6" w:space="0" w:color="DFE1E5"/>
                                                            <w:bottom w:val="single" w:sz="6" w:space="0" w:color="DFE1E5"/>
                                                            <w:right w:val="single" w:sz="6" w:space="0" w:color="DFE1E5"/>
                                                          </w:divBdr>
                                                          <w:divsChild>
                                                            <w:div w:id="1002582672">
                                                              <w:marLeft w:val="0"/>
                                                              <w:marRight w:val="0"/>
                                                              <w:marTop w:val="0"/>
                                                              <w:marBottom w:val="0"/>
                                                              <w:divBdr>
                                                                <w:top w:val="none" w:sz="0" w:space="0" w:color="auto"/>
                                                                <w:left w:val="none" w:sz="0" w:space="0" w:color="auto"/>
                                                                <w:bottom w:val="none" w:sz="0" w:space="0" w:color="auto"/>
                                                                <w:right w:val="none" w:sz="0" w:space="0" w:color="auto"/>
                                                              </w:divBdr>
                                                              <w:divsChild>
                                                                <w:div w:id="1144156520">
                                                                  <w:marLeft w:val="0"/>
                                                                  <w:marRight w:val="0"/>
                                                                  <w:marTop w:val="0"/>
                                                                  <w:marBottom w:val="0"/>
                                                                  <w:divBdr>
                                                                    <w:top w:val="none" w:sz="0" w:space="0" w:color="auto"/>
                                                                    <w:left w:val="none" w:sz="0" w:space="0" w:color="auto"/>
                                                                    <w:bottom w:val="none" w:sz="0" w:space="0" w:color="auto"/>
                                                                    <w:right w:val="none" w:sz="0" w:space="0" w:color="auto"/>
                                                                  </w:divBdr>
                                                                  <w:divsChild>
                                                                    <w:div w:id="364446532">
                                                                      <w:marLeft w:val="0"/>
                                                                      <w:marRight w:val="0"/>
                                                                      <w:marTop w:val="0"/>
                                                                      <w:marBottom w:val="0"/>
                                                                      <w:divBdr>
                                                                        <w:top w:val="none" w:sz="0" w:space="0" w:color="auto"/>
                                                                        <w:left w:val="none" w:sz="0" w:space="0" w:color="auto"/>
                                                                        <w:bottom w:val="none" w:sz="0" w:space="0" w:color="auto"/>
                                                                        <w:right w:val="none" w:sz="0" w:space="0" w:color="auto"/>
                                                                      </w:divBdr>
                                                                      <w:divsChild>
                                                                        <w:div w:id="1814906782">
                                                                          <w:marLeft w:val="0"/>
                                                                          <w:marRight w:val="0"/>
                                                                          <w:marTop w:val="0"/>
                                                                          <w:marBottom w:val="0"/>
                                                                          <w:divBdr>
                                                                            <w:top w:val="none" w:sz="0" w:space="0" w:color="auto"/>
                                                                            <w:left w:val="none" w:sz="0" w:space="0" w:color="auto"/>
                                                                            <w:bottom w:val="none" w:sz="0" w:space="0" w:color="auto"/>
                                                                            <w:right w:val="none" w:sz="0" w:space="0" w:color="auto"/>
                                                                          </w:divBdr>
                                                                          <w:divsChild>
                                                                            <w:div w:id="1643342351">
                                                                              <w:marLeft w:val="0"/>
                                                                              <w:marRight w:val="0"/>
                                                                              <w:marTop w:val="0"/>
                                                                              <w:marBottom w:val="0"/>
                                                                              <w:divBdr>
                                                                                <w:top w:val="none" w:sz="0" w:space="0" w:color="auto"/>
                                                                                <w:left w:val="none" w:sz="0" w:space="0" w:color="auto"/>
                                                                                <w:bottom w:val="none" w:sz="0" w:space="0" w:color="auto"/>
                                                                                <w:right w:val="none" w:sz="0" w:space="0" w:color="auto"/>
                                                                              </w:divBdr>
                                                                              <w:divsChild>
                                                                                <w:div w:id="1393652219">
                                                                                  <w:marLeft w:val="0"/>
                                                                                  <w:marRight w:val="0"/>
                                                                                  <w:marTop w:val="0"/>
                                                                                  <w:marBottom w:val="0"/>
                                                                                  <w:divBdr>
                                                                                    <w:top w:val="none" w:sz="0" w:space="0" w:color="auto"/>
                                                                                    <w:left w:val="none" w:sz="0" w:space="0" w:color="auto"/>
                                                                                    <w:bottom w:val="none" w:sz="0" w:space="0" w:color="auto"/>
                                                                                    <w:right w:val="none" w:sz="0" w:space="0" w:color="auto"/>
                                                                                  </w:divBdr>
                                                                                  <w:divsChild>
                                                                                    <w:div w:id="15440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66386">
      <w:bodyDiv w:val="1"/>
      <w:marLeft w:val="0"/>
      <w:marRight w:val="0"/>
      <w:marTop w:val="0"/>
      <w:marBottom w:val="0"/>
      <w:divBdr>
        <w:top w:val="none" w:sz="0" w:space="0" w:color="auto"/>
        <w:left w:val="none" w:sz="0" w:space="0" w:color="auto"/>
        <w:bottom w:val="none" w:sz="0" w:space="0" w:color="auto"/>
        <w:right w:val="none" w:sz="0" w:space="0" w:color="auto"/>
      </w:divBdr>
    </w:div>
    <w:div w:id="1233395262">
      <w:bodyDiv w:val="1"/>
      <w:marLeft w:val="0"/>
      <w:marRight w:val="0"/>
      <w:marTop w:val="0"/>
      <w:marBottom w:val="0"/>
      <w:divBdr>
        <w:top w:val="none" w:sz="0" w:space="0" w:color="auto"/>
        <w:left w:val="none" w:sz="0" w:space="0" w:color="auto"/>
        <w:bottom w:val="none" w:sz="0" w:space="0" w:color="auto"/>
        <w:right w:val="none" w:sz="0" w:space="0" w:color="auto"/>
      </w:divBdr>
      <w:divsChild>
        <w:div w:id="1359231896">
          <w:marLeft w:val="0"/>
          <w:marRight w:val="0"/>
          <w:marTop w:val="0"/>
          <w:marBottom w:val="0"/>
          <w:divBdr>
            <w:top w:val="none" w:sz="0" w:space="0" w:color="auto"/>
            <w:left w:val="none" w:sz="0" w:space="0" w:color="auto"/>
            <w:bottom w:val="none" w:sz="0" w:space="0" w:color="auto"/>
            <w:right w:val="none" w:sz="0" w:space="0" w:color="auto"/>
          </w:divBdr>
          <w:divsChild>
            <w:div w:id="903100045">
              <w:marLeft w:val="0"/>
              <w:marRight w:val="0"/>
              <w:marTop w:val="0"/>
              <w:marBottom w:val="0"/>
              <w:divBdr>
                <w:top w:val="none" w:sz="0" w:space="0" w:color="auto"/>
                <w:left w:val="none" w:sz="0" w:space="0" w:color="auto"/>
                <w:bottom w:val="none" w:sz="0" w:space="0" w:color="auto"/>
                <w:right w:val="none" w:sz="0" w:space="0" w:color="auto"/>
              </w:divBdr>
              <w:divsChild>
                <w:div w:id="1897548736">
                  <w:marLeft w:val="0"/>
                  <w:marRight w:val="0"/>
                  <w:marTop w:val="0"/>
                  <w:marBottom w:val="0"/>
                  <w:divBdr>
                    <w:top w:val="none" w:sz="0" w:space="0" w:color="auto"/>
                    <w:left w:val="none" w:sz="0" w:space="0" w:color="auto"/>
                    <w:bottom w:val="none" w:sz="0" w:space="0" w:color="auto"/>
                    <w:right w:val="none" w:sz="0" w:space="0" w:color="auto"/>
                  </w:divBdr>
                  <w:divsChild>
                    <w:div w:id="1420180607">
                      <w:marLeft w:val="0"/>
                      <w:marRight w:val="0"/>
                      <w:marTop w:val="0"/>
                      <w:marBottom w:val="0"/>
                      <w:divBdr>
                        <w:top w:val="none" w:sz="0" w:space="0" w:color="auto"/>
                        <w:left w:val="none" w:sz="0" w:space="0" w:color="auto"/>
                        <w:bottom w:val="none" w:sz="0" w:space="0" w:color="auto"/>
                        <w:right w:val="none" w:sz="0" w:space="0" w:color="auto"/>
                      </w:divBdr>
                      <w:divsChild>
                        <w:div w:id="1668901164">
                          <w:marLeft w:val="0"/>
                          <w:marRight w:val="0"/>
                          <w:marTop w:val="0"/>
                          <w:marBottom w:val="0"/>
                          <w:divBdr>
                            <w:top w:val="none" w:sz="0" w:space="0" w:color="auto"/>
                            <w:left w:val="none" w:sz="0" w:space="0" w:color="auto"/>
                            <w:bottom w:val="none" w:sz="0" w:space="0" w:color="auto"/>
                            <w:right w:val="none" w:sz="0" w:space="0" w:color="auto"/>
                          </w:divBdr>
                          <w:divsChild>
                            <w:div w:id="172300846">
                              <w:marLeft w:val="2700"/>
                              <w:marRight w:val="3960"/>
                              <w:marTop w:val="0"/>
                              <w:marBottom w:val="0"/>
                              <w:divBdr>
                                <w:top w:val="none" w:sz="0" w:space="0" w:color="auto"/>
                                <w:left w:val="none" w:sz="0" w:space="0" w:color="auto"/>
                                <w:bottom w:val="none" w:sz="0" w:space="0" w:color="auto"/>
                                <w:right w:val="none" w:sz="0" w:space="0" w:color="auto"/>
                              </w:divBdr>
                              <w:divsChild>
                                <w:div w:id="1456099951">
                                  <w:marLeft w:val="0"/>
                                  <w:marRight w:val="0"/>
                                  <w:marTop w:val="0"/>
                                  <w:marBottom w:val="0"/>
                                  <w:divBdr>
                                    <w:top w:val="none" w:sz="0" w:space="0" w:color="auto"/>
                                    <w:left w:val="none" w:sz="0" w:space="0" w:color="auto"/>
                                    <w:bottom w:val="none" w:sz="0" w:space="0" w:color="auto"/>
                                    <w:right w:val="none" w:sz="0" w:space="0" w:color="auto"/>
                                  </w:divBdr>
                                  <w:divsChild>
                                    <w:div w:id="313609627">
                                      <w:marLeft w:val="0"/>
                                      <w:marRight w:val="0"/>
                                      <w:marTop w:val="0"/>
                                      <w:marBottom w:val="0"/>
                                      <w:divBdr>
                                        <w:top w:val="none" w:sz="0" w:space="0" w:color="auto"/>
                                        <w:left w:val="none" w:sz="0" w:space="0" w:color="auto"/>
                                        <w:bottom w:val="none" w:sz="0" w:space="0" w:color="auto"/>
                                        <w:right w:val="none" w:sz="0" w:space="0" w:color="auto"/>
                                      </w:divBdr>
                                      <w:divsChild>
                                        <w:div w:id="398791899">
                                          <w:marLeft w:val="0"/>
                                          <w:marRight w:val="0"/>
                                          <w:marTop w:val="0"/>
                                          <w:marBottom w:val="0"/>
                                          <w:divBdr>
                                            <w:top w:val="none" w:sz="0" w:space="0" w:color="auto"/>
                                            <w:left w:val="none" w:sz="0" w:space="0" w:color="auto"/>
                                            <w:bottom w:val="none" w:sz="0" w:space="0" w:color="auto"/>
                                            <w:right w:val="none" w:sz="0" w:space="0" w:color="auto"/>
                                          </w:divBdr>
                                          <w:divsChild>
                                            <w:div w:id="1345782328">
                                              <w:marLeft w:val="0"/>
                                              <w:marRight w:val="0"/>
                                              <w:marTop w:val="90"/>
                                              <w:marBottom w:val="0"/>
                                              <w:divBdr>
                                                <w:top w:val="none" w:sz="0" w:space="0" w:color="auto"/>
                                                <w:left w:val="none" w:sz="0" w:space="0" w:color="auto"/>
                                                <w:bottom w:val="none" w:sz="0" w:space="0" w:color="auto"/>
                                                <w:right w:val="none" w:sz="0" w:space="0" w:color="auto"/>
                                              </w:divBdr>
                                              <w:divsChild>
                                                <w:div w:id="761606263">
                                                  <w:marLeft w:val="0"/>
                                                  <w:marRight w:val="0"/>
                                                  <w:marTop w:val="0"/>
                                                  <w:marBottom w:val="405"/>
                                                  <w:divBdr>
                                                    <w:top w:val="none" w:sz="0" w:space="0" w:color="auto"/>
                                                    <w:left w:val="none" w:sz="0" w:space="0" w:color="auto"/>
                                                    <w:bottom w:val="none" w:sz="0" w:space="0" w:color="auto"/>
                                                    <w:right w:val="none" w:sz="0" w:space="0" w:color="auto"/>
                                                  </w:divBdr>
                                                  <w:divsChild>
                                                    <w:div w:id="397439872">
                                                      <w:marLeft w:val="0"/>
                                                      <w:marRight w:val="0"/>
                                                      <w:marTop w:val="0"/>
                                                      <w:marBottom w:val="0"/>
                                                      <w:divBdr>
                                                        <w:top w:val="none" w:sz="0" w:space="0" w:color="auto"/>
                                                        <w:left w:val="none" w:sz="0" w:space="0" w:color="auto"/>
                                                        <w:bottom w:val="none" w:sz="0" w:space="0" w:color="auto"/>
                                                        <w:right w:val="none" w:sz="0" w:space="0" w:color="auto"/>
                                                      </w:divBdr>
                                                      <w:divsChild>
                                                        <w:div w:id="1738746770">
                                                          <w:marLeft w:val="0"/>
                                                          <w:marRight w:val="0"/>
                                                          <w:marTop w:val="0"/>
                                                          <w:marBottom w:val="0"/>
                                                          <w:divBdr>
                                                            <w:top w:val="single" w:sz="6" w:space="0" w:color="DFE1E5"/>
                                                            <w:left w:val="single" w:sz="6" w:space="0" w:color="DFE1E5"/>
                                                            <w:bottom w:val="single" w:sz="6" w:space="0" w:color="DFE1E5"/>
                                                            <w:right w:val="single" w:sz="6" w:space="0" w:color="DFE1E5"/>
                                                          </w:divBdr>
                                                          <w:divsChild>
                                                            <w:div w:id="1641770034">
                                                              <w:marLeft w:val="0"/>
                                                              <w:marRight w:val="0"/>
                                                              <w:marTop w:val="0"/>
                                                              <w:marBottom w:val="0"/>
                                                              <w:divBdr>
                                                                <w:top w:val="none" w:sz="0" w:space="0" w:color="auto"/>
                                                                <w:left w:val="none" w:sz="0" w:space="0" w:color="auto"/>
                                                                <w:bottom w:val="none" w:sz="0" w:space="0" w:color="auto"/>
                                                                <w:right w:val="none" w:sz="0" w:space="0" w:color="auto"/>
                                                              </w:divBdr>
                                                              <w:divsChild>
                                                                <w:div w:id="53702022">
                                                                  <w:marLeft w:val="0"/>
                                                                  <w:marRight w:val="0"/>
                                                                  <w:marTop w:val="0"/>
                                                                  <w:marBottom w:val="0"/>
                                                                  <w:divBdr>
                                                                    <w:top w:val="none" w:sz="0" w:space="0" w:color="auto"/>
                                                                    <w:left w:val="none" w:sz="0" w:space="0" w:color="auto"/>
                                                                    <w:bottom w:val="none" w:sz="0" w:space="0" w:color="auto"/>
                                                                    <w:right w:val="none" w:sz="0" w:space="0" w:color="auto"/>
                                                                  </w:divBdr>
                                                                  <w:divsChild>
                                                                    <w:div w:id="989407258">
                                                                      <w:marLeft w:val="0"/>
                                                                      <w:marRight w:val="0"/>
                                                                      <w:marTop w:val="0"/>
                                                                      <w:marBottom w:val="0"/>
                                                                      <w:divBdr>
                                                                        <w:top w:val="none" w:sz="0" w:space="0" w:color="auto"/>
                                                                        <w:left w:val="none" w:sz="0" w:space="0" w:color="auto"/>
                                                                        <w:bottom w:val="none" w:sz="0" w:space="0" w:color="auto"/>
                                                                        <w:right w:val="none" w:sz="0" w:space="0" w:color="auto"/>
                                                                      </w:divBdr>
                                                                      <w:divsChild>
                                                                        <w:div w:id="1011877329">
                                                                          <w:marLeft w:val="0"/>
                                                                          <w:marRight w:val="0"/>
                                                                          <w:marTop w:val="0"/>
                                                                          <w:marBottom w:val="0"/>
                                                                          <w:divBdr>
                                                                            <w:top w:val="none" w:sz="0" w:space="0" w:color="auto"/>
                                                                            <w:left w:val="none" w:sz="0" w:space="0" w:color="auto"/>
                                                                            <w:bottom w:val="none" w:sz="0" w:space="0" w:color="auto"/>
                                                                            <w:right w:val="none" w:sz="0" w:space="0" w:color="auto"/>
                                                                          </w:divBdr>
                                                                          <w:divsChild>
                                                                            <w:div w:id="87360604">
                                                                              <w:marLeft w:val="0"/>
                                                                              <w:marRight w:val="0"/>
                                                                              <w:marTop w:val="0"/>
                                                                              <w:marBottom w:val="0"/>
                                                                              <w:divBdr>
                                                                                <w:top w:val="none" w:sz="0" w:space="0" w:color="auto"/>
                                                                                <w:left w:val="none" w:sz="0" w:space="0" w:color="auto"/>
                                                                                <w:bottom w:val="none" w:sz="0" w:space="0" w:color="auto"/>
                                                                                <w:right w:val="none" w:sz="0" w:space="0" w:color="auto"/>
                                                                              </w:divBdr>
                                                                              <w:divsChild>
                                                                                <w:div w:id="144442799">
                                                                                  <w:marLeft w:val="0"/>
                                                                                  <w:marRight w:val="0"/>
                                                                                  <w:marTop w:val="0"/>
                                                                                  <w:marBottom w:val="0"/>
                                                                                  <w:divBdr>
                                                                                    <w:top w:val="none" w:sz="0" w:space="0" w:color="auto"/>
                                                                                    <w:left w:val="none" w:sz="0" w:space="0" w:color="auto"/>
                                                                                    <w:bottom w:val="none" w:sz="0" w:space="0" w:color="auto"/>
                                                                                    <w:right w:val="none" w:sz="0" w:space="0" w:color="auto"/>
                                                                                  </w:divBdr>
                                                                                  <w:divsChild>
                                                                                    <w:div w:id="14184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5792120">
      <w:bodyDiv w:val="1"/>
      <w:marLeft w:val="0"/>
      <w:marRight w:val="0"/>
      <w:marTop w:val="0"/>
      <w:marBottom w:val="0"/>
      <w:divBdr>
        <w:top w:val="none" w:sz="0" w:space="0" w:color="auto"/>
        <w:left w:val="none" w:sz="0" w:space="0" w:color="auto"/>
        <w:bottom w:val="none" w:sz="0" w:space="0" w:color="auto"/>
        <w:right w:val="none" w:sz="0" w:space="0" w:color="auto"/>
      </w:divBdr>
    </w:div>
    <w:div w:id="1358042840">
      <w:bodyDiv w:val="1"/>
      <w:marLeft w:val="0"/>
      <w:marRight w:val="0"/>
      <w:marTop w:val="0"/>
      <w:marBottom w:val="0"/>
      <w:divBdr>
        <w:top w:val="none" w:sz="0" w:space="0" w:color="auto"/>
        <w:left w:val="none" w:sz="0" w:space="0" w:color="auto"/>
        <w:bottom w:val="none" w:sz="0" w:space="0" w:color="auto"/>
        <w:right w:val="none" w:sz="0" w:space="0" w:color="auto"/>
      </w:divBdr>
      <w:divsChild>
        <w:div w:id="315887042">
          <w:marLeft w:val="0"/>
          <w:marRight w:val="0"/>
          <w:marTop w:val="0"/>
          <w:marBottom w:val="0"/>
          <w:divBdr>
            <w:top w:val="none" w:sz="0" w:space="0" w:color="auto"/>
            <w:left w:val="none" w:sz="0" w:space="0" w:color="auto"/>
            <w:bottom w:val="none" w:sz="0" w:space="0" w:color="auto"/>
            <w:right w:val="none" w:sz="0" w:space="0" w:color="auto"/>
          </w:divBdr>
          <w:divsChild>
            <w:div w:id="319627170">
              <w:marLeft w:val="0"/>
              <w:marRight w:val="0"/>
              <w:marTop w:val="0"/>
              <w:marBottom w:val="0"/>
              <w:divBdr>
                <w:top w:val="none" w:sz="0" w:space="0" w:color="auto"/>
                <w:left w:val="none" w:sz="0" w:space="0" w:color="auto"/>
                <w:bottom w:val="none" w:sz="0" w:space="0" w:color="auto"/>
                <w:right w:val="none" w:sz="0" w:space="0" w:color="auto"/>
              </w:divBdr>
              <w:divsChild>
                <w:div w:id="649211541">
                  <w:marLeft w:val="0"/>
                  <w:marRight w:val="0"/>
                  <w:marTop w:val="0"/>
                  <w:marBottom w:val="0"/>
                  <w:divBdr>
                    <w:top w:val="none" w:sz="0" w:space="0" w:color="auto"/>
                    <w:left w:val="none" w:sz="0" w:space="0" w:color="auto"/>
                    <w:bottom w:val="none" w:sz="0" w:space="0" w:color="auto"/>
                    <w:right w:val="none" w:sz="0" w:space="0" w:color="auto"/>
                  </w:divBdr>
                  <w:divsChild>
                    <w:div w:id="1039016643">
                      <w:marLeft w:val="0"/>
                      <w:marRight w:val="0"/>
                      <w:marTop w:val="0"/>
                      <w:marBottom w:val="0"/>
                      <w:divBdr>
                        <w:top w:val="none" w:sz="0" w:space="0" w:color="auto"/>
                        <w:left w:val="none" w:sz="0" w:space="0" w:color="auto"/>
                        <w:bottom w:val="none" w:sz="0" w:space="0" w:color="auto"/>
                        <w:right w:val="none" w:sz="0" w:space="0" w:color="auto"/>
                      </w:divBdr>
                      <w:divsChild>
                        <w:div w:id="774791143">
                          <w:marLeft w:val="0"/>
                          <w:marRight w:val="0"/>
                          <w:marTop w:val="0"/>
                          <w:marBottom w:val="0"/>
                          <w:divBdr>
                            <w:top w:val="none" w:sz="0" w:space="0" w:color="auto"/>
                            <w:left w:val="none" w:sz="0" w:space="0" w:color="auto"/>
                            <w:bottom w:val="none" w:sz="0" w:space="0" w:color="auto"/>
                            <w:right w:val="none" w:sz="0" w:space="0" w:color="auto"/>
                          </w:divBdr>
                          <w:divsChild>
                            <w:div w:id="1923027563">
                              <w:marLeft w:val="2700"/>
                              <w:marRight w:val="3960"/>
                              <w:marTop w:val="0"/>
                              <w:marBottom w:val="0"/>
                              <w:divBdr>
                                <w:top w:val="none" w:sz="0" w:space="0" w:color="auto"/>
                                <w:left w:val="none" w:sz="0" w:space="0" w:color="auto"/>
                                <w:bottom w:val="none" w:sz="0" w:space="0" w:color="auto"/>
                                <w:right w:val="none" w:sz="0" w:space="0" w:color="auto"/>
                              </w:divBdr>
                              <w:divsChild>
                                <w:div w:id="1729717772">
                                  <w:marLeft w:val="0"/>
                                  <w:marRight w:val="0"/>
                                  <w:marTop w:val="0"/>
                                  <w:marBottom w:val="0"/>
                                  <w:divBdr>
                                    <w:top w:val="none" w:sz="0" w:space="0" w:color="auto"/>
                                    <w:left w:val="none" w:sz="0" w:space="0" w:color="auto"/>
                                    <w:bottom w:val="none" w:sz="0" w:space="0" w:color="auto"/>
                                    <w:right w:val="none" w:sz="0" w:space="0" w:color="auto"/>
                                  </w:divBdr>
                                  <w:divsChild>
                                    <w:div w:id="549850949">
                                      <w:marLeft w:val="0"/>
                                      <w:marRight w:val="0"/>
                                      <w:marTop w:val="0"/>
                                      <w:marBottom w:val="0"/>
                                      <w:divBdr>
                                        <w:top w:val="none" w:sz="0" w:space="0" w:color="auto"/>
                                        <w:left w:val="none" w:sz="0" w:space="0" w:color="auto"/>
                                        <w:bottom w:val="none" w:sz="0" w:space="0" w:color="auto"/>
                                        <w:right w:val="none" w:sz="0" w:space="0" w:color="auto"/>
                                      </w:divBdr>
                                      <w:divsChild>
                                        <w:div w:id="1236470629">
                                          <w:marLeft w:val="0"/>
                                          <w:marRight w:val="0"/>
                                          <w:marTop w:val="0"/>
                                          <w:marBottom w:val="0"/>
                                          <w:divBdr>
                                            <w:top w:val="none" w:sz="0" w:space="0" w:color="auto"/>
                                            <w:left w:val="none" w:sz="0" w:space="0" w:color="auto"/>
                                            <w:bottom w:val="none" w:sz="0" w:space="0" w:color="auto"/>
                                            <w:right w:val="none" w:sz="0" w:space="0" w:color="auto"/>
                                          </w:divBdr>
                                          <w:divsChild>
                                            <w:div w:id="1050499153">
                                              <w:marLeft w:val="0"/>
                                              <w:marRight w:val="0"/>
                                              <w:marTop w:val="90"/>
                                              <w:marBottom w:val="0"/>
                                              <w:divBdr>
                                                <w:top w:val="none" w:sz="0" w:space="0" w:color="auto"/>
                                                <w:left w:val="none" w:sz="0" w:space="0" w:color="auto"/>
                                                <w:bottom w:val="none" w:sz="0" w:space="0" w:color="auto"/>
                                                <w:right w:val="none" w:sz="0" w:space="0" w:color="auto"/>
                                              </w:divBdr>
                                              <w:divsChild>
                                                <w:div w:id="1326201228">
                                                  <w:marLeft w:val="0"/>
                                                  <w:marRight w:val="0"/>
                                                  <w:marTop w:val="0"/>
                                                  <w:marBottom w:val="405"/>
                                                  <w:divBdr>
                                                    <w:top w:val="none" w:sz="0" w:space="0" w:color="auto"/>
                                                    <w:left w:val="none" w:sz="0" w:space="0" w:color="auto"/>
                                                    <w:bottom w:val="none" w:sz="0" w:space="0" w:color="auto"/>
                                                    <w:right w:val="none" w:sz="0" w:space="0" w:color="auto"/>
                                                  </w:divBdr>
                                                  <w:divsChild>
                                                    <w:div w:id="3944740">
                                                      <w:marLeft w:val="0"/>
                                                      <w:marRight w:val="0"/>
                                                      <w:marTop w:val="0"/>
                                                      <w:marBottom w:val="0"/>
                                                      <w:divBdr>
                                                        <w:top w:val="none" w:sz="0" w:space="0" w:color="auto"/>
                                                        <w:left w:val="none" w:sz="0" w:space="0" w:color="auto"/>
                                                        <w:bottom w:val="none" w:sz="0" w:space="0" w:color="auto"/>
                                                        <w:right w:val="none" w:sz="0" w:space="0" w:color="auto"/>
                                                      </w:divBdr>
                                                      <w:divsChild>
                                                        <w:div w:id="1345353426">
                                                          <w:marLeft w:val="0"/>
                                                          <w:marRight w:val="0"/>
                                                          <w:marTop w:val="0"/>
                                                          <w:marBottom w:val="0"/>
                                                          <w:divBdr>
                                                            <w:top w:val="single" w:sz="6" w:space="0" w:color="DFE1E5"/>
                                                            <w:left w:val="single" w:sz="6" w:space="0" w:color="DFE1E5"/>
                                                            <w:bottom w:val="single" w:sz="6" w:space="0" w:color="DFE1E5"/>
                                                            <w:right w:val="single" w:sz="6" w:space="0" w:color="DFE1E5"/>
                                                          </w:divBdr>
                                                          <w:divsChild>
                                                            <w:div w:id="1232733340">
                                                              <w:marLeft w:val="0"/>
                                                              <w:marRight w:val="0"/>
                                                              <w:marTop w:val="0"/>
                                                              <w:marBottom w:val="0"/>
                                                              <w:divBdr>
                                                                <w:top w:val="none" w:sz="0" w:space="0" w:color="auto"/>
                                                                <w:left w:val="none" w:sz="0" w:space="0" w:color="auto"/>
                                                                <w:bottom w:val="none" w:sz="0" w:space="0" w:color="auto"/>
                                                                <w:right w:val="none" w:sz="0" w:space="0" w:color="auto"/>
                                                              </w:divBdr>
                                                              <w:divsChild>
                                                                <w:div w:id="24138029">
                                                                  <w:marLeft w:val="0"/>
                                                                  <w:marRight w:val="0"/>
                                                                  <w:marTop w:val="0"/>
                                                                  <w:marBottom w:val="0"/>
                                                                  <w:divBdr>
                                                                    <w:top w:val="none" w:sz="0" w:space="0" w:color="auto"/>
                                                                    <w:left w:val="none" w:sz="0" w:space="0" w:color="auto"/>
                                                                    <w:bottom w:val="none" w:sz="0" w:space="0" w:color="auto"/>
                                                                    <w:right w:val="none" w:sz="0" w:space="0" w:color="auto"/>
                                                                  </w:divBdr>
                                                                  <w:divsChild>
                                                                    <w:div w:id="1052922716">
                                                                      <w:marLeft w:val="0"/>
                                                                      <w:marRight w:val="0"/>
                                                                      <w:marTop w:val="0"/>
                                                                      <w:marBottom w:val="0"/>
                                                                      <w:divBdr>
                                                                        <w:top w:val="none" w:sz="0" w:space="0" w:color="auto"/>
                                                                        <w:left w:val="none" w:sz="0" w:space="0" w:color="auto"/>
                                                                        <w:bottom w:val="none" w:sz="0" w:space="0" w:color="auto"/>
                                                                        <w:right w:val="none" w:sz="0" w:space="0" w:color="auto"/>
                                                                      </w:divBdr>
                                                                      <w:divsChild>
                                                                        <w:div w:id="1606424659">
                                                                          <w:marLeft w:val="0"/>
                                                                          <w:marRight w:val="0"/>
                                                                          <w:marTop w:val="0"/>
                                                                          <w:marBottom w:val="0"/>
                                                                          <w:divBdr>
                                                                            <w:top w:val="none" w:sz="0" w:space="0" w:color="auto"/>
                                                                            <w:left w:val="none" w:sz="0" w:space="0" w:color="auto"/>
                                                                            <w:bottom w:val="none" w:sz="0" w:space="0" w:color="auto"/>
                                                                            <w:right w:val="none" w:sz="0" w:space="0" w:color="auto"/>
                                                                          </w:divBdr>
                                                                          <w:divsChild>
                                                                            <w:div w:id="1449274253">
                                                                              <w:marLeft w:val="0"/>
                                                                              <w:marRight w:val="0"/>
                                                                              <w:marTop w:val="0"/>
                                                                              <w:marBottom w:val="0"/>
                                                                              <w:divBdr>
                                                                                <w:top w:val="none" w:sz="0" w:space="0" w:color="auto"/>
                                                                                <w:left w:val="none" w:sz="0" w:space="0" w:color="auto"/>
                                                                                <w:bottom w:val="none" w:sz="0" w:space="0" w:color="auto"/>
                                                                                <w:right w:val="none" w:sz="0" w:space="0" w:color="auto"/>
                                                                              </w:divBdr>
                                                                              <w:divsChild>
                                                                                <w:div w:id="1176651880">
                                                                                  <w:marLeft w:val="0"/>
                                                                                  <w:marRight w:val="0"/>
                                                                                  <w:marTop w:val="0"/>
                                                                                  <w:marBottom w:val="0"/>
                                                                                  <w:divBdr>
                                                                                    <w:top w:val="none" w:sz="0" w:space="0" w:color="auto"/>
                                                                                    <w:left w:val="none" w:sz="0" w:space="0" w:color="auto"/>
                                                                                    <w:bottom w:val="none" w:sz="0" w:space="0" w:color="auto"/>
                                                                                    <w:right w:val="none" w:sz="0" w:space="0" w:color="auto"/>
                                                                                  </w:divBdr>
                                                                                  <w:divsChild>
                                                                                    <w:div w:id="17244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7879075">
      <w:bodyDiv w:val="1"/>
      <w:marLeft w:val="0"/>
      <w:marRight w:val="0"/>
      <w:marTop w:val="0"/>
      <w:marBottom w:val="0"/>
      <w:divBdr>
        <w:top w:val="none" w:sz="0" w:space="0" w:color="auto"/>
        <w:left w:val="none" w:sz="0" w:space="0" w:color="auto"/>
        <w:bottom w:val="none" w:sz="0" w:space="0" w:color="auto"/>
        <w:right w:val="none" w:sz="0" w:space="0" w:color="auto"/>
      </w:divBdr>
    </w:div>
    <w:div w:id="1415710202">
      <w:bodyDiv w:val="1"/>
      <w:marLeft w:val="0"/>
      <w:marRight w:val="0"/>
      <w:marTop w:val="0"/>
      <w:marBottom w:val="0"/>
      <w:divBdr>
        <w:top w:val="none" w:sz="0" w:space="0" w:color="auto"/>
        <w:left w:val="none" w:sz="0" w:space="0" w:color="auto"/>
        <w:bottom w:val="none" w:sz="0" w:space="0" w:color="auto"/>
        <w:right w:val="none" w:sz="0" w:space="0" w:color="auto"/>
      </w:divBdr>
      <w:divsChild>
        <w:div w:id="1317875354">
          <w:marLeft w:val="0"/>
          <w:marRight w:val="0"/>
          <w:marTop w:val="0"/>
          <w:marBottom w:val="0"/>
          <w:divBdr>
            <w:top w:val="none" w:sz="0" w:space="0" w:color="auto"/>
            <w:left w:val="none" w:sz="0" w:space="0" w:color="auto"/>
            <w:bottom w:val="none" w:sz="0" w:space="0" w:color="auto"/>
            <w:right w:val="none" w:sz="0" w:space="0" w:color="auto"/>
          </w:divBdr>
          <w:divsChild>
            <w:div w:id="175968372">
              <w:marLeft w:val="0"/>
              <w:marRight w:val="0"/>
              <w:marTop w:val="0"/>
              <w:marBottom w:val="0"/>
              <w:divBdr>
                <w:top w:val="none" w:sz="0" w:space="0" w:color="auto"/>
                <w:left w:val="none" w:sz="0" w:space="0" w:color="auto"/>
                <w:bottom w:val="none" w:sz="0" w:space="0" w:color="auto"/>
                <w:right w:val="none" w:sz="0" w:space="0" w:color="auto"/>
              </w:divBdr>
              <w:divsChild>
                <w:div w:id="952900160">
                  <w:marLeft w:val="0"/>
                  <w:marRight w:val="0"/>
                  <w:marTop w:val="0"/>
                  <w:marBottom w:val="0"/>
                  <w:divBdr>
                    <w:top w:val="none" w:sz="0" w:space="0" w:color="auto"/>
                    <w:left w:val="none" w:sz="0" w:space="0" w:color="auto"/>
                    <w:bottom w:val="none" w:sz="0" w:space="0" w:color="auto"/>
                    <w:right w:val="none" w:sz="0" w:space="0" w:color="auto"/>
                  </w:divBdr>
                  <w:divsChild>
                    <w:div w:id="685206974">
                      <w:marLeft w:val="0"/>
                      <w:marRight w:val="0"/>
                      <w:marTop w:val="0"/>
                      <w:marBottom w:val="0"/>
                      <w:divBdr>
                        <w:top w:val="none" w:sz="0" w:space="0" w:color="auto"/>
                        <w:left w:val="none" w:sz="0" w:space="0" w:color="auto"/>
                        <w:bottom w:val="none" w:sz="0" w:space="0" w:color="auto"/>
                        <w:right w:val="none" w:sz="0" w:space="0" w:color="auto"/>
                      </w:divBdr>
                      <w:divsChild>
                        <w:div w:id="484056280">
                          <w:marLeft w:val="0"/>
                          <w:marRight w:val="0"/>
                          <w:marTop w:val="0"/>
                          <w:marBottom w:val="0"/>
                          <w:divBdr>
                            <w:top w:val="none" w:sz="0" w:space="0" w:color="auto"/>
                            <w:left w:val="none" w:sz="0" w:space="0" w:color="auto"/>
                            <w:bottom w:val="none" w:sz="0" w:space="0" w:color="auto"/>
                            <w:right w:val="none" w:sz="0" w:space="0" w:color="auto"/>
                          </w:divBdr>
                          <w:divsChild>
                            <w:div w:id="112796832">
                              <w:marLeft w:val="2700"/>
                              <w:marRight w:val="3960"/>
                              <w:marTop w:val="0"/>
                              <w:marBottom w:val="0"/>
                              <w:divBdr>
                                <w:top w:val="none" w:sz="0" w:space="0" w:color="auto"/>
                                <w:left w:val="none" w:sz="0" w:space="0" w:color="auto"/>
                                <w:bottom w:val="none" w:sz="0" w:space="0" w:color="auto"/>
                                <w:right w:val="none" w:sz="0" w:space="0" w:color="auto"/>
                              </w:divBdr>
                              <w:divsChild>
                                <w:div w:id="1183667570">
                                  <w:marLeft w:val="0"/>
                                  <w:marRight w:val="0"/>
                                  <w:marTop w:val="0"/>
                                  <w:marBottom w:val="0"/>
                                  <w:divBdr>
                                    <w:top w:val="none" w:sz="0" w:space="0" w:color="auto"/>
                                    <w:left w:val="none" w:sz="0" w:space="0" w:color="auto"/>
                                    <w:bottom w:val="none" w:sz="0" w:space="0" w:color="auto"/>
                                    <w:right w:val="none" w:sz="0" w:space="0" w:color="auto"/>
                                  </w:divBdr>
                                  <w:divsChild>
                                    <w:div w:id="1731077658">
                                      <w:marLeft w:val="0"/>
                                      <w:marRight w:val="0"/>
                                      <w:marTop w:val="0"/>
                                      <w:marBottom w:val="0"/>
                                      <w:divBdr>
                                        <w:top w:val="none" w:sz="0" w:space="0" w:color="auto"/>
                                        <w:left w:val="none" w:sz="0" w:space="0" w:color="auto"/>
                                        <w:bottom w:val="none" w:sz="0" w:space="0" w:color="auto"/>
                                        <w:right w:val="none" w:sz="0" w:space="0" w:color="auto"/>
                                      </w:divBdr>
                                      <w:divsChild>
                                        <w:div w:id="301739891">
                                          <w:marLeft w:val="0"/>
                                          <w:marRight w:val="0"/>
                                          <w:marTop w:val="0"/>
                                          <w:marBottom w:val="0"/>
                                          <w:divBdr>
                                            <w:top w:val="none" w:sz="0" w:space="0" w:color="auto"/>
                                            <w:left w:val="none" w:sz="0" w:space="0" w:color="auto"/>
                                            <w:bottom w:val="none" w:sz="0" w:space="0" w:color="auto"/>
                                            <w:right w:val="none" w:sz="0" w:space="0" w:color="auto"/>
                                          </w:divBdr>
                                          <w:divsChild>
                                            <w:div w:id="250431480">
                                              <w:marLeft w:val="0"/>
                                              <w:marRight w:val="0"/>
                                              <w:marTop w:val="90"/>
                                              <w:marBottom w:val="0"/>
                                              <w:divBdr>
                                                <w:top w:val="none" w:sz="0" w:space="0" w:color="auto"/>
                                                <w:left w:val="none" w:sz="0" w:space="0" w:color="auto"/>
                                                <w:bottom w:val="none" w:sz="0" w:space="0" w:color="auto"/>
                                                <w:right w:val="none" w:sz="0" w:space="0" w:color="auto"/>
                                              </w:divBdr>
                                              <w:divsChild>
                                                <w:div w:id="357853889">
                                                  <w:marLeft w:val="0"/>
                                                  <w:marRight w:val="0"/>
                                                  <w:marTop w:val="0"/>
                                                  <w:marBottom w:val="405"/>
                                                  <w:divBdr>
                                                    <w:top w:val="none" w:sz="0" w:space="0" w:color="auto"/>
                                                    <w:left w:val="none" w:sz="0" w:space="0" w:color="auto"/>
                                                    <w:bottom w:val="none" w:sz="0" w:space="0" w:color="auto"/>
                                                    <w:right w:val="none" w:sz="0" w:space="0" w:color="auto"/>
                                                  </w:divBdr>
                                                  <w:divsChild>
                                                    <w:div w:id="885222081">
                                                      <w:marLeft w:val="0"/>
                                                      <w:marRight w:val="0"/>
                                                      <w:marTop w:val="0"/>
                                                      <w:marBottom w:val="0"/>
                                                      <w:divBdr>
                                                        <w:top w:val="none" w:sz="0" w:space="0" w:color="auto"/>
                                                        <w:left w:val="none" w:sz="0" w:space="0" w:color="auto"/>
                                                        <w:bottom w:val="none" w:sz="0" w:space="0" w:color="auto"/>
                                                        <w:right w:val="none" w:sz="0" w:space="0" w:color="auto"/>
                                                      </w:divBdr>
                                                      <w:divsChild>
                                                        <w:div w:id="1220434631">
                                                          <w:marLeft w:val="0"/>
                                                          <w:marRight w:val="0"/>
                                                          <w:marTop w:val="0"/>
                                                          <w:marBottom w:val="0"/>
                                                          <w:divBdr>
                                                            <w:top w:val="single" w:sz="6" w:space="0" w:color="DFE1E5"/>
                                                            <w:left w:val="single" w:sz="6" w:space="0" w:color="DFE1E5"/>
                                                            <w:bottom w:val="single" w:sz="6" w:space="0" w:color="DFE1E5"/>
                                                            <w:right w:val="single" w:sz="6" w:space="0" w:color="DFE1E5"/>
                                                          </w:divBdr>
                                                          <w:divsChild>
                                                            <w:div w:id="1624725906">
                                                              <w:marLeft w:val="0"/>
                                                              <w:marRight w:val="0"/>
                                                              <w:marTop w:val="0"/>
                                                              <w:marBottom w:val="0"/>
                                                              <w:divBdr>
                                                                <w:top w:val="none" w:sz="0" w:space="0" w:color="auto"/>
                                                                <w:left w:val="none" w:sz="0" w:space="0" w:color="auto"/>
                                                                <w:bottom w:val="none" w:sz="0" w:space="0" w:color="auto"/>
                                                                <w:right w:val="none" w:sz="0" w:space="0" w:color="auto"/>
                                                              </w:divBdr>
                                                              <w:divsChild>
                                                                <w:div w:id="1705591221">
                                                                  <w:marLeft w:val="0"/>
                                                                  <w:marRight w:val="0"/>
                                                                  <w:marTop w:val="0"/>
                                                                  <w:marBottom w:val="0"/>
                                                                  <w:divBdr>
                                                                    <w:top w:val="none" w:sz="0" w:space="0" w:color="auto"/>
                                                                    <w:left w:val="none" w:sz="0" w:space="0" w:color="auto"/>
                                                                    <w:bottom w:val="none" w:sz="0" w:space="0" w:color="auto"/>
                                                                    <w:right w:val="none" w:sz="0" w:space="0" w:color="auto"/>
                                                                  </w:divBdr>
                                                                  <w:divsChild>
                                                                    <w:div w:id="538472025">
                                                                      <w:marLeft w:val="0"/>
                                                                      <w:marRight w:val="0"/>
                                                                      <w:marTop w:val="0"/>
                                                                      <w:marBottom w:val="0"/>
                                                                      <w:divBdr>
                                                                        <w:top w:val="none" w:sz="0" w:space="0" w:color="auto"/>
                                                                        <w:left w:val="none" w:sz="0" w:space="0" w:color="auto"/>
                                                                        <w:bottom w:val="none" w:sz="0" w:space="0" w:color="auto"/>
                                                                        <w:right w:val="none" w:sz="0" w:space="0" w:color="auto"/>
                                                                      </w:divBdr>
                                                                      <w:divsChild>
                                                                        <w:div w:id="920675706">
                                                                          <w:marLeft w:val="0"/>
                                                                          <w:marRight w:val="0"/>
                                                                          <w:marTop w:val="0"/>
                                                                          <w:marBottom w:val="0"/>
                                                                          <w:divBdr>
                                                                            <w:top w:val="none" w:sz="0" w:space="0" w:color="auto"/>
                                                                            <w:left w:val="none" w:sz="0" w:space="0" w:color="auto"/>
                                                                            <w:bottom w:val="none" w:sz="0" w:space="0" w:color="auto"/>
                                                                            <w:right w:val="none" w:sz="0" w:space="0" w:color="auto"/>
                                                                          </w:divBdr>
                                                                          <w:divsChild>
                                                                            <w:div w:id="2051152606">
                                                                              <w:marLeft w:val="0"/>
                                                                              <w:marRight w:val="0"/>
                                                                              <w:marTop w:val="0"/>
                                                                              <w:marBottom w:val="0"/>
                                                                              <w:divBdr>
                                                                                <w:top w:val="none" w:sz="0" w:space="0" w:color="auto"/>
                                                                                <w:left w:val="none" w:sz="0" w:space="0" w:color="auto"/>
                                                                                <w:bottom w:val="none" w:sz="0" w:space="0" w:color="auto"/>
                                                                                <w:right w:val="none" w:sz="0" w:space="0" w:color="auto"/>
                                                                              </w:divBdr>
                                                                              <w:divsChild>
                                                                                <w:div w:id="1882934547">
                                                                                  <w:marLeft w:val="0"/>
                                                                                  <w:marRight w:val="0"/>
                                                                                  <w:marTop w:val="0"/>
                                                                                  <w:marBottom w:val="0"/>
                                                                                  <w:divBdr>
                                                                                    <w:top w:val="none" w:sz="0" w:space="0" w:color="auto"/>
                                                                                    <w:left w:val="none" w:sz="0" w:space="0" w:color="auto"/>
                                                                                    <w:bottom w:val="none" w:sz="0" w:space="0" w:color="auto"/>
                                                                                    <w:right w:val="none" w:sz="0" w:space="0" w:color="auto"/>
                                                                                  </w:divBdr>
                                                                                  <w:divsChild>
                                                                                    <w:div w:id="984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0803599">
      <w:bodyDiv w:val="1"/>
      <w:marLeft w:val="0"/>
      <w:marRight w:val="0"/>
      <w:marTop w:val="0"/>
      <w:marBottom w:val="0"/>
      <w:divBdr>
        <w:top w:val="none" w:sz="0" w:space="0" w:color="auto"/>
        <w:left w:val="none" w:sz="0" w:space="0" w:color="auto"/>
        <w:bottom w:val="none" w:sz="0" w:space="0" w:color="auto"/>
        <w:right w:val="none" w:sz="0" w:space="0" w:color="auto"/>
      </w:divBdr>
      <w:divsChild>
        <w:div w:id="775247046">
          <w:marLeft w:val="0"/>
          <w:marRight w:val="0"/>
          <w:marTop w:val="0"/>
          <w:marBottom w:val="0"/>
          <w:divBdr>
            <w:top w:val="none" w:sz="0" w:space="0" w:color="auto"/>
            <w:left w:val="none" w:sz="0" w:space="0" w:color="auto"/>
            <w:bottom w:val="none" w:sz="0" w:space="0" w:color="auto"/>
            <w:right w:val="none" w:sz="0" w:space="0" w:color="auto"/>
          </w:divBdr>
          <w:divsChild>
            <w:div w:id="50815778">
              <w:marLeft w:val="0"/>
              <w:marRight w:val="0"/>
              <w:marTop w:val="0"/>
              <w:marBottom w:val="0"/>
              <w:divBdr>
                <w:top w:val="none" w:sz="0" w:space="0" w:color="auto"/>
                <w:left w:val="none" w:sz="0" w:space="0" w:color="auto"/>
                <w:bottom w:val="none" w:sz="0" w:space="0" w:color="auto"/>
                <w:right w:val="none" w:sz="0" w:space="0" w:color="auto"/>
              </w:divBdr>
              <w:divsChild>
                <w:div w:id="818880688">
                  <w:marLeft w:val="0"/>
                  <w:marRight w:val="0"/>
                  <w:marTop w:val="0"/>
                  <w:marBottom w:val="0"/>
                  <w:divBdr>
                    <w:top w:val="none" w:sz="0" w:space="0" w:color="auto"/>
                    <w:left w:val="none" w:sz="0" w:space="0" w:color="auto"/>
                    <w:bottom w:val="none" w:sz="0" w:space="0" w:color="auto"/>
                    <w:right w:val="none" w:sz="0" w:space="0" w:color="auto"/>
                  </w:divBdr>
                  <w:divsChild>
                    <w:div w:id="1312713156">
                      <w:marLeft w:val="0"/>
                      <w:marRight w:val="0"/>
                      <w:marTop w:val="0"/>
                      <w:marBottom w:val="0"/>
                      <w:divBdr>
                        <w:top w:val="none" w:sz="0" w:space="0" w:color="auto"/>
                        <w:left w:val="none" w:sz="0" w:space="0" w:color="auto"/>
                        <w:bottom w:val="none" w:sz="0" w:space="0" w:color="auto"/>
                        <w:right w:val="none" w:sz="0" w:space="0" w:color="auto"/>
                      </w:divBdr>
                      <w:divsChild>
                        <w:div w:id="912618796">
                          <w:marLeft w:val="0"/>
                          <w:marRight w:val="0"/>
                          <w:marTop w:val="0"/>
                          <w:marBottom w:val="0"/>
                          <w:divBdr>
                            <w:top w:val="none" w:sz="0" w:space="0" w:color="auto"/>
                            <w:left w:val="none" w:sz="0" w:space="0" w:color="auto"/>
                            <w:bottom w:val="none" w:sz="0" w:space="0" w:color="auto"/>
                            <w:right w:val="none" w:sz="0" w:space="0" w:color="auto"/>
                          </w:divBdr>
                          <w:divsChild>
                            <w:div w:id="1358117900">
                              <w:marLeft w:val="2700"/>
                              <w:marRight w:val="3960"/>
                              <w:marTop w:val="0"/>
                              <w:marBottom w:val="0"/>
                              <w:divBdr>
                                <w:top w:val="none" w:sz="0" w:space="0" w:color="auto"/>
                                <w:left w:val="none" w:sz="0" w:space="0" w:color="auto"/>
                                <w:bottom w:val="none" w:sz="0" w:space="0" w:color="auto"/>
                                <w:right w:val="none" w:sz="0" w:space="0" w:color="auto"/>
                              </w:divBdr>
                              <w:divsChild>
                                <w:div w:id="220215906">
                                  <w:marLeft w:val="0"/>
                                  <w:marRight w:val="0"/>
                                  <w:marTop w:val="0"/>
                                  <w:marBottom w:val="0"/>
                                  <w:divBdr>
                                    <w:top w:val="none" w:sz="0" w:space="0" w:color="auto"/>
                                    <w:left w:val="none" w:sz="0" w:space="0" w:color="auto"/>
                                    <w:bottom w:val="none" w:sz="0" w:space="0" w:color="auto"/>
                                    <w:right w:val="none" w:sz="0" w:space="0" w:color="auto"/>
                                  </w:divBdr>
                                  <w:divsChild>
                                    <w:div w:id="1393849673">
                                      <w:marLeft w:val="0"/>
                                      <w:marRight w:val="0"/>
                                      <w:marTop w:val="0"/>
                                      <w:marBottom w:val="0"/>
                                      <w:divBdr>
                                        <w:top w:val="none" w:sz="0" w:space="0" w:color="auto"/>
                                        <w:left w:val="none" w:sz="0" w:space="0" w:color="auto"/>
                                        <w:bottom w:val="none" w:sz="0" w:space="0" w:color="auto"/>
                                        <w:right w:val="none" w:sz="0" w:space="0" w:color="auto"/>
                                      </w:divBdr>
                                      <w:divsChild>
                                        <w:div w:id="999891792">
                                          <w:marLeft w:val="0"/>
                                          <w:marRight w:val="0"/>
                                          <w:marTop w:val="0"/>
                                          <w:marBottom w:val="0"/>
                                          <w:divBdr>
                                            <w:top w:val="none" w:sz="0" w:space="0" w:color="auto"/>
                                            <w:left w:val="none" w:sz="0" w:space="0" w:color="auto"/>
                                            <w:bottom w:val="none" w:sz="0" w:space="0" w:color="auto"/>
                                            <w:right w:val="none" w:sz="0" w:space="0" w:color="auto"/>
                                          </w:divBdr>
                                          <w:divsChild>
                                            <w:div w:id="440299716">
                                              <w:marLeft w:val="0"/>
                                              <w:marRight w:val="0"/>
                                              <w:marTop w:val="90"/>
                                              <w:marBottom w:val="0"/>
                                              <w:divBdr>
                                                <w:top w:val="none" w:sz="0" w:space="0" w:color="auto"/>
                                                <w:left w:val="none" w:sz="0" w:space="0" w:color="auto"/>
                                                <w:bottom w:val="none" w:sz="0" w:space="0" w:color="auto"/>
                                                <w:right w:val="none" w:sz="0" w:space="0" w:color="auto"/>
                                              </w:divBdr>
                                              <w:divsChild>
                                                <w:div w:id="345794461">
                                                  <w:marLeft w:val="0"/>
                                                  <w:marRight w:val="0"/>
                                                  <w:marTop w:val="0"/>
                                                  <w:marBottom w:val="405"/>
                                                  <w:divBdr>
                                                    <w:top w:val="none" w:sz="0" w:space="0" w:color="auto"/>
                                                    <w:left w:val="none" w:sz="0" w:space="0" w:color="auto"/>
                                                    <w:bottom w:val="none" w:sz="0" w:space="0" w:color="auto"/>
                                                    <w:right w:val="none" w:sz="0" w:space="0" w:color="auto"/>
                                                  </w:divBdr>
                                                  <w:divsChild>
                                                    <w:div w:id="1392344413">
                                                      <w:marLeft w:val="0"/>
                                                      <w:marRight w:val="0"/>
                                                      <w:marTop w:val="0"/>
                                                      <w:marBottom w:val="0"/>
                                                      <w:divBdr>
                                                        <w:top w:val="none" w:sz="0" w:space="0" w:color="auto"/>
                                                        <w:left w:val="none" w:sz="0" w:space="0" w:color="auto"/>
                                                        <w:bottom w:val="none" w:sz="0" w:space="0" w:color="auto"/>
                                                        <w:right w:val="none" w:sz="0" w:space="0" w:color="auto"/>
                                                      </w:divBdr>
                                                      <w:divsChild>
                                                        <w:div w:id="722603498">
                                                          <w:marLeft w:val="0"/>
                                                          <w:marRight w:val="0"/>
                                                          <w:marTop w:val="0"/>
                                                          <w:marBottom w:val="0"/>
                                                          <w:divBdr>
                                                            <w:top w:val="single" w:sz="6" w:space="0" w:color="DFE1E5"/>
                                                            <w:left w:val="single" w:sz="6" w:space="0" w:color="DFE1E5"/>
                                                            <w:bottom w:val="single" w:sz="6" w:space="0" w:color="DFE1E5"/>
                                                            <w:right w:val="single" w:sz="6" w:space="0" w:color="DFE1E5"/>
                                                          </w:divBdr>
                                                          <w:divsChild>
                                                            <w:div w:id="651327291">
                                                              <w:marLeft w:val="0"/>
                                                              <w:marRight w:val="0"/>
                                                              <w:marTop w:val="0"/>
                                                              <w:marBottom w:val="0"/>
                                                              <w:divBdr>
                                                                <w:top w:val="none" w:sz="0" w:space="0" w:color="auto"/>
                                                                <w:left w:val="none" w:sz="0" w:space="0" w:color="auto"/>
                                                                <w:bottom w:val="none" w:sz="0" w:space="0" w:color="auto"/>
                                                                <w:right w:val="none" w:sz="0" w:space="0" w:color="auto"/>
                                                              </w:divBdr>
                                                              <w:divsChild>
                                                                <w:div w:id="1994989251">
                                                                  <w:marLeft w:val="0"/>
                                                                  <w:marRight w:val="0"/>
                                                                  <w:marTop w:val="0"/>
                                                                  <w:marBottom w:val="0"/>
                                                                  <w:divBdr>
                                                                    <w:top w:val="none" w:sz="0" w:space="0" w:color="auto"/>
                                                                    <w:left w:val="none" w:sz="0" w:space="0" w:color="auto"/>
                                                                    <w:bottom w:val="none" w:sz="0" w:space="0" w:color="auto"/>
                                                                    <w:right w:val="none" w:sz="0" w:space="0" w:color="auto"/>
                                                                  </w:divBdr>
                                                                  <w:divsChild>
                                                                    <w:div w:id="1062408326">
                                                                      <w:marLeft w:val="0"/>
                                                                      <w:marRight w:val="0"/>
                                                                      <w:marTop w:val="0"/>
                                                                      <w:marBottom w:val="0"/>
                                                                      <w:divBdr>
                                                                        <w:top w:val="none" w:sz="0" w:space="0" w:color="auto"/>
                                                                        <w:left w:val="none" w:sz="0" w:space="0" w:color="auto"/>
                                                                        <w:bottom w:val="none" w:sz="0" w:space="0" w:color="auto"/>
                                                                        <w:right w:val="none" w:sz="0" w:space="0" w:color="auto"/>
                                                                      </w:divBdr>
                                                                      <w:divsChild>
                                                                        <w:div w:id="1226259448">
                                                                          <w:marLeft w:val="0"/>
                                                                          <w:marRight w:val="0"/>
                                                                          <w:marTop w:val="0"/>
                                                                          <w:marBottom w:val="0"/>
                                                                          <w:divBdr>
                                                                            <w:top w:val="none" w:sz="0" w:space="0" w:color="auto"/>
                                                                            <w:left w:val="none" w:sz="0" w:space="0" w:color="auto"/>
                                                                            <w:bottom w:val="none" w:sz="0" w:space="0" w:color="auto"/>
                                                                            <w:right w:val="none" w:sz="0" w:space="0" w:color="auto"/>
                                                                          </w:divBdr>
                                                                          <w:divsChild>
                                                                            <w:div w:id="1521047503">
                                                                              <w:marLeft w:val="0"/>
                                                                              <w:marRight w:val="0"/>
                                                                              <w:marTop w:val="0"/>
                                                                              <w:marBottom w:val="0"/>
                                                                              <w:divBdr>
                                                                                <w:top w:val="none" w:sz="0" w:space="0" w:color="auto"/>
                                                                                <w:left w:val="none" w:sz="0" w:space="0" w:color="auto"/>
                                                                                <w:bottom w:val="none" w:sz="0" w:space="0" w:color="auto"/>
                                                                                <w:right w:val="none" w:sz="0" w:space="0" w:color="auto"/>
                                                                              </w:divBdr>
                                                                              <w:divsChild>
                                                                                <w:div w:id="735519228">
                                                                                  <w:marLeft w:val="0"/>
                                                                                  <w:marRight w:val="0"/>
                                                                                  <w:marTop w:val="0"/>
                                                                                  <w:marBottom w:val="0"/>
                                                                                  <w:divBdr>
                                                                                    <w:top w:val="none" w:sz="0" w:space="0" w:color="auto"/>
                                                                                    <w:left w:val="none" w:sz="0" w:space="0" w:color="auto"/>
                                                                                    <w:bottom w:val="none" w:sz="0" w:space="0" w:color="auto"/>
                                                                                    <w:right w:val="none" w:sz="0" w:space="0" w:color="auto"/>
                                                                                  </w:divBdr>
                                                                                  <w:divsChild>
                                                                                    <w:div w:id="11345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9372175">
      <w:bodyDiv w:val="1"/>
      <w:marLeft w:val="0"/>
      <w:marRight w:val="0"/>
      <w:marTop w:val="0"/>
      <w:marBottom w:val="0"/>
      <w:divBdr>
        <w:top w:val="none" w:sz="0" w:space="0" w:color="auto"/>
        <w:left w:val="none" w:sz="0" w:space="0" w:color="auto"/>
        <w:bottom w:val="none" w:sz="0" w:space="0" w:color="auto"/>
        <w:right w:val="none" w:sz="0" w:space="0" w:color="auto"/>
      </w:divBdr>
      <w:divsChild>
        <w:div w:id="630747296">
          <w:marLeft w:val="0"/>
          <w:marRight w:val="0"/>
          <w:marTop w:val="0"/>
          <w:marBottom w:val="0"/>
          <w:divBdr>
            <w:top w:val="none" w:sz="0" w:space="0" w:color="auto"/>
            <w:left w:val="none" w:sz="0" w:space="0" w:color="auto"/>
            <w:bottom w:val="none" w:sz="0" w:space="0" w:color="auto"/>
            <w:right w:val="none" w:sz="0" w:space="0" w:color="auto"/>
          </w:divBdr>
          <w:divsChild>
            <w:div w:id="2092193659">
              <w:marLeft w:val="0"/>
              <w:marRight w:val="0"/>
              <w:marTop w:val="0"/>
              <w:marBottom w:val="0"/>
              <w:divBdr>
                <w:top w:val="none" w:sz="0" w:space="0" w:color="auto"/>
                <w:left w:val="none" w:sz="0" w:space="0" w:color="auto"/>
                <w:bottom w:val="none" w:sz="0" w:space="0" w:color="auto"/>
                <w:right w:val="none" w:sz="0" w:space="0" w:color="auto"/>
              </w:divBdr>
              <w:divsChild>
                <w:div w:id="276103885">
                  <w:marLeft w:val="0"/>
                  <w:marRight w:val="0"/>
                  <w:marTop w:val="0"/>
                  <w:marBottom w:val="0"/>
                  <w:divBdr>
                    <w:top w:val="none" w:sz="0" w:space="0" w:color="auto"/>
                    <w:left w:val="none" w:sz="0" w:space="0" w:color="auto"/>
                    <w:bottom w:val="none" w:sz="0" w:space="0" w:color="auto"/>
                    <w:right w:val="none" w:sz="0" w:space="0" w:color="auto"/>
                  </w:divBdr>
                  <w:divsChild>
                    <w:div w:id="1214655728">
                      <w:marLeft w:val="0"/>
                      <w:marRight w:val="0"/>
                      <w:marTop w:val="0"/>
                      <w:marBottom w:val="0"/>
                      <w:divBdr>
                        <w:top w:val="none" w:sz="0" w:space="0" w:color="auto"/>
                        <w:left w:val="none" w:sz="0" w:space="0" w:color="auto"/>
                        <w:bottom w:val="none" w:sz="0" w:space="0" w:color="auto"/>
                        <w:right w:val="none" w:sz="0" w:space="0" w:color="auto"/>
                      </w:divBdr>
                      <w:divsChild>
                        <w:div w:id="2128810037">
                          <w:marLeft w:val="0"/>
                          <w:marRight w:val="0"/>
                          <w:marTop w:val="0"/>
                          <w:marBottom w:val="0"/>
                          <w:divBdr>
                            <w:top w:val="none" w:sz="0" w:space="0" w:color="auto"/>
                            <w:left w:val="none" w:sz="0" w:space="0" w:color="auto"/>
                            <w:bottom w:val="none" w:sz="0" w:space="0" w:color="auto"/>
                            <w:right w:val="none" w:sz="0" w:space="0" w:color="auto"/>
                          </w:divBdr>
                          <w:divsChild>
                            <w:div w:id="66146656">
                              <w:marLeft w:val="2700"/>
                              <w:marRight w:val="3960"/>
                              <w:marTop w:val="0"/>
                              <w:marBottom w:val="0"/>
                              <w:divBdr>
                                <w:top w:val="none" w:sz="0" w:space="0" w:color="auto"/>
                                <w:left w:val="none" w:sz="0" w:space="0" w:color="auto"/>
                                <w:bottom w:val="none" w:sz="0" w:space="0" w:color="auto"/>
                                <w:right w:val="none" w:sz="0" w:space="0" w:color="auto"/>
                              </w:divBdr>
                              <w:divsChild>
                                <w:div w:id="376011438">
                                  <w:marLeft w:val="0"/>
                                  <w:marRight w:val="0"/>
                                  <w:marTop w:val="0"/>
                                  <w:marBottom w:val="0"/>
                                  <w:divBdr>
                                    <w:top w:val="none" w:sz="0" w:space="0" w:color="auto"/>
                                    <w:left w:val="none" w:sz="0" w:space="0" w:color="auto"/>
                                    <w:bottom w:val="none" w:sz="0" w:space="0" w:color="auto"/>
                                    <w:right w:val="none" w:sz="0" w:space="0" w:color="auto"/>
                                  </w:divBdr>
                                  <w:divsChild>
                                    <w:div w:id="942885697">
                                      <w:marLeft w:val="0"/>
                                      <w:marRight w:val="0"/>
                                      <w:marTop w:val="0"/>
                                      <w:marBottom w:val="0"/>
                                      <w:divBdr>
                                        <w:top w:val="none" w:sz="0" w:space="0" w:color="auto"/>
                                        <w:left w:val="none" w:sz="0" w:space="0" w:color="auto"/>
                                        <w:bottom w:val="none" w:sz="0" w:space="0" w:color="auto"/>
                                        <w:right w:val="none" w:sz="0" w:space="0" w:color="auto"/>
                                      </w:divBdr>
                                      <w:divsChild>
                                        <w:div w:id="1952739367">
                                          <w:marLeft w:val="0"/>
                                          <w:marRight w:val="0"/>
                                          <w:marTop w:val="0"/>
                                          <w:marBottom w:val="0"/>
                                          <w:divBdr>
                                            <w:top w:val="none" w:sz="0" w:space="0" w:color="auto"/>
                                            <w:left w:val="none" w:sz="0" w:space="0" w:color="auto"/>
                                            <w:bottom w:val="none" w:sz="0" w:space="0" w:color="auto"/>
                                            <w:right w:val="none" w:sz="0" w:space="0" w:color="auto"/>
                                          </w:divBdr>
                                          <w:divsChild>
                                            <w:div w:id="1231306893">
                                              <w:marLeft w:val="0"/>
                                              <w:marRight w:val="0"/>
                                              <w:marTop w:val="90"/>
                                              <w:marBottom w:val="0"/>
                                              <w:divBdr>
                                                <w:top w:val="none" w:sz="0" w:space="0" w:color="auto"/>
                                                <w:left w:val="none" w:sz="0" w:space="0" w:color="auto"/>
                                                <w:bottom w:val="none" w:sz="0" w:space="0" w:color="auto"/>
                                                <w:right w:val="none" w:sz="0" w:space="0" w:color="auto"/>
                                              </w:divBdr>
                                              <w:divsChild>
                                                <w:div w:id="1713185449">
                                                  <w:marLeft w:val="0"/>
                                                  <w:marRight w:val="0"/>
                                                  <w:marTop w:val="0"/>
                                                  <w:marBottom w:val="405"/>
                                                  <w:divBdr>
                                                    <w:top w:val="none" w:sz="0" w:space="0" w:color="auto"/>
                                                    <w:left w:val="none" w:sz="0" w:space="0" w:color="auto"/>
                                                    <w:bottom w:val="none" w:sz="0" w:space="0" w:color="auto"/>
                                                    <w:right w:val="none" w:sz="0" w:space="0" w:color="auto"/>
                                                  </w:divBdr>
                                                  <w:divsChild>
                                                    <w:div w:id="1561789780">
                                                      <w:marLeft w:val="0"/>
                                                      <w:marRight w:val="0"/>
                                                      <w:marTop w:val="0"/>
                                                      <w:marBottom w:val="0"/>
                                                      <w:divBdr>
                                                        <w:top w:val="none" w:sz="0" w:space="0" w:color="auto"/>
                                                        <w:left w:val="none" w:sz="0" w:space="0" w:color="auto"/>
                                                        <w:bottom w:val="none" w:sz="0" w:space="0" w:color="auto"/>
                                                        <w:right w:val="none" w:sz="0" w:space="0" w:color="auto"/>
                                                      </w:divBdr>
                                                      <w:divsChild>
                                                        <w:div w:id="1841433923">
                                                          <w:marLeft w:val="0"/>
                                                          <w:marRight w:val="0"/>
                                                          <w:marTop w:val="0"/>
                                                          <w:marBottom w:val="0"/>
                                                          <w:divBdr>
                                                            <w:top w:val="single" w:sz="6" w:space="0" w:color="DFE1E5"/>
                                                            <w:left w:val="single" w:sz="6" w:space="0" w:color="DFE1E5"/>
                                                            <w:bottom w:val="single" w:sz="6" w:space="0" w:color="DFE1E5"/>
                                                            <w:right w:val="single" w:sz="6" w:space="0" w:color="DFE1E5"/>
                                                          </w:divBdr>
                                                          <w:divsChild>
                                                            <w:div w:id="2126460247">
                                                              <w:marLeft w:val="0"/>
                                                              <w:marRight w:val="0"/>
                                                              <w:marTop w:val="0"/>
                                                              <w:marBottom w:val="0"/>
                                                              <w:divBdr>
                                                                <w:top w:val="none" w:sz="0" w:space="0" w:color="auto"/>
                                                                <w:left w:val="none" w:sz="0" w:space="0" w:color="auto"/>
                                                                <w:bottom w:val="none" w:sz="0" w:space="0" w:color="auto"/>
                                                                <w:right w:val="none" w:sz="0" w:space="0" w:color="auto"/>
                                                              </w:divBdr>
                                                              <w:divsChild>
                                                                <w:div w:id="421295195">
                                                                  <w:marLeft w:val="0"/>
                                                                  <w:marRight w:val="0"/>
                                                                  <w:marTop w:val="0"/>
                                                                  <w:marBottom w:val="0"/>
                                                                  <w:divBdr>
                                                                    <w:top w:val="none" w:sz="0" w:space="0" w:color="auto"/>
                                                                    <w:left w:val="none" w:sz="0" w:space="0" w:color="auto"/>
                                                                    <w:bottom w:val="none" w:sz="0" w:space="0" w:color="auto"/>
                                                                    <w:right w:val="none" w:sz="0" w:space="0" w:color="auto"/>
                                                                  </w:divBdr>
                                                                  <w:divsChild>
                                                                    <w:div w:id="2063551143">
                                                                      <w:marLeft w:val="0"/>
                                                                      <w:marRight w:val="0"/>
                                                                      <w:marTop w:val="0"/>
                                                                      <w:marBottom w:val="0"/>
                                                                      <w:divBdr>
                                                                        <w:top w:val="none" w:sz="0" w:space="0" w:color="auto"/>
                                                                        <w:left w:val="none" w:sz="0" w:space="0" w:color="auto"/>
                                                                        <w:bottom w:val="none" w:sz="0" w:space="0" w:color="auto"/>
                                                                        <w:right w:val="none" w:sz="0" w:space="0" w:color="auto"/>
                                                                      </w:divBdr>
                                                                      <w:divsChild>
                                                                        <w:div w:id="1059479475">
                                                                          <w:marLeft w:val="0"/>
                                                                          <w:marRight w:val="0"/>
                                                                          <w:marTop w:val="0"/>
                                                                          <w:marBottom w:val="0"/>
                                                                          <w:divBdr>
                                                                            <w:top w:val="none" w:sz="0" w:space="0" w:color="auto"/>
                                                                            <w:left w:val="none" w:sz="0" w:space="0" w:color="auto"/>
                                                                            <w:bottom w:val="none" w:sz="0" w:space="0" w:color="auto"/>
                                                                            <w:right w:val="none" w:sz="0" w:space="0" w:color="auto"/>
                                                                          </w:divBdr>
                                                                          <w:divsChild>
                                                                            <w:div w:id="1248199325">
                                                                              <w:marLeft w:val="0"/>
                                                                              <w:marRight w:val="0"/>
                                                                              <w:marTop w:val="0"/>
                                                                              <w:marBottom w:val="0"/>
                                                                              <w:divBdr>
                                                                                <w:top w:val="none" w:sz="0" w:space="0" w:color="auto"/>
                                                                                <w:left w:val="none" w:sz="0" w:space="0" w:color="auto"/>
                                                                                <w:bottom w:val="none" w:sz="0" w:space="0" w:color="auto"/>
                                                                                <w:right w:val="none" w:sz="0" w:space="0" w:color="auto"/>
                                                                              </w:divBdr>
                                                                              <w:divsChild>
                                                                                <w:div w:id="1598708010">
                                                                                  <w:marLeft w:val="0"/>
                                                                                  <w:marRight w:val="0"/>
                                                                                  <w:marTop w:val="0"/>
                                                                                  <w:marBottom w:val="0"/>
                                                                                  <w:divBdr>
                                                                                    <w:top w:val="none" w:sz="0" w:space="0" w:color="auto"/>
                                                                                    <w:left w:val="none" w:sz="0" w:space="0" w:color="auto"/>
                                                                                    <w:bottom w:val="none" w:sz="0" w:space="0" w:color="auto"/>
                                                                                    <w:right w:val="none" w:sz="0" w:space="0" w:color="auto"/>
                                                                                  </w:divBdr>
                                                                                  <w:divsChild>
                                                                                    <w:div w:id="62142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1820751">
      <w:bodyDiv w:val="1"/>
      <w:marLeft w:val="0"/>
      <w:marRight w:val="0"/>
      <w:marTop w:val="0"/>
      <w:marBottom w:val="0"/>
      <w:divBdr>
        <w:top w:val="none" w:sz="0" w:space="0" w:color="auto"/>
        <w:left w:val="none" w:sz="0" w:space="0" w:color="auto"/>
        <w:bottom w:val="none" w:sz="0" w:space="0" w:color="auto"/>
        <w:right w:val="none" w:sz="0" w:space="0" w:color="auto"/>
      </w:divBdr>
    </w:div>
    <w:div w:id="1619489685">
      <w:bodyDiv w:val="1"/>
      <w:marLeft w:val="0"/>
      <w:marRight w:val="0"/>
      <w:marTop w:val="0"/>
      <w:marBottom w:val="0"/>
      <w:divBdr>
        <w:top w:val="none" w:sz="0" w:space="0" w:color="auto"/>
        <w:left w:val="none" w:sz="0" w:space="0" w:color="auto"/>
        <w:bottom w:val="none" w:sz="0" w:space="0" w:color="auto"/>
        <w:right w:val="none" w:sz="0" w:space="0" w:color="auto"/>
      </w:divBdr>
      <w:divsChild>
        <w:div w:id="886794897">
          <w:marLeft w:val="0"/>
          <w:marRight w:val="0"/>
          <w:marTop w:val="0"/>
          <w:marBottom w:val="0"/>
          <w:divBdr>
            <w:top w:val="none" w:sz="0" w:space="0" w:color="auto"/>
            <w:left w:val="none" w:sz="0" w:space="0" w:color="auto"/>
            <w:bottom w:val="none" w:sz="0" w:space="0" w:color="auto"/>
            <w:right w:val="none" w:sz="0" w:space="0" w:color="auto"/>
          </w:divBdr>
          <w:divsChild>
            <w:div w:id="840774234">
              <w:marLeft w:val="0"/>
              <w:marRight w:val="0"/>
              <w:marTop w:val="0"/>
              <w:marBottom w:val="0"/>
              <w:divBdr>
                <w:top w:val="none" w:sz="0" w:space="0" w:color="auto"/>
                <w:left w:val="none" w:sz="0" w:space="0" w:color="auto"/>
                <w:bottom w:val="none" w:sz="0" w:space="0" w:color="auto"/>
                <w:right w:val="none" w:sz="0" w:space="0" w:color="auto"/>
              </w:divBdr>
              <w:divsChild>
                <w:div w:id="2072192387">
                  <w:marLeft w:val="0"/>
                  <w:marRight w:val="0"/>
                  <w:marTop w:val="0"/>
                  <w:marBottom w:val="0"/>
                  <w:divBdr>
                    <w:top w:val="none" w:sz="0" w:space="0" w:color="auto"/>
                    <w:left w:val="none" w:sz="0" w:space="0" w:color="auto"/>
                    <w:bottom w:val="none" w:sz="0" w:space="0" w:color="auto"/>
                    <w:right w:val="none" w:sz="0" w:space="0" w:color="auto"/>
                  </w:divBdr>
                  <w:divsChild>
                    <w:div w:id="1210722497">
                      <w:marLeft w:val="0"/>
                      <w:marRight w:val="0"/>
                      <w:marTop w:val="0"/>
                      <w:marBottom w:val="0"/>
                      <w:divBdr>
                        <w:top w:val="none" w:sz="0" w:space="0" w:color="auto"/>
                        <w:left w:val="none" w:sz="0" w:space="0" w:color="auto"/>
                        <w:bottom w:val="none" w:sz="0" w:space="0" w:color="auto"/>
                        <w:right w:val="none" w:sz="0" w:space="0" w:color="auto"/>
                      </w:divBdr>
                      <w:divsChild>
                        <w:div w:id="1154369693">
                          <w:marLeft w:val="0"/>
                          <w:marRight w:val="0"/>
                          <w:marTop w:val="0"/>
                          <w:marBottom w:val="0"/>
                          <w:divBdr>
                            <w:top w:val="none" w:sz="0" w:space="0" w:color="auto"/>
                            <w:left w:val="none" w:sz="0" w:space="0" w:color="auto"/>
                            <w:bottom w:val="none" w:sz="0" w:space="0" w:color="auto"/>
                            <w:right w:val="none" w:sz="0" w:space="0" w:color="auto"/>
                          </w:divBdr>
                          <w:divsChild>
                            <w:div w:id="1775662360">
                              <w:marLeft w:val="2700"/>
                              <w:marRight w:val="3960"/>
                              <w:marTop w:val="0"/>
                              <w:marBottom w:val="0"/>
                              <w:divBdr>
                                <w:top w:val="none" w:sz="0" w:space="0" w:color="auto"/>
                                <w:left w:val="none" w:sz="0" w:space="0" w:color="auto"/>
                                <w:bottom w:val="none" w:sz="0" w:space="0" w:color="auto"/>
                                <w:right w:val="none" w:sz="0" w:space="0" w:color="auto"/>
                              </w:divBdr>
                              <w:divsChild>
                                <w:div w:id="1858226774">
                                  <w:marLeft w:val="0"/>
                                  <w:marRight w:val="0"/>
                                  <w:marTop w:val="0"/>
                                  <w:marBottom w:val="0"/>
                                  <w:divBdr>
                                    <w:top w:val="none" w:sz="0" w:space="0" w:color="auto"/>
                                    <w:left w:val="none" w:sz="0" w:space="0" w:color="auto"/>
                                    <w:bottom w:val="none" w:sz="0" w:space="0" w:color="auto"/>
                                    <w:right w:val="none" w:sz="0" w:space="0" w:color="auto"/>
                                  </w:divBdr>
                                  <w:divsChild>
                                    <w:div w:id="164829302">
                                      <w:marLeft w:val="0"/>
                                      <w:marRight w:val="0"/>
                                      <w:marTop w:val="0"/>
                                      <w:marBottom w:val="0"/>
                                      <w:divBdr>
                                        <w:top w:val="none" w:sz="0" w:space="0" w:color="auto"/>
                                        <w:left w:val="none" w:sz="0" w:space="0" w:color="auto"/>
                                        <w:bottom w:val="none" w:sz="0" w:space="0" w:color="auto"/>
                                        <w:right w:val="none" w:sz="0" w:space="0" w:color="auto"/>
                                      </w:divBdr>
                                      <w:divsChild>
                                        <w:div w:id="1783840105">
                                          <w:marLeft w:val="0"/>
                                          <w:marRight w:val="0"/>
                                          <w:marTop w:val="0"/>
                                          <w:marBottom w:val="0"/>
                                          <w:divBdr>
                                            <w:top w:val="none" w:sz="0" w:space="0" w:color="auto"/>
                                            <w:left w:val="none" w:sz="0" w:space="0" w:color="auto"/>
                                            <w:bottom w:val="none" w:sz="0" w:space="0" w:color="auto"/>
                                            <w:right w:val="none" w:sz="0" w:space="0" w:color="auto"/>
                                          </w:divBdr>
                                          <w:divsChild>
                                            <w:div w:id="1610351679">
                                              <w:marLeft w:val="0"/>
                                              <w:marRight w:val="0"/>
                                              <w:marTop w:val="90"/>
                                              <w:marBottom w:val="0"/>
                                              <w:divBdr>
                                                <w:top w:val="none" w:sz="0" w:space="0" w:color="auto"/>
                                                <w:left w:val="none" w:sz="0" w:space="0" w:color="auto"/>
                                                <w:bottom w:val="none" w:sz="0" w:space="0" w:color="auto"/>
                                                <w:right w:val="none" w:sz="0" w:space="0" w:color="auto"/>
                                              </w:divBdr>
                                              <w:divsChild>
                                                <w:div w:id="662507540">
                                                  <w:marLeft w:val="0"/>
                                                  <w:marRight w:val="0"/>
                                                  <w:marTop w:val="0"/>
                                                  <w:marBottom w:val="405"/>
                                                  <w:divBdr>
                                                    <w:top w:val="none" w:sz="0" w:space="0" w:color="auto"/>
                                                    <w:left w:val="none" w:sz="0" w:space="0" w:color="auto"/>
                                                    <w:bottom w:val="none" w:sz="0" w:space="0" w:color="auto"/>
                                                    <w:right w:val="none" w:sz="0" w:space="0" w:color="auto"/>
                                                  </w:divBdr>
                                                  <w:divsChild>
                                                    <w:div w:id="755904870">
                                                      <w:marLeft w:val="0"/>
                                                      <w:marRight w:val="0"/>
                                                      <w:marTop w:val="0"/>
                                                      <w:marBottom w:val="0"/>
                                                      <w:divBdr>
                                                        <w:top w:val="none" w:sz="0" w:space="0" w:color="auto"/>
                                                        <w:left w:val="none" w:sz="0" w:space="0" w:color="auto"/>
                                                        <w:bottom w:val="none" w:sz="0" w:space="0" w:color="auto"/>
                                                        <w:right w:val="none" w:sz="0" w:space="0" w:color="auto"/>
                                                      </w:divBdr>
                                                      <w:divsChild>
                                                        <w:div w:id="1676765249">
                                                          <w:marLeft w:val="0"/>
                                                          <w:marRight w:val="0"/>
                                                          <w:marTop w:val="0"/>
                                                          <w:marBottom w:val="0"/>
                                                          <w:divBdr>
                                                            <w:top w:val="single" w:sz="6" w:space="0" w:color="DFE1E5"/>
                                                            <w:left w:val="single" w:sz="6" w:space="0" w:color="DFE1E5"/>
                                                            <w:bottom w:val="single" w:sz="6" w:space="0" w:color="DFE1E5"/>
                                                            <w:right w:val="single" w:sz="6" w:space="0" w:color="DFE1E5"/>
                                                          </w:divBdr>
                                                          <w:divsChild>
                                                            <w:div w:id="1732993897">
                                                              <w:marLeft w:val="0"/>
                                                              <w:marRight w:val="0"/>
                                                              <w:marTop w:val="0"/>
                                                              <w:marBottom w:val="0"/>
                                                              <w:divBdr>
                                                                <w:top w:val="none" w:sz="0" w:space="0" w:color="auto"/>
                                                                <w:left w:val="none" w:sz="0" w:space="0" w:color="auto"/>
                                                                <w:bottom w:val="none" w:sz="0" w:space="0" w:color="auto"/>
                                                                <w:right w:val="none" w:sz="0" w:space="0" w:color="auto"/>
                                                              </w:divBdr>
                                                              <w:divsChild>
                                                                <w:div w:id="1061753920">
                                                                  <w:marLeft w:val="0"/>
                                                                  <w:marRight w:val="0"/>
                                                                  <w:marTop w:val="0"/>
                                                                  <w:marBottom w:val="0"/>
                                                                  <w:divBdr>
                                                                    <w:top w:val="none" w:sz="0" w:space="0" w:color="auto"/>
                                                                    <w:left w:val="none" w:sz="0" w:space="0" w:color="auto"/>
                                                                    <w:bottom w:val="none" w:sz="0" w:space="0" w:color="auto"/>
                                                                    <w:right w:val="none" w:sz="0" w:space="0" w:color="auto"/>
                                                                  </w:divBdr>
                                                                  <w:divsChild>
                                                                    <w:div w:id="572354613">
                                                                      <w:marLeft w:val="0"/>
                                                                      <w:marRight w:val="0"/>
                                                                      <w:marTop w:val="0"/>
                                                                      <w:marBottom w:val="0"/>
                                                                      <w:divBdr>
                                                                        <w:top w:val="none" w:sz="0" w:space="0" w:color="auto"/>
                                                                        <w:left w:val="none" w:sz="0" w:space="0" w:color="auto"/>
                                                                        <w:bottom w:val="none" w:sz="0" w:space="0" w:color="auto"/>
                                                                        <w:right w:val="none" w:sz="0" w:space="0" w:color="auto"/>
                                                                      </w:divBdr>
                                                                      <w:divsChild>
                                                                        <w:div w:id="1811051025">
                                                                          <w:marLeft w:val="0"/>
                                                                          <w:marRight w:val="0"/>
                                                                          <w:marTop w:val="0"/>
                                                                          <w:marBottom w:val="0"/>
                                                                          <w:divBdr>
                                                                            <w:top w:val="none" w:sz="0" w:space="0" w:color="auto"/>
                                                                            <w:left w:val="none" w:sz="0" w:space="0" w:color="auto"/>
                                                                            <w:bottom w:val="none" w:sz="0" w:space="0" w:color="auto"/>
                                                                            <w:right w:val="none" w:sz="0" w:space="0" w:color="auto"/>
                                                                          </w:divBdr>
                                                                          <w:divsChild>
                                                                            <w:div w:id="1958220954">
                                                                              <w:marLeft w:val="0"/>
                                                                              <w:marRight w:val="0"/>
                                                                              <w:marTop w:val="0"/>
                                                                              <w:marBottom w:val="0"/>
                                                                              <w:divBdr>
                                                                                <w:top w:val="none" w:sz="0" w:space="0" w:color="auto"/>
                                                                                <w:left w:val="none" w:sz="0" w:space="0" w:color="auto"/>
                                                                                <w:bottom w:val="none" w:sz="0" w:space="0" w:color="auto"/>
                                                                                <w:right w:val="none" w:sz="0" w:space="0" w:color="auto"/>
                                                                              </w:divBdr>
                                                                              <w:divsChild>
                                                                                <w:div w:id="1124155670">
                                                                                  <w:marLeft w:val="0"/>
                                                                                  <w:marRight w:val="0"/>
                                                                                  <w:marTop w:val="0"/>
                                                                                  <w:marBottom w:val="0"/>
                                                                                  <w:divBdr>
                                                                                    <w:top w:val="none" w:sz="0" w:space="0" w:color="auto"/>
                                                                                    <w:left w:val="none" w:sz="0" w:space="0" w:color="auto"/>
                                                                                    <w:bottom w:val="none" w:sz="0" w:space="0" w:color="auto"/>
                                                                                    <w:right w:val="none" w:sz="0" w:space="0" w:color="auto"/>
                                                                                  </w:divBdr>
                                                                                  <w:divsChild>
                                                                                    <w:div w:id="114966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1520597">
      <w:bodyDiv w:val="1"/>
      <w:marLeft w:val="0"/>
      <w:marRight w:val="0"/>
      <w:marTop w:val="0"/>
      <w:marBottom w:val="0"/>
      <w:divBdr>
        <w:top w:val="none" w:sz="0" w:space="0" w:color="auto"/>
        <w:left w:val="none" w:sz="0" w:space="0" w:color="auto"/>
        <w:bottom w:val="none" w:sz="0" w:space="0" w:color="auto"/>
        <w:right w:val="none" w:sz="0" w:space="0" w:color="auto"/>
      </w:divBdr>
    </w:div>
    <w:div w:id="1672372209">
      <w:bodyDiv w:val="1"/>
      <w:marLeft w:val="0"/>
      <w:marRight w:val="0"/>
      <w:marTop w:val="0"/>
      <w:marBottom w:val="0"/>
      <w:divBdr>
        <w:top w:val="none" w:sz="0" w:space="0" w:color="auto"/>
        <w:left w:val="none" w:sz="0" w:space="0" w:color="auto"/>
        <w:bottom w:val="none" w:sz="0" w:space="0" w:color="auto"/>
        <w:right w:val="none" w:sz="0" w:space="0" w:color="auto"/>
      </w:divBdr>
      <w:divsChild>
        <w:div w:id="194537629">
          <w:marLeft w:val="0"/>
          <w:marRight w:val="0"/>
          <w:marTop w:val="0"/>
          <w:marBottom w:val="0"/>
          <w:divBdr>
            <w:top w:val="none" w:sz="0" w:space="0" w:color="auto"/>
            <w:left w:val="none" w:sz="0" w:space="0" w:color="auto"/>
            <w:bottom w:val="none" w:sz="0" w:space="0" w:color="auto"/>
            <w:right w:val="none" w:sz="0" w:space="0" w:color="auto"/>
          </w:divBdr>
          <w:divsChild>
            <w:div w:id="627509265">
              <w:marLeft w:val="0"/>
              <w:marRight w:val="0"/>
              <w:marTop w:val="0"/>
              <w:marBottom w:val="0"/>
              <w:divBdr>
                <w:top w:val="none" w:sz="0" w:space="0" w:color="auto"/>
                <w:left w:val="none" w:sz="0" w:space="0" w:color="auto"/>
                <w:bottom w:val="none" w:sz="0" w:space="0" w:color="auto"/>
                <w:right w:val="none" w:sz="0" w:space="0" w:color="auto"/>
              </w:divBdr>
              <w:divsChild>
                <w:div w:id="647436551">
                  <w:marLeft w:val="0"/>
                  <w:marRight w:val="0"/>
                  <w:marTop w:val="0"/>
                  <w:marBottom w:val="0"/>
                  <w:divBdr>
                    <w:top w:val="none" w:sz="0" w:space="0" w:color="auto"/>
                    <w:left w:val="none" w:sz="0" w:space="0" w:color="auto"/>
                    <w:bottom w:val="none" w:sz="0" w:space="0" w:color="auto"/>
                    <w:right w:val="none" w:sz="0" w:space="0" w:color="auto"/>
                  </w:divBdr>
                  <w:divsChild>
                    <w:div w:id="81493062">
                      <w:marLeft w:val="0"/>
                      <w:marRight w:val="0"/>
                      <w:marTop w:val="0"/>
                      <w:marBottom w:val="0"/>
                      <w:divBdr>
                        <w:top w:val="none" w:sz="0" w:space="0" w:color="auto"/>
                        <w:left w:val="none" w:sz="0" w:space="0" w:color="auto"/>
                        <w:bottom w:val="none" w:sz="0" w:space="0" w:color="auto"/>
                        <w:right w:val="none" w:sz="0" w:space="0" w:color="auto"/>
                      </w:divBdr>
                      <w:divsChild>
                        <w:div w:id="287400353">
                          <w:marLeft w:val="0"/>
                          <w:marRight w:val="0"/>
                          <w:marTop w:val="0"/>
                          <w:marBottom w:val="0"/>
                          <w:divBdr>
                            <w:top w:val="none" w:sz="0" w:space="0" w:color="auto"/>
                            <w:left w:val="none" w:sz="0" w:space="0" w:color="auto"/>
                            <w:bottom w:val="none" w:sz="0" w:space="0" w:color="auto"/>
                            <w:right w:val="none" w:sz="0" w:space="0" w:color="auto"/>
                          </w:divBdr>
                          <w:divsChild>
                            <w:div w:id="610821104">
                              <w:marLeft w:val="2700"/>
                              <w:marRight w:val="3960"/>
                              <w:marTop w:val="0"/>
                              <w:marBottom w:val="0"/>
                              <w:divBdr>
                                <w:top w:val="none" w:sz="0" w:space="0" w:color="auto"/>
                                <w:left w:val="none" w:sz="0" w:space="0" w:color="auto"/>
                                <w:bottom w:val="none" w:sz="0" w:space="0" w:color="auto"/>
                                <w:right w:val="none" w:sz="0" w:space="0" w:color="auto"/>
                              </w:divBdr>
                              <w:divsChild>
                                <w:div w:id="1097218350">
                                  <w:marLeft w:val="0"/>
                                  <w:marRight w:val="0"/>
                                  <w:marTop w:val="0"/>
                                  <w:marBottom w:val="0"/>
                                  <w:divBdr>
                                    <w:top w:val="none" w:sz="0" w:space="0" w:color="auto"/>
                                    <w:left w:val="none" w:sz="0" w:space="0" w:color="auto"/>
                                    <w:bottom w:val="none" w:sz="0" w:space="0" w:color="auto"/>
                                    <w:right w:val="none" w:sz="0" w:space="0" w:color="auto"/>
                                  </w:divBdr>
                                  <w:divsChild>
                                    <w:div w:id="361515999">
                                      <w:marLeft w:val="0"/>
                                      <w:marRight w:val="0"/>
                                      <w:marTop w:val="0"/>
                                      <w:marBottom w:val="0"/>
                                      <w:divBdr>
                                        <w:top w:val="none" w:sz="0" w:space="0" w:color="auto"/>
                                        <w:left w:val="none" w:sz="0" w:space="0" w:color="auto"/>
                                        <w:bottom w:val="none" w:sz="0" w:space="0" w:color="auto"/>
                                        <w:right w:val="none" w:sz="0" w:space="0" w:color="auto"/>
                                      </w:divBdr>
                                      <w:divsChild>
                                        <w:div w:id="297076720">
                                          <w:marLeft w:val="0"/>
                                          <w:marRight w:val="0"/>
                                          <w:marTop w:val="0"/>
                                          <w:marBottom w:val="0"/>
                                          <w:divBdr>
                                            <w:top w:val="none" w:sz="0" w:space="0" w:color="auto"/>
                                            <w:left w:val="none" w:sz="0" w:space="0" w:color="auto"/>
                                            <w:bottom w:val="none" w:sz="0" w:space="0" w:color="auto"/>
                                            <w:right w:val="none" w:sz="0" w:space="0" w:color="auto"/>
                                          </w:divBdr>
                                          <w:divsChild>
                                            <w:div w:id="854656481">
                                              <w:marLeft w:val="0"/>
                                              <w:marRight w:val="0"/>
                                              <w:marTop w:val="90"/>
                                              <w:marBottom w:val="0"/>
                                              <w:divBdr>
                                                <w:top w:val="none" w:sz="0" w:space="0" w:color="auto"/>
                                                <w:left w:val="none" w:sz="0" w:space="0" w:color="auto"/>
                                                <w:bottom w:val="none" w:sz="0" w:space="0" w:color="auto"/>
                                                <w:right w:val="none" w:sz="0" w:space="0" w:color="auto"/>
                                              </w:divBdr>
                                              <w:divsChild>
                                                <w:div w:id="1864395234">
                                                  <w:marLeft w:val="0"/>
                                                  <w:marRight w:val="0"/>
                                                  <w:marTop w:val="0"/>
                                                  <w:marBottom w:val="405"/>
                                                  <w:divBdr>
                                                    <w:top w:val="none" w:sz="0" w:space="0" w:color="auto"/>
                                                    <w:left w:val="none" w:sz="0" w:space="0" w:color="auto"/>
                                                    <w:bottom w:val="none" w:sz="0" w:space="0" w:color="auto"/>
                                                    <w:right w:val="none" w:sz="0" w:space="0" w:color="auto"/>
                                                  </w:divBdr>
                                                  <w:divsChild>
                                                    <w:div w:id="1399594569">
                                                      <w:marLeft w:val="0"/>
                                                      <w:marRight w:val="0"/>
                                                      <w:marTop w:val="0"/>
                                                      <w:marBottom w:val="0"/>
                                                      <w:divBdr>
                                                        <w:top w:val="none" w:sz="0" w:space="0" w:color="auto"/>
                                                        <w:left w:val="none" w:sz="0" w:space="0" w:color="auto"/>
                                                        <w:bottom w:val="none" w:sz="0" w:space="0" w:color="auto"/>
                                                        <w:right w:val="none" w:sz="0" w:space="0" w:color="auto"/>
                                                      </w:divBdr>
                                                      <w:divsChild>
                                                        <w:div w:id="984699608">
                                                          <w:marLeft w:val="0"/>
                                                          <w:marRight w:val="0"/>
                                                          <w:marTop w:val="0"/>
                                                          <w:marBottom w:val="0"/>
                                                          <w:divBdr>
                                                            <w:top w:val="single" w:sz="6" w:space="0" w:color="DFE1E5"/>
                                                            <w:left w:val="single" w:sz="6" w:space="0" w:color="DFE1E5"/>
                                                            <w:bottom w:val="single" w:sz="6" w:space="0" w:color="DFE1E5"/>
                                                            <w:right w:val="single" w:sz="6" w:space="0" w:color="DFE1E5"/>
                                                          </w:divBdr>
                                                          <w:divsChild>
                                                            <w:div w:id="848643392">
                                                              <w:marLeft w:val="0"/>
                                                              <w:marRight w:val="0"/>
                                                              <w:marTop w:val="0"/>
                                                              <w:marBottom w:val="0"/>
                                                              <w:divBdr>
                                                                <w:top w:val="none" w:sz="0" w:space="0" w:color="auto"/>
                                                                <w:left w:val="none" w:sz="0" w:space="0" w:color="auto"/>
                                                                <w:bottom w:val="none" w:sz="0" w:space="0" w:color="auto"/>
                                                                <w:right w:val="none" w:sz="0" w:space="0" w:color="auto"/>
                                                              </w:divBdr>
                                                              <w:divsChild>
                                                                <w:div w:id="329219966">
                                                                  <w:marLeft w:val="0"/>
                                                                  <w:marRight w:val="0"/>
                                                                  <w:marTop w:val="0"/>
                                                                  <w:marBottom w:val="0"/>
                                                                  <w:divBdr>
                                                                    <w:top w:val="none" w:sz="0" w:space="0" w:color="auto"/>
                                                                    <w:left w:val="none" w:sz="0" w:space="0" w:color="auto"/>
                                                                    <w:bottom w:val="none" w:sz="0" w:space="0" w:color="auto"/>
                                                                    <w:right w:val="none" w:sz="0" w:space="0" w:color="auto"/>
                                                                  </w:divBdr>
                                                                  <w:divsChild>
                                                                    <w:div w:id="647318033">
                                                                      <w:marLeft w:val="0"/>
                                                                      <w:marRight w:val="0"/>
                                                                      <w:marTop w:val="0"/>
                                                                      <w:marBottom w:val="0"/>
                                                                      <w:divBdr>
                                                                        <w:top w:val="none" w:sz="0" w:space="0" w:color="auto"/>
                                                                        <w:left w:val="none" w:sz="0" w:space="0" w:color="auto"/>
                                                                        <w:bottom w:val="none" w:sz="0" w:space="0" w:color="auto"/>
                                                                        <w:right w:val="none" w:sz="0" w:space="0" w:color="auto"/>
                                                                      </w:divBdr>
                                                                      <w:divsChild>
                                                                        <w:div w:id="834108923">
                                                                          <w:marLeft w:val="0"/>
                                                                          <w:marRight w:val="0"/>
                                                                          <w:marTop w:val="0"/>
                                                                          <w:marBottom w:val="0"/>
                                                                          <w:divBdr>
                                                                            <w:top w:val="none" w:sz="0" w:space="0" w:color="auto"/>
                                                                            <w:left w:val="none" w:sz="0" w:space="0" w:color="auto"/>
                                                                            <w:bottom w:val="none" w:sz="0" w:space="0" w:color="auto"/>
                                                                            <w:right w:val="none" w:sz="0" w:space="0" w:color="auto"/>
                                                                          </w:divBdr>
                                                                          <w:divsChild>
                                                                            <w:div w:id="1773668364">
                                                                              <w:marLeft w:val="0"/>
                                                                              <w:marRight w:val="0"/>
                                                                              <w:marTop w:val="0"/>
                                                                              <w:marBottom w:val="0"/>
                                                                              <w:divBdr>
                                                                                <w:top w:val="none" w:sz="0" w:space="0" w:color="auto"/>
                                                                                <w:left w:val="none" w:sz="0" w:space="0" w:color="auto"/>
                                                                                <w:bottom w:val="none" w:sz="0" w:space="0" w:color="auto"/>
                                                                                <w:right w:val="none" w:sz="0" w:space="0" w:color="auto"/>
                                                                              </w:divBdr>
                                                                              <w:divsChild>
                                                                                <w:div w:id="1491678548">
                                                                                  <w:marLeft w:val="0"/>
                                                                                  <w:marRight w:val="0"/>
                                                                                  <w:marTop w:val="0"/>
                                                                                  <w:marBottom w:val="0"/>
                                                                                  <w:divBdr>
                                                                                    <w:top w:val="none" w:sz="0" w:space="0" w:color="auto"/>
                                                                                    <w:left w:val="none" w:sz="0" w:space="0" w:color="auto"/>
                                                                                    <w:bottom w:val="none" w:sz="0" w:space="0" w:color="auto"/>
                                                                                    <w:right w:val="none" w:sz="0" w:space="0" w:color="auto"/>
                                                                                  </w:divBdr>
                                                                                  <w:divsChild>
                                                                                    <w:div w:id="44357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191276">
      <w:bodyDiv w:val="1"/>
      <w:marLeft w:val="0"/>
      <w:marRight w:val="0"/>
      <w:marTop w:val="0"/>
      <w:marBottom w:val="0"/>
      <w:divBdr>
        <w:top w:val="none" w:sz="0" w:space="0" w:color="auto"/>
        <w:left w:val="none" w:sz="0" w:space="0" w:color="auto"/>
        <w:bottom w:val="none" w:sz="0" w:space="0" w:color="auto"/>
        <w:right w:val="none" w:sz="0" w:space="0" w:color="auto"/>
      </w:divBdr>
      <w:divsChild>
        <w:div w:id="68230999">
          <w:marLeft w:val="0"/>
          <w:marRight w:val="0"/>
          <w:marTop w:val="0"/>
          <w:marBottom w:val="0"/>
          <w:divBdr>
            <w:top w:val="none" w:sz="0" w:space="0" w:color="auto"/>
            <w:left w:val="none" w:sz="0" w:space="0" w:color="auto"/>
            <w:bottom w:val="none" w:sz="0" w:space="0" w:color="auto"/>
            <w:right w:val="none" w:sz="0" w:space="0" w:color="auto"/>
          </w:divBdr>
          <w:divsChild>
            <w:div w:id="1156414603">
              <w:marLeft w:val="0"/>
              <w:marRight w:val="0"/>
              <w:marTop w:val="0"/>
              <w:marBottom w:val="0"/>
              <w:divBdr>
                <w:top w:val="none" w:sz="0" w:space="0" w:color="auto"/>
                <w:left w:val="none" w:sz="0" w:space="0" w:color="auto"/>
                <w:bottom w:val="none" w:sz="0" w:space="0" w:color="auto"/>
                <w:right w:val="none" w:sz="0" w:space="0" w:color="auto"/>
              </w:divBdr>
              <w:divsChild>
                <w:div w:id="582909265">
                  <w:marLeft w:val="0"/>
                  <w:marRight w:val="0"/>
                  <w:marTop w:val="0"/>
                  <w:marBottom w:val="0"/>
                  <w:divBdr>
                    <w:top w:val="none" w:sz="0" w:space="0" w:color="auto"/>
                    <w:left w:val="none" w:sz="0" w:space="0" w:color="auto"/>
                    <w:bottom w:val="none" w:sz="0" w:space="0" w:color="auto"/>
                    <w:right w:val="none" w:sz="0" w:space="0" w:color="auto"/>
                  </w:divBdr>
                  <w:divsChild>
                    <w:div w:id="1252812067">
                      <w:marLeft w:val="0"/>
                      <w:marRight w:val="0"/>
                      <w:marTop w:val="0"/>
                      <w:marBottom w:val="0"/>
                      <w:divBdr>
                        <w:top w:val="none" w:sz="0" w:space="0" w:color="auto"/>
                        <w:left w:val="none" w:sz="0" w:space="0" w:color="auto"/>
                        <w:bottom w:val="none" w:sz="0" w:space="0" w:color="auto"/>
                        <w:right w:val="none" w:sz="0" w:space="0" w:color="auto"/>
                      </w:divBdr>
                      <w:divsChild>
                        <w:div w:id="476800900">
                          <w:marLeft w:val="0"/>
                          <w:marRight w:val="0"/>
                          <w:marTop w:val="0"/>
                          <w:marBottom w:val="0"/>
                          <w:divBdr>
                            <w:top w:val="none" w:sz="0" w:space="0" w:color="auto"/>
                            <w:left w:val="none" w:sz="0" w:space="0" w:color="auto"/>
                            <w:bottom w:val="none" w:sz="0" w:space="0" w:color="auto"/>
                            <w:right w:val="none" w:sz="0" w:space="0" w:color="auto"/>
                          </w:divBdr>
                          <w:divsChild>
                            <w:div w:id="783958278">
                              <w:marLeft w:val="2700"/>
                              <w:marRight w:val="3960"/>
                              <w:marTop w:val="0"/>
                              <w:marBottom w:val="0"/>
                              <w:divBdr>
                                <w:top w:val="none" w:sz="0" w:space="0" w:color="auto"/>
                                <w:left w:val="none" w:sz="0" w:space="0" w:color="auto"/>
                                <w:bottom w:val="none" w:sz="0" w:space="0" w:color="auto"/>
                                <w:right w:val="none" w:sz="0" w:space="0" w:color="auto"/>
                              </w:divBdr>
                              <w:divsChild>
                                <w:div w:id="1738016016">
                                  <w:marLeft w:val="0"/>
                                  <w:marRight w:val="0"/>
                                  <w:marTop w:val="0"/>
                                  <w:marBottom w:val="0"/>
                                  <w:divBdr>
                                    <w:top w:val="none" w:sz="0" w:space="0" w:color="auto"/>
                                    <w:left w:val="none" w:sz="0" w:space="0" w:color="auto"/>
                                    <w:bottom w:val="none" w:sz="0" w:space="0" w:color="auto"/>
                                    <w:right w:val="none" w:sz="0" w:space="0" w:color="auto"/>
                                  </w:divBdr>
                                  <w:divsChild>
                                    <w:div w:id="582494113">
                                      <w:marLeft w:val="0"/>
                                      <w:marRight w:val="0"/>
                                      <w:marTop w:val="0"/>
                                      <w:marBottom w:val="0"/>
                                      <w:divBdr>
                                        <w:top w:val="none" w:sz="0" w:space="0" w:color="auto"/>
                                        <w:left w:val="none" w:sz="0" w:space="0" w:color="auto"/>
                                        <w:bottom w:val="none" w:sz="0" w:space="0" w:color="auto"/>
                                        <w:right w:val="none" w:sz="0" w:space="0" w:color="auto"/>
                                      </w:divBdr>
                                      <w:divsChild>
                                        <w:div w:id="524834780">
                                          <w:marLeft w:val="0"/>
                                          <w:marRight w:val="0"/>
                                          <w:marTop w:val="0"/>
                                          <w:marBottom w:val="0"/>
                                          <w:divBdr>
                                            <w:top w:val="none" w:sz="0" w:space="0" w:color="auto"/>
                                            <w:left w:val="none" w:sz="0" w:space="0" w:color="auto"/>
                                            <w:bottom w:val="none" w:sz="0" w:space="0" w:color="auto"/>
                                            <w:right w:val="none" w:sz="0" w:space="0" w:color="auto"/>
                                          </w:divBdr>
                                          <w:divsChild>
                                            <w:div w:id="2059742068">
                                              <w:marLeft w:val="0"/>
                                              <w:marRight w:val="0"/>
                                              <w:marTop w:val="90"/>
                                              <w:marBottom w:val="0"/>
                                              <w:divBdr>
                                                <w:top w:val="none" w:sz="0" w:space="0" w:color="auto"/>
                                                <w:left w:val="none" w:sz="0" w:space="0" w:color="auto"/>
                                                <w:bottom w:val="none" w:sz="0" w:space="0" w:color="auto"/>
                                                <w:right w:val="none" w:sz="0" w:space="0" w:color="auto"/>
                                              </w:divBdr>
                                              <w:divsChild>
                                                <w:div w:id="1963422137">
                                                  <w:marLeft w:val="0"/>
                                                  <w:marRight w:val="0"/>
                                                  <w:marTop w:val="0"/>
                                                  <w:marBottom w:val="405"/>
                                                  <w:divBdr>
                                                    <w:top w:val="none" w:sz="0" w:space="0" w:color="auto"/>
                                                    <w:left w:val="none" w:sz="0" w:space="0" w:color="auto"/>
                                                    <w:bottom w:val="none" w:sz="0" w:space="0" w:color="auto"/>
                                                    <w:right w:val="none" w:sz="0" w:space="0" w:color="auto"/>
                                                  </w:divBdr>
                                                  <w:divsChild>
                                                    <w:div w:id="1701514671">
                                                      <w:marLeft w:val="0"/>
                                                      <w:marRight w:val="0"/>
                                                      <w:marTop w:val="0"/>
                                                      <w:marBottom w:val="0"/>
                                                      <w:divBdr>
                                                        <w:top w:val="none" w:sz="0" w:space="0" w:color="auto"/>
                                                        <w:left w:val="none" w:sz="0" w:space="0" w:color="auto"/>
                                                        <w:bottom w:val="none" w:sz="0" w:space="0" w:color="auto"/>
                                                        <w:right w:val="none" w:sz="0" w:space="0" w:color="auto"/>
                                                      </w:divBdr>
                                                      <w:divsChild>
                                                        <w:div w:id="720442766">
                                                          <w:marLeft w:val="0"/>
                                                          <w:marRight w:val="0"/>
                                                          <w:marTop w:val="0"/>
                                                          <w:marBottom w:val="0"/>
                                                          <w:divBdr>
                                                            <w:top w:val="single" w:sz="6" w:space="0" w:color="DFE1E5"/>
                                                            <w:left w:val="single" w:sz="6" w:space="0" w:color="DFE1E5"/>
                                                            <w:bottom w:val="single" w:sz="6" w:space="0" w:color="DFE1E5"/>
                                                            <w:right w:val="single" w:sz="6" w:space="0" w:color="DFE1E5"/>
                                                          </w:divBdr>
                                                          <w:divsChild>
                                                            <w:div w:id="1172526197">
                                                              <w:marLeft w:val="0"/>
                                                              <w:marRight w:val="0"/>
                                                              <w:marTop w:val="0"/>
                                                              <w:marBottom w:val="0"/>
                                                              <w:divBdr>
                                                                <w:top w:val="none" w:sz="0" w:space="0" w:color="auto"/>
                                                                <w:left w:val="none" w:sz="0" w:space="0" w:color="auto"/>
                                                                <w:bottom w:val="none" w:sz="0" w:space="0" w:color="auto"/>
                                                                <w:right w:val="none" w:sz="0" w:space="0" w:color="auto"/>
                                                              </w:divBdr>
                                                              <w:divsChild>
                                                                <w:div w:id="2139491921">
                                                                  <w:marLeft w:val="0"/>
                                                                  <w:marRight w:val="0"/>
                                                                  <w:marTop w:val="0"/>
                                                                  <w:marBottom w:val="0"/>
                                                                  <w:divBdr>
                                                                    <w:top w:val="none" w:sz="0" w:space="0" w:color="auto"/>
                                                                    <w:left w:val="none" w:sz="0" w:space="0" w:color="auto"/>
                                                                    <w:bottom w:val="none" w:sz="0" w:space="0" w:color="auto"/>
                                                                    <w:right w:val="none" w:sz="0" w:space="0" w:color="auto"/>
                                                                  </w:divBdr>
                                                                  <w:divsChild>
                                                                    <w:div w:id="363138302">
                                                                      <w:marLeft w:val="0"/>
                                                                      <w:marRight w:val="0"/>
                                                                      <w:marTop w:val="0"/>
                                                                      <w:marBottom w:val="0"/>
                                                                      <w:divBdr>
                                                                        <w:top w:val="none" w:sz="0" w:space="0" w:color="auto"/>
                                                                        <w:left w:val="none" w:sz="0" w:space="0" w:color="auto"/>
                                                                        <w:bottom w:val="none" w:sz="0" w:space="0" w:color="auto"/>
                                                                        <w:right w:val="none" w:sz="0" w:space="0" w:color="auto"/>
                                                                      </w:divBdr>
                                                                      <w:divsChild>
                                                                        <w:div w:id="527573322">
                                                                          <w:marLeft w:val="0"/>
                                                                          <w:marRight w:val="0"/>
                                                                          <w:marTop w:val="0"/>
                                                                          <w:marBottom w:val="0"/>
                                                                          <w:divBdr>
                                                                            <w:top w:val="none" w:sz="0" w:space="0" w:color="auto"/>
                                                                            <w:left w:val="none" w:sz="0" w:space="0" w:color="auto"/>
                                                                            <w:bottom w:val="none" w:sz="0" w:space="0" w:color="auto"/>
                                                                            <w:right w:val="none" w:sz="0" w:space="0" w:color="auto"/>
                                                                          </w:divBdr>
                                                                          <w:divsChild>
                                                                            <w:div w:id="284626075">
                                                                              <w:marLeft w:val="0"/>
                                                                              <w:marRight w:val="0"/>
                                                                              <w:marTop w:val="0"/>
                                                                              <w:marBottom w:val="0"/>
                                                                              <w:divBdr>
                                                                                <w:top w:val="none" w:sz="0" w:space="0" w:color="auto"/>
                                                                                <w:left w:val="none" w:sz="0" w:space="0" w:color="auto"/>
                                                                                <w:bottom w:val="none" w:sz="0" w:space="0" w:color="auto"/>
                                                                                <w:right w:val="none" w:sz="0" w:space="0" w:color="auto"/>
                                                                              </w:divBdr>
                                                                              <w:divsChild>
                                                                                <w:div w:id="771165532">
                                                                                  <w:marLeft w:val="0"/>
                                                                                  <w:marRight w:val="0"/>
                                                                                  <w:marTop w:val="0"/>
                                                                                  <w:marBottom w:val="0"/>
                                                                                  <w:divBdr>
                                                                                    <w:top w:val="none" w:sz="0" w:space="0" w:color="auto"/>
                                                                                    <w:left w:val="none" w:sz="0" w:space="0" w:color="auto"/>
                                                                                    <w:bottom w:val="none" w:sz="0" w:space="0" w:color="auto"/>
                                                                                    <w:right w:val="none" w:sz="0" w:space="0" w:color="auto"/>
                                                                                  </w:divBdr>
                                                                                  <w:divsChild>
                                                                                    <w:div w:id="4488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276594">
      <w:bodyDiv w:val="1"/>
      <w:marLeft w:val="0"/>
      <w:marRight w:val="0"/>
      <w:marTop w:val="0"/>
      <w:marBottom w:val="0"/>
      <w:divBdr>
        <w:top w:val="none" w:sz="0" w:space="0" w:color="auto"/>
        <w:left w:val="none" w:sz="0" w:space="0" w:color="auto"/>
        <w:bottom w:val="none" w:sz="0" w:space="0" w:color="auto"/>
        <w:right w:val="none" w:sz="0" w:space="0" w:color="auto"/>
      </w:divBdr>
      <w:divsChild>
        <w:div w:id="1403287169">
          <w:marLeft w:val="0"/>
          <w:marRight w:val="0"/>
          <w:marTop w:val="0"/>
          <w:marBottom w:val="0"/>
          <w:divBdr>
            <w:top w:val="none" w:sz="0" w:space="0" w:color="auto"/>
            <w:left w:val="none" w:sz="0" w:space="0" w:color="auto"/>
            <w:bottom w:val="none" w:sz="0" w:space="0" w:color="auto"/>
            <w:right w:val="none" w:sz="0" w:space="0" w:color="auto"/>
          </w:divBdr>
          <w:divsChild>
            <w:div w:id="1113941922">
              <w:marLeft w:val="0"/>
              <w:marRight w:val="0"/>
              <w:marTop w:val="0"/>
              <w:marBottom w:val="0"/>
              <w:divBdr>
                <w:top w:val="none" w:sz="0" w:space="0" w:color="auto"/>
                <w:left w:val="none" w:sz="0" w:space="0" w:color="auto"/>
                <w:bottom w:val="none" w:sz="0" w:space="0" w:color="auto"/>
                <w:right w:val="none" w:sz="0" w:space="0" w:color="auto"/>
              </w:divBdr>
              <w:divsChild>
                <w:div w:id="1622422403">
                  <w:marLeft w:val="0"/>
                  <w:marRight w:val="0"/>
                  <w:marTop w:val="0"/>
                  <w:marBottom w:val="0"/>
                  <w:divBdr>
                    <w:top w:val="none" w:sz="0" w:space="0" w:color="auto"/>
                    <w:left w:val="none" w:sz="0" w:space="0" w:color="auto"/>
                    <w:bottom w:val="none" w:sz="0" w:space="0" w:color="auto"/>
                    <w:right w:val="none" w:sz="0" w:space="0" w:color="auto"/>
                  </w:divBdr>
                  <w:divsChild>
                    <w:div w:id="1407679539">
                      <w:marLeft w:val="0"/>
                      <w:marRight w:val="0"/>
                      <w:marTop w:val="0"/>
                      <w:marBottom w:val="0"/>
                      <w:divBdr>
                        <w:top w:val="none" w:sz="0" w:space="0" w:color="auto"/>
                        <w:left w:val="none" w:sz="0" w:space="0" w:color="auto"/>
                        <w:bottom w:val="none" w:sz="0" w:space="0" w:color="auto"/>
                        <w:right w:val="none" w:sz="0" w:space="0" w:color="auto"/>
                      </w:divBdr>
                      <w:divsChild>
                        <w:div w:id="1427573880">
                          <w:marLeft w:val="0"/>
                          <w:marRight w:val="0"/>
                          <w:marTop w:val="0"/>
                          <w:marBottom w:val="0"/>
                          <w:divBdr>
                            <w:top w:val="none" w:sz="0" w:space="0" w:color="auto"/>
                            <w:left w:val="none" w:sz="0" w:space="0" w:color="auto"/>
                            <w:bottom w:val="none" w:sz="0" w:space="0" w:color="auto"/>
                            <w:right w:val="none" w:sz="0" w:space="0" w:color="auto"/>
                          </w:divBdr>
                          <w:divsChild>
                            <w:div w:id="1269774225">
                              <w:marLeft w:val="2700"/>
                              <w:marRight w:val="3960"/>
                              <w:marTop w:val="0"/>
                              <w:marBottom w:val="0"/>
                              <w:divBdr>
                                <w:top w:val="none" w:sz="0" w:space="0" w:color="auto"/>
                                <w:left w:val="none" w:sz="0" w:space="0" w:color="auto"/>
                                <w:bottom w:val="none" w:sz="0" w:space="0" w:color="auto"/>
                                <w:right w:val="none" w:sz="0" w:space="0" w:color="auto"/>
                              </w:divBdr>
                              <w:divsChild>
                                <w:div w:id="972171726">
                                  <w:marLeft w:val="0"/>
                                  <w:marRight w:val="0"/>
                                  <w:marTop w:val="0"/>
                                  <w:marBottom w:val="0"/>
                                  <w:divBdr>
                                    <w:top w:val="none" w:sz="0" w:space="0" w:color="auto"/>
                                    <w:left w:val="none" w:sz="0" w:space="0" w:color="auto"/>
                                    <w:bottom w:val="none" w:sz="0" w:space="0" w:color="auto"/>
                                    <w:right w:val="none" w:sz="0" w:space="0" w:color="auto"/>
                                  </w:divBdr>
                                  <w:divsChild>
                                    <w:div w:id="457917866">
                                      <w:marLeft w:val="0"/>
                                      <w:marRight w:val="0"/>
                                      <w:marTop w:val="0"/>
                                      <w:marBottom w:val="0"/>
                                      <w:divBdr>
                                        <w:top w:val="none" w:sz="0" w:space="0" w:color="auto"/>
                                        <w:left w:val="none" w:sz="0" w:space="0" w:color="auto"/>
                                        <w:bottom w:val="none" w:sz="0" w:space="0" w:color="auto"/>
                                        <w:right w:val="none" w:sz="0" w:space="0" w:color="auto"/>
                                      </w:divBdr>
                                      <w:divsChild>
                                        <w:div w:id="1310594107">
                                          <w:marLeft w:val="0"/>
                                          <w:marRight w:val="0"/>
                                          <w:marTop w:val="0"/>
                                          <w:marBottom w:val="0"/>
                                          <w:divBdr>
                                            <w:top w:val="none" w:sz="0" w:space="0" w:color="auto"/>
                                            <w:left w:val="none" w:sz="0" w:space="0" w:color="auto"/>
                                            <w:bottom w:val="none" w:sz="0" w:space="0" w:color="auto"/>
                                            <w:right w:val="none" w:sz="0" w:space="0" w:color="auto"/>
                                          </w:divBdr>
                                          <w:divsChild>
                                            <w:div w:id="656106732">
                                              <w:marLeft w:val="0"/>
                                              <w:marRight w:val="0"/>
                                              <w:marTop w:val="90"/>
                                              <w:marBottom w:val="0"/>
                                              <w:divBdr>
                                                <w:top w:val="none" w:sz="0" w:space="0" w:color="auto"/>
                                                <w:left w:val="none" w:sz="0" w:space="0" w:color="auto"/>
                                                <w:bottom w:val="none" w:sz="0" w:space="0" w:color="auto"/>
                                                <w:right w:val="none" w:sz="0" w:space="0" w:color="auto"/>
                                              </w:divBdr>
                                              <w:divsChild>
                                                <w:div w:id="1628317159">
                                                  <w:marLeft w:val="0"/>
                                                  <w:marRight w:val="0"/>
                                                  <w:marTop w:val="0"/>
                                                  <w:marBottom w:val="405"/>
                                                  <w:divBdr>
                                                    <w:top w:val="none" w:sz="0" w:space="0" w:color="auto"/>
                                                    <w:left w:val="none" w:sz="0" w:space="0" w:color="auto"/>
                                                    <w:bottom w:val="none" w:sz="0" w:space="0" w:color="auto"/>
                                                    <w:right w:val="none" w:sz="0" w:space="0" w:color="auto"/>
                                                  </w:divBdr>
                                                  <w:divsChild>
                                                    <w:div w:id="935407308">
                                                      <w:marLeft w:val="0"/>
                                                      <w:marRight w:val="0"/>
                                                      <w:marTop w:val="0"/>
                                                      <w:marBottom w:val="0"/>
                                                      <w:divBdr>
                                                        <w:top w:val="none" w:sz="0" w:space="0" w:color="auto"/>
                                                        <w:left w:val="none" w:sz="0" w:space="0" w:color="auto"/>
                                                        <w:bottom w:val="none" w:sz="0" w:space="0" w:color="auto"/>
                                                        <w:right w:val="none" w:sz="0" w:space="0" w:color="auto"/>
                                                      </w:divBdr>
                                                      <w:divsChild>
                                                        <w:div w:id="55708758">
                                                          <w:marLeft w:val="0"/>
                                                          <w:marRight w:val="0"/>
                                                          <w:marTop w:val="0"/>
                                                          <w:marBottom w:val="0"/>
                                                          <w:divBdr>
                                                            <w:top w:val="single" w:sz="6" w:space="0" w:color="DFE1E5"/>
                                                            <w:left w:val="single" w:sz="6" w:space="0" w:color="DFE1E5"/>
                                                            <w:bottom w:val="single" w:sz="6" w:space="0" w:color="DFE1E5"/>
                                                            <w:right w:val="single" w:sz="6" w:space="0" w:color="DFE1E5"/>
                                                          </w:divBdr>
                                                          <w:divsChild>
                                                            <w:div w:id="1164514065">
                                                              <w:marLeft w:val="0"/>
                                                              <w:marRight w:val="0"/>
                                                              <w:marTop w:val="0"/>
                                                              <w:marBottom w:val="0"/>
                                                              <w:divBdr>
                                                                <w:top w:val="none" w:sz="0" w:space="0" w:color="auto"/>
                                                                <w:left w:val="none" w:sz="0" w:space="0" w:color="auto"/>
                                                                <w:bottom w:val="none" w:sz="0" w:space="0" w:color="auto"/>
                                                                <w:right w:val="none" w:sz="0" w:space="0" w:color="auto"/>
                                                              </w:divBdr>
                                                              <w:divsChild>
                                                                <w:div w:id="239557744">
                                                                  <w:marLeft w:val="0"/>
                                                                  <w:marRight w:val="0"/>
                                                                  <w:marTop w:val="0"/>
                                                                  <w:marBottom w:val="0"/>
                                                                  <w:divBdr>
                                                                    <w:top w:val="none" w:sz="0" w:space="0" w:color="auto"/>
                                                                    <w:left w:val="none" w:sz="0" w:space="0" w:color="auto"/>
                                                                    <w:bottom w:val="none" w:sz="0" w:space="0" w:color="auto"/>
                                                                    <w:right w:val="none" w:sz="0" w:space="0" w:color="auto"/>
                                                                  </w:divBdr>
                                                                  <w:divsChild>
                                                                    <w:div w:id="924147285">
                                                                      <w:marLeft w:val="0"/>
                                                                      <w:marRight w:val="0"/>
                                                                      <w:marTop w:val="0"/>
                                                                      <w:marBottom w:val="0"/>
                                                                      <w:divBdr>
                                                                        <w:top w:val="none" w:sz="0" w:space="0" w:color="auto"/>
                                                                        <w:left w:val="none" w:sz="0" w:space="0" w:color="auto"/>
                                                                        <w:bottom w:val="none" w:sz="0" w:space="0" w:color="auto"/>
                                                                        <w:right w:val="none" w:sz="0" w:space="0" w:color="auto"/>
                                                                      </w:divBdr>
                                                                      <w:divsChild>
                                                                        <w:div w:id="1770004627">
                                                                          <w:marLeft w:val="0"/>
                                                                          <w:marRight w:val="0"/>
                                                                          <w:marTop w:val="0"/>
                                                                          <w:marBottom w:val="0"/>
                                                                          <w:divBdr>
                                                                            <w:top w:val="none" w:sz="0" w:space="0" w:color="auto"/>
                                                                            <w:left w:val="none" w:sz="0" w:space="0" w:color="auto"/>
                                                                            <w:bottom w:val="none" w:sz="0" w:space="0" w:color="auto"/>
                                                                            <w:right w:val="none" w:sz="0" w:space="0" w:color="auto"/>
                                                                          </w:divBdr>
                                                                          <w:divsChild>
                                                                            <w:div w:id="298459114">
                                                                              <w:marLeft w:val="0"/>
                                                                              <w:marRight w:val="0"/>
                                                                              <w:marTop w:val="0"/>
                                                                              <w:marBottom w:val="0"/>
                                                                              <w:divBdr>
                                                                                <w:top w:val="none" w:sz="0" w:space="0" w:color="auto"/>
                                                                                <w:left w:val="none" w:sz="0" w:space="0" w:color="auto"/>
                                                                                <w:bottom w:val="none" w:sz="0" w:space="0" w:color="auto"/>
                                                                                <w:right w:val="none" w:sz="0" w:space="0" w:color="auto"/>
                                                                              </w:divBdr>
                                                                              <w:divsChild>
                                                                                <w:div w:id="1975410185">
                                                                                  <w:marLeft w:val="0"/>
                                                                                  <w:marRight w:val="0"/>
                                                                                  <w:marTop w:val="0"/>
                                                                                  <w:marBottom w:val="0"/>
                                                                                  <w:divBdr>
                                                                                    <w:top w:val="none" w:sz="0" w:space="0" w:color="auto"/>
                                                                                    <w:left w:val="none" w:sz="0" w:space="0" w:color="auto"/>
                                                                                    <w:bottom w:val="none" w:sz="0" w:space="0" w:color="auto"/>
                                                                                    <w:right w:val="none" w:sz="0" w:space="0" w:color="auto"/>
                                                                                  </w:divBdr>
                                                                                  <w:divsChild>
                                                                                    <w:div w:id="96176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8984562">
      <w:bodyDiv w:val="1"/>
      <w:marLeft w:val="0"/>
      <w:marRight w:val="0"/>
      <w:marTop w:val="0"/>
      <w:marBottom w:val="0"/>
      <w:divBdr>
        <w:top w:val="none" w:sz="0" w:space="0" w:color="auto"/>
        <w:left w:val="none" w:sz="0" w:space="0" w:color="auto"/>
        <w:bottom w:val="none" w:sz="0" w:space="0" w:color="auto"/>
        <w:right w:val="none" w:sz="0" w:space="0" w:color="auto"/>
      </w:divBdr>
      <w:divsChild>
        <w:div w:id="1885211398">
          <w:marLeft w:val="0"/>
          <w:marRight w:val="0"/>
          <w:marTop w:val="0"/>
          <w:marBottom w:val="0"/>
          <w:divBdr>
            <w:top w:val="none" w:sz="0" w:space="0" w:color="auto"/>
            <w:left w:val="none" w:sz="0" w:space="0" w:color="auto"/>
            <w:bottom w:val="none" w:sz="0" w:space="0" w:color="auto"/>
            <w:right w:val="none" w:sz="0" w:space="0" w:color="auto"/>
          </w:divBdr>
          <w:divsChild>
            <w:div w:id="1982271001">
              <w:marLeft w:val="0"/>
              <w:marRight w:val="0"/>
              <w:marTop w:val="0"/>
              <w:marBottom w:val="0"/>
              <w:divBdr>
                <w:top w:val="none" w:sz="0" w:space="0" w:color="auto"/>
                <w:left w:val="none" w:sz="0" w:space="0" w:color="auto"/>
                <w:bottom w:val="none" w:sz="0" w:space="0" w:color="auto"/>
                <w:right w:val="none" w:sz="0" w:space="0" w:color="auto"/>
              </w:divBdr>
              <w:divsChild>
                <w:div w:id="544222414">
                  <w:marLeft w:val="0"/>
                  <w:marRight w:val="0"/>
                  <w:marTop w:val="0"/>
                  <w:marBottom w:val="0"/>
                  <w:divBdr>
                    <w:top w:val="none" w:sz="0" w:space="0" w:color="auto"/>
                    <w:left w:val="none" w:sz="0" w:space="0" w:color="auto"/>
                    <w:bottom w:val="none" w:sz="0" w:space="0" w:color="auto"/>
                    <w:right w:val="none" w:sz="0" w:space="0" w:color="auto"/>
                  </w:divBdr>
                  <w:divsChild>
                    <w:div w:id="1906062711">
                      <w:marLeft w:val="0"/>
                      <w:marRight w:val="0"/>
                      <w:marTop w:val="0"/>
                      <w:marBottom w:val="0"/>
                      <w:divBdr>
                        <w:top w:val="none" w:sz="0" w:space="0" w:color="auto"/>
                        <w:left w:val="none" w:sz="0" w:space="0" w:color="auto"/>
                        <w:bottom w:val="none" w:sz="0" w:space="0" w:color="auto"/>
                        <w:right w:val="none" w:sz="0" w:space="0" w:color="auto"/>
                      </w:divBdr>
                      <w:divsChild>
                        <w:div w:id="1385183015">
                          <w:marLeft w:val="0"/>
                          <w:marRight w:val="0"/>
                          <w:marTop w:val="0"/>
                          <w:marBottom w:val="0"/>
                          <w:divBdr>
                            <w:top w:val="none" w:sz="0" w:space="0" w:color="auto"/>
                            <w:left w:val="none" w:sz="0" w:space="0" w:color="auto"/>
                            <w:bottom w:val="none" w:sz="0" w:space="0" w:color="auto"/>
                            <w:right w:val="none" w:sz="0" w:space="0" w:color="auto"/>
                          </w:divBdr>
                          <w:divsChild>
                            <w:div w:id="68894009">
                              <w:marLeft w:val="0"/>
                              <w:marRight w:val="0"/>
                              <w:marTop w:val="0"/>
                              <w:marBottom w:val="0"/>
                              <w:divBdr>
                                <w:top w:val="none" w:sz="0" w:space="0" w:color="auto"/>
                                <w:left w:val="none" w:sz="0" w:space="0" w:color="auto"/>
                                <w:bottom w:val="none" w:sz="0" w:space="0" w:color="auto"/>
                                <w:right w:val="none" w:sz="0" w:space="0" w:color="auto"/>
                              </w:divBdr>
                              <w:divsChild>
                                <w:div w:id="1072002520">
                                  <w:marLeft w:val="0"/>
                                  <w:marRight w:val="0"/>
                                  <w:marTop w:val="0"/>
                                  <w:marBottom w:val="0"/>
                                  <w:divBdr>
                                    <w:top w:val="none" w:sz="0" w:space="0" w:color="auto"/>
                                    <w:left w:val="none" w:sz="0" w:space="0" w:color="auto"/>
                                    <w:bottom w:val="none" w:sz="0" w:space="0" w:color="auto"/>
                                    <w:right w:val="none" w:sz="0" w:space="0" w:color="auto"/>
                                  </w:divBdr>
                                  <w:divsChild>
                                    <w:div w:id="513963171">
                                      <w:marLeft w:val="0"/>
                                      <w:marRight w:val="0"/>
                                      <w:marTop w:val="0"/>
                                      <w:marBottom w:val="0"/>
                                      <w:divBdr>
                                        <w:top w:val="none" w:sz="0" w:space="0" w:color="auto"/>
                                        <w:left w:val="none" w:sz="0" w:space="0" w:color="auto"/>
                                        <w:bottom w:val="none" w:sz="0" w:space="0" w:color="auto"/>
                                        <w:right w:val="none" w:sz="0" w:space="0" w:color="auto"/>
                                      </w:divBdr>
                                      <w:divsChild>
                                        <w:div w:id="407309710">
                                          <w:marLeft w:val="0"/>
                                          <w:marRight w:val="0"/>
                                          <w:marTop w:val="0"/>
                                          <w:marBottom w:val="495"/>
                                          <w:divBdr>
                                            <w:top w:val="none" w:sz="0" w:space="0" w:color="auto"/>
                                            <w:left w:val="none" w:sz="0" w:space="0" w:color="auto"/>
                                            <w:bottom w:val="none" w:sz="0" w:space="0" w:color="auto"/>
                                            <w:right w:val="none" w:sz="0" w:space="0" w:color="auto"/>
                                          </w:divBdr>
                                          <w:divsChild>
                                            <w:div w:id="190417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5343796">
      <w:bodyDiv w:val="1"/>
      <w:marLeft w:val="0"/>
      <w:marRight w:val="0"/>
      <w:marTop w:val="0"/>
      <w:marBottom w:val="0"/>
      <w:divBdr>
        <w:top w:val="none" w:sz="0" w:space="0" w:color="auto"/>
        <w:left w:val="none" w:sz="0" w:space="0" w:color="auto"/>
        <w:bottom w:val="none" w:sz="0" w:space="0" w:color="auto"/>
        <w:right w:val="none" w:sz="0" w:space="0" w:color="auto"/>
      </w:divBdr>
      <w:divsChild>
        <w:div w:id="1588267759">
          <w:marLeft w:val="0"/>
          <w:marRight w:val="0"/>
          <w:marTop w:val="0"/>
          <w:marBottom w:val="0"/>
          <w:divBdr>
            <w:top w:val="none" w:sz="0" w:space="0" w:color="auto"/>
            <w:left w:val="none" w:sz="0" w:space="0" w:color="auto"/>
            <w:bottom w:val="none" w:sz="0" w:space="0" w:color="auto"/>
            <w:right w:val="none" w:sz="0" w:space="0" w:color="auto"/>
          </w:divBdr>
          <w:divsChild>
            <w:div w:id="1956016238">
              <w:marLeft w:val="0"/>
              <w:marRight w:val="0"/>
              <w:marTop w:val="0"/>
              <w:marBottom w:val="0"/>
              <w:divBdr>
                <w:top w:val="none" w:sz="0" w:space="0" w:color="auto"/>
                <w:left w:val="none" w:sz="0" w:space="0" w:color="auto"/>
                <w:bottom w:val="none" w:sz="0" w:space="0" w:color="auto"/>
                <w:right w:val="none" w:sz="0" w:space="0" w:color="auto"/>
              </w:divBdr>
              <w:divsChild>
                <w:div w:id="653724536">
                  <w:marLeft w:val="0"/>
                  <w:marRight w:val="0"/>
                  <w:marTop w:val="0"/>
                  <w:marBottom w:val="0"/>
                  <w:divBdr>
                    <w:top w:val="none" w:sz="0" w:space="0" w:color="auto"/>
                    <w:left w:val="none" w:sz="0" w:space="0" w:color="auto"/>
                    <w:bottom w:val="none" w:sz="0" w:space="0" w:color="auto"/>
                    <w:right w:val="none" w:sz="0" w:space="0" w:color="auto"/>
                  </w:divBdr>
                  <w:divsChild>
                    <w:div w:id="1150099269">
                      <w:marLeft w:val="0"/>
                      <w:marRight w:val="0"/>
                      <w:marTop w:val="0"/>
                      <w:marBottom w:val="0"/>
                      <w:divBdr>
                        <w:top w:val="none" w:sz="0" w:space="0" w:color="auto"/>
                        <w:left w:val="none" w:sz="0" w:space="0" w:color="auto"/>
                        <w:bottom w:val="none" w:sz="0" w:space="0" w:color="auto"/>
                        <w:right w:val="none" w:sz="0" w:space="0" w:color="auto"/>
                      </w:divBdr>
                      <w:divsChild>
                        <w:div w:id="1200320241">
                          <w:marLeft w:val="0"/>
                          <w:marRight w:val="0"/>
                          <w:marTop w:val="0"/>
                          <w:marBottom w:val="0"/>
                          <w:divBdr>
                            <w:top w:val="none" w:sz="0" w:space="0" w:color="auto"/>
                            <w:left w:val="none" w:sz="0" w:space="0" w:color="auto"/>
                            <w:bottom w:val="none" w:sz="0" w:space="0" w:color="auto"/>
                            <w:right w:val="none" w:sz="0" w:space="0" w:color="auto"/>
                          </w:divBdr>
                          <w:divsChild>
                            <w:div w:id="2068333107">
                              <w:marLeft w:val="2700"/>
                              <w:marRight w:val="3960"/>
                              <w:marTop w:val="0"/>
                              <w:marBottom w:val="0"/>
                              <w:divBdr>
                                <w:top w:val="none" w:sz="0" w:space="0" w:color="auto"/>
                                <w:left w:val="none" w:sz="0" w:space="0" w:color="auto"/>
                                <w:bottom w:val="none" w:sz="0" w:space="0" w:color="auto"/>
                                <w:right w:val="none" w:sz="0" w:space="0" w:color="auto"/>
                              </w:divBdr>
                              <w:divsChild>
                                <w:div w:id="740642424">
                                  <w:marLeft w:val="0"/>
                                  <w:marRight w:val="0"/>
                                  <w:marTop w:val="0"/>
                                  <w:marBottom w:val="0"/>
                                  <w:divBdr>
                                    <w:top w:val="none" w:sz="0" w:space="0" w:color="auto"/>
                                    <w:left w:val="none" w:sz="0" w:space="0" w:color="auto"/>
                                    <w:bottom w:val="none" w:sz="0" w:space="0" w:color="auto"/>
                                    <w:right w:val="none" w:sz="0" w:space="0" w:color="auto"/>
                                  </w:divBdr>
                                  <w:divsChild>
                                    <w:div w:id="511727486">
                                      <w:marLeft w:val="0"/>
                                      <w:marRight w:val="0"/>
                                      <w:marTop w:val="0"/>
                                      <w:marBottom w:val="0"/>
                                      <w:divBdr>
                                        <w:top w:val="none" w:sz="0" w:space="0" w:color="auto"/>
                                        <w:left w:val="none" w:sz="0" w:space="0" w:color="auto"/>
                                        <w:bottom w:val="none" w:sz="0" w:space="0" w:color="auto"/>
                                        <w:right w:val="none" w:sz="0" w:space="0" w:color="auto"/>
                                      </w:divBdr>
                                      <w:divsChild>
                                        <w:div w:id="144669452">
                                          <w:marLeft w:val="0"/>
                                          <w:marRight w:val="0"/>
                                          <w:marTop w:val="0"/>
                                          <w:marBottom w:val="0"/>
                                          <w:divBdr>
                                            <w:top w:val="none" w:sz="0" w:space="0" w:color="auto"/>
                                            <w:left w:val="none" w:sz="0" w:space="0" w:color="auto"/>
                                            <w:bottom w:val="none" w:sz="0" w:space="0" w:color="auto"/>
                                            <w:right w:val="none" w:sz="0" w:space="0" w:color="auto"/>
                                          </w:divBdr>
                                          <w:divsChild>
                                            <w:div w:id="2100249131">
                                              <w:marLeft w:val="0"/>
                                              <w:marRight w:val="0"/>
                                              <w:marTop w:val="90"/>
                                              <w:marBottom w:val="0"/>
                                              <w:divBdr>
                                                <w:top w:val="none" w:sz="0" w:space="0" w:color="auto"/>
                                                <w:left w:val="none" w:sz="0" w:space="0" w:color="auto"/>
                                                <w:bottom w:val="none" w:sz="0" w:space="0" w:color="auto"/>
                                                <w:right w:val="none" w:sz="0" w:space="0" w:color="auto"/>
                                              </w:divBdr>
                                              <w:divsChild>
                                                <w:div w:id="245725519">
                                                  <w:marLeft w:val="0"/>
                                                  <w:marRight w:val="0"/>
                                                  <w:marTop w:val="0"/>
                                                  <w:marBottom w:val="405"/>
                                                  <w:divBdr>
                                                    <w:top w:val="none" w:sz="0" w:space="0" w:color="auto"/>
                                                    <w:left w:val="none" w:sz="0" w:space="0" w:color="auto"/>
                                                    <w:bottom w:val="none" w:sz="0" w:space="0" w:color="auto"/>
                                                    <w:right w:val="none" w:sz="0" w:space="0" w:color="auto"/>
                                                  </w:divBdr>
                                                  <w:divsChild>
                                                    <w:div w:id="480654333">
                                                      <w:marLeft w:val="0"/>
                                                      <w:marRight w:val="0"/>
                                                      <w:marTop w:val="0"/>
                                                      <w:marBottom w:val="0"/>
                                                      <w:divBdr>
                                                        <w:top w:val="none" w:sz="0" w:space="0" w:color="auto"/>
                                                        <w:left w:val="none" w:sz="0" w:space="0" w:color="auto"/>
                                                        <w:bottom w:val="none" w:sz="0" w:space="0" w:color="auto"/>
                                                        <w:right w:val="none" w:sz="0" w:space="0" w:color="auto"/>
                                                      </w:divBdr>
                                                      <w:divsChild>
                                                        <w:div w:id="669259071">
                                                          <w:marLeft w:val="0"/>
                                                          <w:marRight w:val="0"/>
                                                          <w:marTop w:val="0"/>
                                                          <w:marBottom w:val="0"/>
                                                          <w:divBdr>
                                                            <w:top w:val="single" w:sz="6" w:space="0" w:color="DFE1E5"/>
                                                            <w:left w:val="single" w:sz="6" w:space="0" w:color="DFE1E5"/>
                                                            <w:bottom w:val="single" w:sz="6" w:space="0" w:color="DFE1E5"/>
                                                            <w:right w:val="single" w:sz="6" w:space="0" w:color="DFE1E5"/>
                                                          </w:divBdr>
                                                          <w:divsChild>
                                                            <w:div w:id="88157945">
                                                              <w:marLeft w:val="0"/>
                                                              <w:marRight w:val="0"/>
                                                              <w:marTop w:val="0"/>
                                                              <w:marBottom w:val="0"/>
                                                              <w:divBdr>
                                                                <w:top w:val="none" w:sz="0" w:space="0" w:color="auto"/>
                                                                <w:left w:val="none" w:sz="0" w:space="0" w:color="auto"/>
                                                                <w:bottom w:val="none" w:sz="0" w:space="0" w:color="auto"/>
                                                                <w:right w:val="none" w:sz="0" w:space="0" w:color="auto"/>
                                                              </w:divBdr>
                                                              <w:divsChild>
                                                                <w:div w:id="1211263791">
                                                                  <w:marLeft w:val="0"/>
                                                                  <w:marRight w:val="0"/>
                                                                  <w:marTop w:val="0"/>
                                                                  <w:marBottom w:val="0"/>
                                                                  <w:divBdr>
                                                                    <w:top w:val="none" w:sz="0" w:space="0" w:color="auto"/>
                                                                    <w:left w:val="none" w:sz="0" w:space="0" w:color="auto"/>
                                                                    <w:bottom w:val="none" w:sz="0" w:space="0" w:color="auto"/>
                                                                    <w:right w:val="none" w:sz="0" w:space="0" w:color="auto"/>
                                                                  </w:divBdr>
                                                                  <w:divsChild>
                                                                    <w:div w:id="637223532">
                                                                      <w:marLeft w:val="0"/>
                                                                      <w:marRight w:val="0"/>
                                                                      <w:marTop w:val="0"/>
                                                                      <w:marBottom w:val="0"/>
                                                                      <w:divBdr>
                                                                        <w:top w:val="none" w:sz="0" w:space="0" w:color="auto"/>
                                                                        <w:left w:val="none" w:sz="0" w:space="0" w:color="auto"/>
                                                                        <w:bottom w:val="none" w:sz="0" w:space="0" w:color="auto"/>
                                                                        <w:right w:val="none" w:sz="0" w:space="0" w:color="auto"/>
                                                                      </w:divBdr>
                                                                      <w:divsChild>
                                                                        <w:div w:id="1661807036">
                                                                          <w:marLeft w:val="0"/>
                                                                          <w:marRight w:val="0"/>
                                                                          <w:marTop w:val="0"/>
                                                                          <w:marBottom w:val="0"/>
                                                                          <w:divBdr>
                                                                            <w:top w:val="none" w:sz="0" w:space="0" w:color="auto"/>
                                                                            <w:left w:val="none" w:sz="0" w:space="0" w:color="auto"/>
                                                                            <w:bottom w:val="none" w:sz="0" w:space="0" w:color="auto"/>
                                                                            <w:right w:val="none" w:sz="0" w:space="0" w:color="auto"/>
                                                                          </w:divBdr>
                                                                          <w:divsChild>
                                                                            <w:div w:id="1750149652">
                                                                              <w:marLeft w:val="0"/>
                                                                              <w:marRight w:val="0"/>
                                                                              <w:marTop w:val="0"/>
                                                                              <w:marBottom w:val="0"/>
                                                                              <w:divBdr>
                                                                                <w:top w:val="none" w:sz="0" w:space="0" w:color="auto"/>
                                                                                <w:left w:val="none" w:sz="0" w:space="0" w:color="auto"/>
                                                                                <w:bottom w:val="none" w:sz="0" w:space="0" w:color="auto"/>
                                                                                <w:right w:val="none" w:sz="0" w:space="0" w:color="auto"/>
                                                                              </w:divBdr>
                                                                              <w:divsChild>
                                                                                <w:div w:id="220289063">
                                                                                  <w:marLeft w:val="0"/>
                                                                                  <w:marRight w:val="0"/>
                                                                                  <w:marTop w:val="0"/>
                                                                                  <w:marBottom w:val="0"/>
                                                                                  <w:divBdr>
                                                                                    <w:top w:val="none" w:sz="0" w:space="0" w:color="auto"/>
                                                                                    <w:left w:val="none" w:sz="0" w:space="0" w:color="auto"/>
                                                                                    <w:bottom w:val="none" w:sz="0" w:space="0" w:color="auto"/>
                                                                                    <w:right w:val="none" w:sz="0" w:space="0" w:color="auto"/>
                                                                                  </w:divBdr>
                                                                                  <w:divsChild>
                                                                                    <w:div w:id="4721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785764">
      <w:bodyDiv w:val="1"/>
      <w:marLeft w:val="0"/>
      <w:marRight w:val="0"/>
      <w:marTop w:val="0"/>
      <w:marBottom w:val="0"/>
      <w:divBdr>
        <w:top w:val="none" w:sz="0" w:space="0" w:color="auto"/>
        <w:left w:val="none" w:sz="0" w:space="0" w:color="auto"/>
        <w:bottom w:val="none" w:sz="0" w:space="0" w:color="auto"/>
        <w:right w:val="none" w:sz="0" w:space="0" w:color="auto"/>
      </w:divBdr>
    </w:div>
    <w:div w:id="1817409570">
      <w:bodyDiv w:val="1"/>
      <w:marLeft w:val="0"/>
      <w:marRight w:val="0"/>
      <w:marTop w:val="0"/>
      <w:marBottom w:val="0"/>
      <w:divBdr>
        <w:top w:val="none" w:sz="0" w:space="0" w:color="auto"/>
        <w:left w:val="none" w:sz="0" w:space="0" w:color="auto"/>
        <w:bottom w:val="none" w:sz="0" w:space="0" w:color="auto"/>
        <w:right w:val="none" w:sz="0" w:space="0" w:color="auto"/>
      </w:divBdr>
    </w:div>
    <w:div w:id="1825580519">
      <w:bodyDiv w:val="1"/>
      <w:marLeft w:val="0"/>
      <w:marRight w:val="0"/>
      <w:marTop w:val="0"/>
      <w:marBottom w:val="0"/>
      <w:divBdr>
        <w:top w:val="none" w:sz="0" w:space="0" w:color="auto"/>
        <w:left w:val="none" w:sz="0" w:space="0" w:color="auto"/>
        <w:bottom w:val="none" w:sz="0" w:space="0" w:color="auto"/>
        <w:right w:val="none" w:sz="0" w:space="0" w:color="auto"/>
      </w:divBdr>
      <w:divsChild>
        <w:div w:id="1411082183">
          <w:marLeft w:val="0"/>
          <w:marRight w:val="0"/>
          <w:marTop w:val="0"/>
          <w:marBottom w:val="0"/>
          <w:divBdr>
            <w:top w:val="none" w:sz="0" w:space="0" w:color="auto"/>
            <w:left w:val="none" w:sz="0" w:space="0" w:color="auto"/>
            <w:bottom w:val="none" w:sz="0" w:space="0" w:color="auto"/>
            <w:right w:val="none" w:sz="0" w:space="0" w:color="auto"/>
          </w:divBdr>
          <w:divsChild>
            <w:div w:id="2025668621">
              <w:marLeft w:val="0"/>
              <w:marRight w:val="0"/>
              <w:marTop w:val="0"/>
              <w:marBottom w:val="0"/>
              <w:divBdr>
                <w:top w:val="none" w:sz="0" w:space="0" w:color="auto"/>
                <w:left w:val="none" w:sz="0" w:space="0" w:color="auto"/>
                <w:bottom w:val="none" w:sz="0" w:space="0" w:color="auto"/>
                <w:right w:val="none" w:sz="0" w:space="0" w:color="auto"/>
              </w:divBdr>
              <w:divsChild>
                <w:div w:id="577329795">
                  <w:marLeft w:val="0"/>
                  <w:marRight w:val="0"/>
                  <w:marTop w:val="0"/>
                  <w:marBottom w:val="0"/>
                  <w:divBdr>
                    <w:top w:val="none" w:sz="0" w:space="0" w:color="auto"/>
                    <w:left w:val="none" w:sz="0" w:space="0" w:color="auto"/>
                    <w:bottom w:val="none" w:sz="0" w:space="0" w:color="auto"/>
                    <w:right w:val="none" w:sz="0" w:space="0" w:color="auto"/>
                  </w:divBdr>
                  <w:divsChild>
                    <w:div w:id="1987707711">
                      <w:marLeft w:val="0"/>
                      <w:marRight w:val="0"/>
                      <w:marTop w:val="0"/>
                      <w:marBottom w:val="0"/>
                      <w:divBdr>
                        <w:top w:val="none" w:sz="0" w:space="0" w:color="auto"/>
                        <w:left w:val="none" w:sz="0" w:space="0" w:color="auto"/>
                        <w:bottom w:val="none" w:sz="0" w:space="0" w:color="auto"/>
                        <w:right w:val="none" w:sz="0" w:space="0" w:color="auto"/>
                      </w:divBdr>
                      <w:divsChild>
                        <w:div w:id="295916813">
                          <w:marLeft w:val="0"/>
                          <w:marRight w:val="0"/>
                          <w:marTop w:val="0"/>
                          <w:marBottom w:val="0"/>
                          <w:divBdr>
                            <w:top w:val="none" w:sz="0" w:space="0" w:color="auto"/>
                            <w:left w:val="none" w:sz="0" w:space="0" w:color="auto"/>
                            <w:bottom w:val="none" w:sz="0" w:space="0" w:color="auto"/>
                            <w:right w:val="none" w:sz="0" w:space="0" w:color="auto"/>
                          </w:divBdr>
                          <w:divsChild>
                            <w:div w:id="250747786">
                              <w:marLeft w:val="2700"/>
                              <w:marRight w:val="3960"/>
                              <w:marTop w:val="0"/>
                              <w:marBottom w:val="0"/>
                              <w:divBdr>
                                <w:top w:val="none" w:sz="0" w:space="0" w:color="auto"/>
                                <w:left w:val="none" w:sz="0" w:space="0" w:color="auto"/>
                                <w:bottom w:val="none" w:sz="0" w:space="0" w:color="auto"/>
                                <w:right w:val="none" w:sz="0" w:space="0" w:color="auto"/>
                              </w:divBdr>
                              <w:divsChild>
                                <w:div w:id="1856111513">
                                  <w:marLeft w:val="0"/>
                                  <w:marRight w:val="0"/>
                                  <w:marTop w:val="0"/>
                                  <w:marBottom w:val="0"/>
                                  <w:divBdr>
                                    <w:top w:val="none" w:sz="0" w:space="0" w:color="auto"/>
                                    <w:left w:val="none" w:sz="0" w:space="0" w:color="auto"/>
                                    <w:bottom w:val="none" w:sz="0" w:space="0" w:color="auto"/>
                                    <w:right w:val="none" w:sz="0" w:space="0" w:color="auto"/>
                                  </w:divBdr>
                                  <w:divsChild>
                                    <w:div w:id="1153374216">
                                      <w:marLeft w:val="0"/>
                                      <w:marRight w:val="0"/>
                                      <w:marTop w:val="0"/>
                                      <w:marBottom w:val="0"/>
                                      <w:divBdr>
                                        <w:top w:val="none" w:sz="0" w:space="0" w:color="auto"/>
                                        <w:left w:val="none" w:sz="0" w:space="0" w:color="auto"/>
                                        <w:bottom w:val="none" w:sz="0" w:space="0" w:color="auto"/>
                                        <w:right w:val="none" w:sz="0" w:space="0" w:color="auto"/>
                                      </w:divBdr>
                                      <w:divsChild>
                                        <w:div w:id="1731922476">
                                          <w:marLeft w:val="0"/>
                                          <w:marRight w:val="0"/>
                                          <w:marTop w:val="0"/>
                                          <w:marBottom w:val="0"/>
                                          <w:divBdr>
                                            <w:top w:val="none" w:sz="0" w:space="0" w:color="auto"/>
                                            <w:left w:val="none" w:sz="0" w:space="0" w:color="auto"/>
                                            <w:bottom w:val="none" w:sz="0" w:space="0" w:color="auto"/>
                                            <w:right w:val="none" w:sz="0" w:space="0" w:color="auto"/>
                                          </w:divBdr>
                                          <w:divsChild>
                                            <w:div w:id="2057970153">
                                              <w:marLeft w:val="0"/>
                                              <w:marRight w:val="0"/>
                                              <w:marTop w:val="90"/>
                                              <w:marBottom w:val="0"/>
                                              <w:divBdr>
                                                <w:top w:val="none" w:sz="0" w:space="0" w:color="auto"/>
                                                <w:left w:val="none" w:sz="0" w:space="0" w:color="auto"/>
                                                <w:bottom w:val="none" w:sz="0" w:space="0" w:color="auto"/>
                                                <w:right w:val="none" w:sz="0" w:space="0" w:color="auto"/>
                                              </w:divBdr>
                                              <w:divsChild>
                                                <w:div w:id="1850756745">
                                                  <w:marLeft w:val="0"/>
                                                  <w:marRight w:val="0"/>
                                                  <w:marTop w:val="0"/>
                                                  <w:marBottom w:val="405"/>
                                                  <w:divBdr>
                                                    <w:top w:val="none" w:sz="0" w:space="0" w:color="auto"/>
                                                    <w:left w:val="none" w:sz="0" w:space="0" w:color="auto"/>
                                                    <w:bottom w:val="none" w:sz="0" w:space="0" w:color="auto"/>
                                                    <w:right w:val="none" w:sz="0" w:space="0" w:color="auto"/>
                                                  </w:divBdr>
                                                  <w:divsChild>
                                                    <w:div w:id="588463688">
                                                      <w:marLeft w:val="0"/>
                                                      <w:marRight w:val="0"/>
                                                      <w:marTop w:val="0"/>
                                                      <w:marBottom w:val="0"/>
                                                      <w:divBdr>
                                                        <w:top w:val="none" w:sz="0" w:space="0" w:color="auto"/>
                                                        <w:left w:val="none" w:sz="0" w:space="0" w:color="auto"/>
                                                        <w:bottom w:val="none" w:sz="0" w:space="0" w:color="auto"/>
                                                        <w:right w:val="none" w:sz="0" w:space="0" w:color="auto"/>
                                                      </w:divBdr>
                                                      <w:divsChild>
                                                        <w:div w:id="1781530675">
                                                          <w:marLeft w:val="0"/>
                                                          <w:marRight w:val="0"/>
                                                          <w:marTop w:val="0"/>
                                                          <w:marBottom w:val="0"/>
                                                          <w:divBdr>
                                                            <w:top w:val="single" w:sz="6" w:space="0" w:color="DFE1E5"/>
                                                            <w:left w:val="single" w:sz="6" w:space="0" w:color="DFE1E5"/>
                                                            <w:bottom w:val="single" w:sz="6" w:space="0" w:color="DFE1E5"/>
                                                            <w:right w:val="single" w:sz="6" w:space="0" w:color="DFE1E5"/>
                                                          </w:divBdr>
                                                          <w:divsChild>
                                                            <w:div w:id="276832334">
                                                              <w:marLeft w:val="0"/>
                                                              <w:marRight w:val="0"/>
                                                              <w:marTop w:val="0"/>
                                                              <w:marBottom w:val="0"/>
                                                              <w:divBdr>
                                                                <w:top w:val="none" w:sz="0" w:space="0" w:color="auto"/>
                                                                <w:left w:val="none" w:sz="0" w:space="0" w:color="auto"/>
                                                                <w:bottom w:val="none" w:sz="0" w:space="0" w:color="auto"/>
                                                                <w:right w:val="none" w:sz="0" w:space="0" w:color="auto"/>
                                                              </w:divBdr>
                                                              <w:divsChild>
                                                                <w:div w:id="1875995322">
                                                                  <w:marLeft w:val="0"/>
                                                                  <w:marRight w:val="0"/>
                                                                  <w:marTop w:val="0"/>
                                                                  <w:marBottom w:val="0"/>
                                                                  <w:divBdr>
                                                                    <w:top w:val="none" w:sz="0" w:space="0" w:color="auto"/>
                                                                    <w:left w:val="none" w:sz="0" w:space="0" w:color="auto"/>
                                                                    <w:bottom w:val="none" w:sz="0" w:space="0" w:color="auto"/>
                                                                    <w:right w:val="none" w:sz="0" w:space="0" w:color="auto"/>
                                                                  </w:divBdr>
                                                                  <w:divsChild>
                                                                    <w:div w:id="1204487134">
                                                                      <w:marLeft w:val="0"/>
                                                                      <w:marRight w:val="0"/>
                                                                      <w:marTop w:val="0"/>
                                                                      <w:marBottom w:val="0"/>
                                                                      <w:divBdr>
                                                                        <w:top w:val="none" w:sz="0" w:space="0" w:color="auto"/>
                                                                        <w:left w:val="none" w:sz="0" w:space="0" w:color="auto"/>
                                                                        <w:bottom w:val="none" w:sz="0" w:space="0" w:color="auto"/>
                                                                        <w:right w:val="none" w:sz="0" w:space="0" w:color="auto"/>
                                                                      </w:divBdr>
                                                                      <w:divsChild>
                                                                        <w:div w:id="1381900339">
                                                                          <w:marLeft w:val="0"/>
                                                                          <w:marRight w:val="0"/>
                                                                          <w:marTop w:val="0"/>
                                                                          <w:marBottom w:val="0"/>
                                                                          <w:divBdr>
                                                                            <w:top w:val="none" w:sz="0" w:space="0" w:color="auto"/>
                                                                            <w:left w:val="none" w:sz="0" w:space="0" w:color="auto"/>
                                                                            <w:bottom w:val="none" w:sz="0" w:space="0" w:color="auto"/>
                                                                            <w:right w:val="none" w:sz="0" w:space="0" w:color="auto"/>
                                                                          </w:divBdr>
                                                                          <w:divsChild>
                                                                            <w:div w:id="1282568405">
                                                                              <w:marLeft w:val="0"/>
                                                                              <w:marRight w:val="0"/>
                                                                              <w:marTop w:val="0"/>
                                                                              <w:marBottom w:val="0"/>
                                                                              <w:divBdr>
                                                                                <w:top w:val="none" w:sz="0" w:space="0" w:color="auto"/>
                                                                                <w:left w:val="none" w:sz="0" w:space="0" w:color="auto"/>
                                                                                <w:bottom w:val="none" w:sz="0" w:space="0" w:color="auto"/>
                                                                                <w:right w:val="none" w:sz="0" w:space="0" w:color="auto"/>
                                                                              </w:divBdr>
                                                                              <w:divsChild>
                                                                                <w:div w:id="2015842101">
                                                                                  <w:marLeft w:val="0"/>
                                                                                  <w:marRight w:val="0"/>
                                                                                  <w:marTop w:val="0"/>
                                                                                  <w:marBottom w:val="0"/>
                                                                                  <w:divBdr>
                                                                                    <w:top w:val="none" w:sz="0" w:space="0" w:color="auto"/>
                                                                                    <w:left w:val="none" w:sz="0" w:space="0" w:color="auto"/>
                                                                                    <w:bottom w:val="none" w:sz="0" w:space="0" w:color="auto"/>
                                                                                    <w:right w:val="none" w:sz="0" w:space="0" w:color="auto"/>
                                                                                  </w:divBdr>
                                                                                  <w:divsChild>
                                                                                    <w:div w:id="125928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938220">
      <w:bodyDiv w:val="1"/>
      <w:marLeft w:val="0"/>
      <w:marRight w:val="0"/>
      <w:marTop w:val="0"/>
      <w:marBottom w:val="0"/>
      <w:divBdr>
        <w:top w:val="none" w:sz="0" w:space="0" w:color="auto"/>
        <w:left w:val="none" w:sz="0" w:space="0" w:color="auto"/>
        <w:bottom w:val="none" w:sz="0" w:space="0" w:color="auto"/>
        <w:right w:val="none" w:sz="0" w:space="0" w:color="auto"/>
      </w:divBdr>
      <w:divsChild>
        <w:div w:id="604535562">
          <w:marLeft w:val="0"/>
          <w:marRight w:val="0"/>
          <w:marTop w:val="0"/>
          <w:marBottom w:val="0"/>
          <w:divBdr>
            <w:top w:val="none" w:sz="0" w:space="0" w:color="auto"/>
            <w:left w:val="none" w:sz="0" w:space="0" w:color="auto"/>
            <w:bottom w:val="none" w:sz="0" w:space="0" w:color="auto"/>
            <w:right w:val="none" w:sz="0" w:space="0" w:color="auto"/>
          </w:divBdr>
          <w:divsChild>
            <w:div w:id="2130004057">
              <w:marLeft w:val="0"/>
              <w:marRight w:val="0"/>
              <w:marTop w:val="0"/>
              <w:marBottom w:val="0"/>
              <w:divBdr>
                <w:top w:val="none" w:sz="0" w:space="0" w:color="auto"/>
                <w:left w:val="none" w:sz="0" w:space="0" w:color="auto"/>
                <w:bottom w:val="none" w:sz="0" w:space="0" w:color="auto"/>
                <w:right w:val="none" w:sz="0" w:space="0" w:color="auto"/>
              </w:divBdr>
              <w:divsChild>
                <w:div w:id="166211243">
                  <w:marLeft w:val="0"/>
                  <w:marRight w:val="0"/>
                  <w:marTop w:val="0"/>
                  <w:marBottom w:val="0"/>
                  <w:divBdr>
                    <w:top w:val="none" w:sz="0" w:space="0" w:color="auto"/>
                    <w:left w:val="none" w:sz="0" w:space="0" w:color="auto"/>
                    <w:bottom w:val="none" w:sz="0" w:space="0" w:color="auto"/>
                    <w:right w:val="none" w:sz="0" w:space="0" w:color="auto"/>
                  </w:divBdr>
                  <w:divsChild>
                    <w:div w:id="224536609">
                      <w:marLeft w:val="0"/>
                      <w:marRight w:val="0"/>
                      <w:marTop w:val="0"/>
                      <w:marBottom w:val="0"/>
                      <w:divBdr>
                        <w:top w:val="none" w:sz="0" w:space="0" w:color="auto"/>
                        <w:left w:val="none" w:sz="0" w:space="0" w:color="auto"/>
                        <w:bottom w:val="none" w:sz="0" w:space="0" w:color="auto"/>
                        <w:right w:val="none" w:sz="0" w:space="0" w:color="auto"/>
                      </w:divBdr>
                      <w:divsChild>
                        <w:div w:id="1245646542">
                          <w:marLeft w:val="0"/>
                          <w:marRight w:val="0"/>
                          <w:marTop w:val="0"/>
                          <w:marBottom w:val="0"/>
                          <w:divBdr>
                            <w:top w:val="none" w:sz="0" w:space="0" w:color="auto"/>
                            <w:left w:val="none" w:sz="0" w:space="0" w:color="auto"/>
                            <w:bottom w:val="none" w:sz="0" w:space="0" w:color="auto"/>
                            <w:right w:val="none" w:sz="0" w:space="0" w:color="auto"/>
                          </w:divBdr>
                          <w:divsChild>
                            <w:div w:id="1602058904">
                              <w:marLeft w:val="2700"/>
                              <w:marRight w:val="3960"/>
                              <w:marTop w:val="0"/>
                              <w:marBottom w:val="0"/>
                              <w:divBdr>
                                <w:top w:val="none" w:sz="0" w:space="0" w:color="auto"/>
                                <w:left w:val="none" w:sz="0" w:space="0" w:color="auto"/>
                                <w:bottom w:val="none" w:sz="0" w:space="0" w:color="auto"/>
                                <w:right w:val="none" w:sz="0" w:space="0" w:color="auto"/>
                              </w:divBdr>
                              <w:divsChild>
                                <w:div w:id="2050839377">
                                  <w:marLeft w:val="0"/>
                                  <w:marRight w:val="0"/>
                                  <w:marTop w:val="0"/>
                                  <w:marBottom w:val="0"/>
                                  <w:divBdr>
                                    <w:top w:val="none" w:sz="0" w:space="0" w:color="auto"/>
                                    <w:left w:val="none" w:sz="0" w:space="0" w:color="auto"/>
                                    <w:bottom w:val="none" w:sz="0" w:space="0" w:color="auto"/>
                                    <w:right w:val="none" w:sz="0" w:space="0" w:color="auto"/>
                                  </w:divBdr>
                                  <w:divsChild>
                                    <w:div w:id="223225411">
                                      <w:marLeft w:val="0"/>
                                      <w:marRight w:val="0"/>
                                      <w:marTop w:val="0"/>
                                      <w:marBottom w:val="0"/>
                                      <w:divBdr>
                                        <w:top w:val="none" w:sz="0" w:space="0" w:color="auto"/>
                                        <w:left w:val="none" w:sz="0" w:space="0" w:color="auto"/>
                                        <w:bottom w:val="none" w:sz="0" w:space="0" w:color="auto"/>
                                        <w:right w:val="none" w:sz="0" w:space="0" w:color="auto"/>
                                      </w:divBdr>
                                      <w:divsChild>
                                        <w:div w:id="1721633343">
                                          <w:marLeft w:val="0"/>
                                          <w:marRight w:val="0"/>
                                          <w:marTop w:val="0"/>
                                          <w:marBottom w:val="0"/>
                                          <w:divBdr>
                                            <w:top w:val="none" w:sz="0" w:space="0" w:color="auto"/>
                                            <w:left w:val="none" w:sz="0" w:space="0" w:color="auto"/>
                                            <w:bottom w:val="none" w:sz="0" w:space="0" w:color="auto"/>
                                            <w:right w:val="none" w:sz="0" w:space="0" w:color="auto"/>
                                          </w:divBdr>
                                          <w:divsChild>
                                            <w:div w:id="1180781859">
                                              <w:marLeft w:val="0"/>
                                              <w:marRight w:val="0"/>
                                              <w:marTop w:val="90"/>
                                              <w:marBottom w:val="0"/>
                                              <w:divBdr>
                                                <w:top w:val="none" w:sz="0" w:space="0" w:color="auto"/>
                                                <w:left w:val="none" w:sz="0" w:space="0" w:color="auto"/>
                                                <w:bottom w:val="none" w:sz="0" w:space="0" w:color="auto"/>
                                                <w:right w:val="none" w:sz="0" w:space="0" w:color="auto"/>
                                              </w:divBdr>
                                              <w:divsChild>
                                                <w:div w:id="1325429790">
                                                  <w:marLeft w:val="0"/>
                                                  <w:marRight w:val="0"/>
                                                  <w:marTop w:val="0"/>
                                                  <w:marBottom w:val="405"/>
                                                  <w:divBdr>
                                                    <w:top w:val="none" w:sz="0" w:space="0" w:color="auto"/>
                                                    <w:left w:val="none" w:sz="0" w:space="0" w:color="auto"/>
                                                    <w:bottom w:val="none" w:sz="0" w:space="0" w:color="auto"/>
                                                    <w:right w:val="none" w:sz="0" w:space="0" w:color="auto"/>
                                                  </w:divBdr>
                                                  <w:divsChild>
                                                    <w:div w:id="2002921980">
                                                      <w:marLeft w:val="0"/>
                                                      <w:marRight w:val="0"/>
                                                      <w:marTop w:val="0"/>
                                                      <w:marBottom w:val="0"/>
                                                      <w:divBdr>
                                                        <w:top w:val="none" w:sz="0" w:space="0" w:color="auto"/>
                                                        <w:left w:val="none" w:sz="0" w:space="0" w:color="auto"/>
                                                        <w:bottom w:val="none" w:sz="0" w:space="0" w:color="auto"/>
                                                        <w:right w:val="none" w:sz="0" w:space="0" w:color="auto"/>
                                                      </w:divBdr>
                                                      <w:divsChild>
                                                        <w:div w:id="1924799970">
                                                          <w:marLeft w:val="0"/>
                                                          <w:marRight w:val="0"/>
                                                          <w:marTop w:val="0"/>
                                                          <w:marBottom w:val="0"/>
                                                          <w:divBdr>
                                                            <w:top w:val="single" w:sz="6" w:space="0" w:color="DFE1E5"/>
                                                            <w:left w:val="single" w:sz="6" w:space="0" w:color="DFE1E5"/>
                                                            <w:bottom w:val="single" w:sz="6" w:space="0" w:color="DFE1E5"/>
                                                            <w:right w:val="single" w:sz="6" w:space="0" w:color="DFE1E5"/>
                                                          </w:divBdr>
                                                          <w:divsChild>
                                                            <w:div w:id="1989477102">
                                                              <w:marLeft w:val="0"/>
                                                              <w:marRight w:val="0"/>
                                                              <w:marTop w:val="0"/>
                                                              <w:marBottom w:val="0"/>
                                                              <w:divBdr>
                                                                <w:top w:val="none" w:sz="0" w:space="0" w:color="auto"/>
                                                                <w:left w:val="none" w:sz="0" w:space="0" w:color="auto"/>
                                                                <w:bottom w:val="none" w:sz="0" w:space="0" w:color="auto"/>
                                                                <w:right w:val="none" w:sz="0" w:space="0" w:color="auto"/>
                                                              </w:divBdr>
                                                              <w:divsChild>
                                                                <w:div w:id="347803755">
                                                                  <w:marLeft w:val="0"/>
                                                                  <w:marRight w:val="0"/>
                                                                  <w:marTop w:val="0"/>
                                                                  <w:marBottom w:val="0"/>
                                                                  <w:divBdr>
                                                                    <w:top w:val="none" w:sz="0" w:space="0" w:color="auto"/>
                                                                    <w:left w:val="none" w:sz="0" w:space="0" w:color="auto"/>
                                                                    <w:bottom w:val="none" w:sz="0" w:space="0" w:color="auto"/>
                                                                    <w:right w:val="none" w:sz="0" w:space="0" w:color="auto"/>
                                                                  </w:divBdr>
                                                                  <w:divsChild>
                                                                    <w:div w:id="1038892797">
                                                                      <w:marLeft w:val="0"/>
                                                                      <w:marRight w:val="0"/>
                                                                      <w:marTop w:val="0"/>
                                                                      <w:marBottom w:val="0"/>
                                                                      <w:divBdr>
                                                                        <w:top w:val="none" w:sz="0" w:space="0" w:color="auto"/>
                                                                        <w:left w:val="none" w:sz="0" w:space="0" w:color="auto"/>
                                                                        <w:bottom w:val="none" w:sz="0" w:space="0" w:color="auto"/>
                                                                        <w:right w:val="none" w:sz="0" w:space="0" w:color="auto"/>
                                                                      </w:divBdr>
                                                                      <w:divsChild>
                                                                        <w:div w:id="715549505">
                                                                          <w:marLeft w:val="0"/>
                                                                          <w:marRight w:val="0"/>
                                                                          <w:marTop w:val="0"/>
                                                                          <w:marBottom w:val="0"/>
                                                                          <w:divBdr>
                                                                            <w:top w:val="none" w:sz="0" w:space="0" w:color="auto"/>
                                                                            <w:left w:val="none" w:sz="0" w:space="0" w:color="auto"/>
                                                                            <w:bottom w:val="none" w:sz="0" w:space="0" w:color="auto"/>
                                                                            <w:right w:val="none" w:sz="0" w:space="0" w:color="auto"/>
                                                                          </w:divBdr>
                                                                          <w:divsChild>
                                                                            <w:div w:id="1698777071">
                                                                              <w:marLeft w:val="0"/>
                                                                              <w:marRight w:val="0"/>
                                                                              <w:marTop w:val="0"/>
                                                                              <w:marBottom w:val="0"/>
                                                                              <w:divBdr>
                                                                                <w:top w:val="none" w:sz="0" w:space="0" w:color="auto"/>
                                                                                <w:left w:val="none" w:sz="0" w:space="0" w:color="auto"/>
                                                                                <w:bottom w:val="none" w:sz="0" w:space="0" w:color="auto"/>
                                                                                <w:right w:val="none" w:sz="0" w:space="0" w:color="auto"/>
                                                                              </w:divBdr>
                                                                              <w:divsChild>
                                                                                <w:div w:id="1816019985">
                                                                                  <w:marLeft w:val="0"/>
                                                                                  <w:marRight w:val="0"/>
                                                                                  <w:marTop w:val="0"/>
                                                                                  <w:marBottom w:val="0"/>
                                                                                  <w:divBdr>
                                                                                    <w:top w:val="none" w:sz="0" w:space="0" w:color="auto"/>
                                                                                    <w:left w:val="none" w:sz="0" w:space="0" w:color="auto"/>
                                                                                    <w:bottom w:val="none" w:sz="0" w:space="0" w:color="auto"/>
                                                                                    <w:right w:val="none" w:sz="0" w:space="0" w:color="auto"/>
                                                                                  </w:divBdr>
                                                                                  <w:divsChild>
                                                                                    <w:div w:id="176182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840999">
      <w:bodyDiv w:val="1"/>
      <w:marLeft w:val="0"/>
      <w:marRight w:val="0"/>
      <w:marTop w:val="0"/>
      <w:marBottom w:val="0"/>
      <w:divBdr>
        <w:top w:val="none" w:sz="0" w:space="0" w:color="auto"/>
        <w:left w:val="none" w:sz="0" w:space="0" w:color="auto"/>
        <w:bottom w:val="none" w:sz="0" w:space="0" w:color="auto"/>
        <w:right w:val="none" w:sz="0" w:space="0" w:color="auto"/>
      </w:divBdr>
      <w:divsChild>
        <w:div w:id="1309476694">
          <w:marLeft w:val="0"/>
          <w:marRight w:val="0"/>
          <w:marTop w:val="0"/>
          <w:marBottom w:val="0"/>
          <w:divBdr>
            <w:top w:val="none" w:sz="0" w:space="0" w:color="auto"/>
            <w:left w:val="none" w:sz="0" w:space="0" w:color="auto"/>
            <w:bottom w:val="none" w:sz="0" w:space="0" w:color="auto"/>
            <w:right w:val="none" w:sz="0" w:space="0" w:color="auto"/>
          </w:divBdr>
          <w:divsChild>
            <w:div w:id="60177614">
              <w:marLeft w:val="0"/>
              <w:marRight w:val="0"/>
              <w:marTop w:val="0"/>
              <w:marBottom w:val="0"/>
              <w:divBdr>
                <w:top w:val="none" w:sz="0" w:space="0" w:color="auto"/>
                <w:left w:val="none" w:sz="0" w:space="0" w:color="auto"/>
                <w:bottom w:val="none" w:sz="0" w:space="0" w:color="auto"/>
                <w:right w:val="none" w:sz="0" w:space="0" w:color="auto"/>
              </w:divBdr>
              <w:divsChild>
                <w:div w:id="506096427">
                  <w:marLeft w:val="0"/>
                  <w:marRight w:val="0"/>
                  <w:marTop w:val="0"/>
                  <w:marBottom w:val="0"/>
                  <w:divBdr>
                    <w:top w:val="none" w:sz="0" w:space="0" w:color="auto"/>
                    <w:left w:val="none" w:sz="0" w:space="0" w:color="auto"/>
                    <w:bottom w:val="none" w:sz="0" w:space="0" w:color="auto"/>
                    <w:right w:val="none" w:sz="0" w:space="0" w:color="auto"/>
                  </w:divBdr>
                  <w:divsChild>
                    <w:div w:id="1354650193">
                      <w:marLeft w:val="0"/>
                      <w:marRight w:val="0"/>
                      <w:marTop w:val="0"/>
                      <w:marBottom w:val="0"/>
                      <w:divBdr>
                        <w:top w:val="none" w:sz="0" w:space="0" w:color="auto"/>
                        <w:left w:val="none" w:sz="0" w:space="0" w:color="auto"/>
                        <w:bottom w:val="none" w:sz="0" w:space="0" w:color="auto"/>
                        <w:right w:val="none" w:sz="0" w:space="0" w:color="auto"/>
                      </w:divBdr>
                      <w:divsChild>
                        <w:div w:id="489101589">
                          <w:marLeft w:val="0"/>
                          <w:marRight w:val="0"/>
                          <w:marTop w:val="0"/>
                          <w:marBottom w:val="0"/>
                          <w:divBdr>
                            <w:top w:val="none" w:sz="0" w:space="0" w:color="auto"/>
                            <w:left w:val="none" w:sz="0" w:space="0" w:color="auto"/>
                            <w:bottom w:val="none" w:sz="0" w:space="0" w:color="auto"/>
                            <w:right w:val="none" w:sz="0" w:space="0" w:color="auto"/>
                          </w:divBdr>
                          <w:divsChild>
                            <w:div w:id="481001175">
                              <w:marLeft w:val="2700"/>
                              <w:marRight w:val="3960"/>
                              <w:marTop w:val="0"/>
                              <w:marBottom w:val="0"/>
                              <w:divBdr>
                                <w:top w:val="none" w:sz="0" w:space="0" w:color="auto"/>
                                <w:left w:val="none" w:sz="0" w:space="0" w:color="auto"/>
                                <w:bottom w:val="none" w:sz="0" w:space="0" w:color="auto"/>
                                <w:right w:val="none" w:sz="0" w:space="0" w:color="auto"/>
                              </w:divBdr>
                              <w:divsChild>
                                <w:div w:id="1726026867">
                                  <w:marLeft w:val="0"/>
                                  <w:marRight w:val="0"/>
                                  <w:marTop w:val="0"/>
                                  <w:marBottom w:val="0"/>
                                  <w:divBdr>
                                    <w:top w:val="none" w:sz="0" w:space="0" w:color="auto"/>
                                    <w:left w:val="none" w:sz="0" w:space="0" w:color="auto"/>
                                    <w:bottom w:val="none" w:sz="0" w:space="0" w:color="auto"/>
                                    <w:right w:val="none" w:sz="0" w:space="0" w:color="auto"/>
                                  </w:divBdr>
                                  <w:divsChild>
                                    <w:div w:id="1167136502">
                                      <w:marLeft w:val="0"/>
                                      <w:marRight w:val="0"/>
                                      <w:marTop w:val="0"/>
                                      <w:marBottom w:val="0"/>
                                      <w:divBdr>
                                        <w:top w:val="none" w:sz="0" w:space="0" w:color="auto"/>
                                        <w:left w:val="none" w:sz="0" w:space="0" w:color="auto"/>
                                        <w:bottom w:val="none" w:sz="0" w:space="0" w:color="auto"/>
                                        <w:right w:val="none" w:sz="0" w:space="0" w:color="auto"/>
                                      </w:divBdr>
                                      <w:divsChild>
                                        <w:div w:id="2047483047">
                                          <w:marLeft w:val="0"/>
                                          <w:marRight w:val="0"/>
                                          <w:marTop w:val="0"/>
                                          <w:marBottom w:val="0"/>
                                          <w:divBdr>
                                            <w:top w:val="none" w:sz="0" w:space="0" w:color="auto"/>
                                            <w:left w:val="none" w:sz="0" w:space="0" w:color="auto"/>
                                            <w:bottom w:val="none" w:sz="0" w:space="0" w:color="auto"/>
                                            <w:right w:val="none" w:sz="0" w:space="0" w:color="auto"/>
                                          </w:divBdr>
                                          <w:divsChild>
                                            <w:div w:id="1657684272">
                                              <w:marLeft w:val="0"/>
                                              <w:marRight w:val="0"/>
                                              <w:marTop w:val="90"/>
                                              <w:marBottom w:val="0"/>
                                              <w:divBdr>
                                                <w:top w:val="none" w:sz="0" w:space="0" w:color="auto"/>
                                                <w:left w:val="none" w:sz="0" w:space="0" w:color="auto"/>
                                                <w:bottom w:val="none" w:sz="0" w:space="0" w:color="auto"/>
                                                <w:right w:val="none" w:sz="0" w:space="0" w:color="auto"/>
                                              </w:divBdr>
                                              <w:divsChild>
                                                <w:div w:id="990715288">
                                                  <w:marLeft w:val="0"/>
                                                  <w:marRight w:val="0"/>
                                                  <w:marTop w:val="0"/>
                                                  <w:marBottom w:val="405"/>
                                                  <w:divBdr>
                                                    <w:top w:val="none" w:sz="0" w:space="0" w:color="auto"/>
                                                    <w:left w:val="none" w:sz="0" w:space="0" w:color="auto"/>
                                                    <w:bottom w:val="none" w:sz="0" w:space="0" w:color="auto"/>
                                                    <w:right w:val="none" w:sz="0" w:space="0" w:color="auto"/>
                                                  </w:divBdr>
                                                  <w:divsChild>
                                                    <w:div w:id="724330224">
                                                      <w:marLeft w:val="0"/>
                                                      <w:marRight w:val="0"/>
                                                      <w:marTop w:val="0"/>
                                                      <w:marBottom w:val="0"/>
                                                      <w:divBdr>
                                                        <w:top w:val="none" w:sz="0" w:space="0" w:color="auto"/>
                                                        <w:left w:val="none" w:sz="0" w:space="0" w:color="auto"/>
                                                        <w:bottom w:val="none" w:sz="0" w:space="0" w:color="auto"/>
                                                        <w:right w:val="none" w:sz="0" w:space="0" w:color="auto"/>
                                                      </w:divBdr>
                                                      <w:divsChild>
                                                        <w:div w:id="1747723634">
                                                          <w:marLeft w:val="0"/>
                                                          <w:marRight w:val="0"/>
                                                          <w:marTop w:val="0"/>
                                                          <w:marBottom w:val="0"/>
                                                          <w:divBdr>
                                                            <w:top w:val="single" w:sz="6" w:space="0" w:color="DFE1E5"/>
                                                            <w:left w:val="single" w:sz="6" w:space="0" w:color="DFE1E5"/>
                                                            <w:bottom w:val="single" w:sz="6" w:space="0" w:color="DFE1E5"/>
                                                            <w:right w:val="single" w:sz="6" w:space="0" w:color="DFE1E5"/>
                                                          </w:divBdr>
                                                          <w:divsChild>
                                                            <w:div w:id="1715763952">
                                                              <w:marLeft w:val="0"/>
                                                              <w:marRight w:val="0"/>
                                                              <w:marTop w:val="0"/>
                                                              <w:marBottom w:val="0"/>
                                                              <w:divBdr>
                                                                <w:top w:val="none" w:sz="0" w:space="0" w:color="auto"/>
                                                                <w:left w:val="none" w:sz="0" w:space="0" w:color="auto"/>
                                                                <w:bottom w:val="none" w:sz="0" w:space="0" w:color="auto"/>
                                                                <w:right w:val="none" w:sz="0" w:space="0" w:color="auto"/>
                                                              </w:divBdr>
                                                              <w:divsChild>
                                                                <w:div w:id="619334470">
                                                                  <w:marLeft w:val="0"/>
                                                                  <w:marRight w:val="0"/>
                                                                  <w:marTop w:val="0"/>
                                                                  <w:marBottom w:val="0"/>
                                                                  <w:divBdr>
                                                                    <w:top w:val="none" w:sz="0" w:space="0" w:color="auto"/>
                                                                    <w:left w:val="none" w:sz="0" w:space="0" w:color="auto"/>
                                                                    <w:bottom w:val="none" w:sz="0" w:space="0" w:color="auto"/>
                                                                    <w:right w:val="none" w:sz="0" w:space="0" w:color="auto"/>
                                                                  </w:divBdr>
                                                                  <w:divsChild>
                                                                    <w:div w:id="1267034490">
                                                                      <w:marLeft w:val="0"/>
                                                                      <w:marRight w:val="0"/>
                                                                      <w:marTop w:val="0"/>
                                                                      <w:marBottom w:val="0"/>
                                                                      <w:divBdr>
                                                                        <w:top w:val="none" w:sz="0" w:space="0" w:color="auto"/>
                                                                        <w:left w:val="none" w:sz="0" w:space="0" w:color="auto"/>
                                                                        <w:bottom w:val="none" w:sz="0" w:space="0" w:color="auto"/>
                                                                        <w:right w:val="none" w:sz="0" w:space="0" w:color="auto"/>
                                                                      </w:divBdr>
                                                                      <w:divsChild>
                                                                        <w:div w:id="1152524095">
                                                                          <w:marLeft w:val="0"/>
                                                                          <w:marRight w:val="0"/>
                                                                          <w:marTop w:val="0"/>
                                                                          <w:marBottom w:val="0"/>
                                                                          <w:divBdr>
                                                                            <w:top w:val="none" w:sz="0" w:space="0" w:color="auto"/>
                                                                            <w:left w:val="none" w:sz="0" w:space="0" w:color="auto"/>
                                                                            <w:bottom w:val="none" w:sz="0" w:space="0" w:color="auto"/>
                                                                            <w:right w:val="none" w:sz="0" w:space="0" w:color="auto"/>
                                                                          </w:divBdr>
                                                                          <w:divsChild>
                                                                            <w:div w:id="266233174">
                                                                              <w:marLeft w:val="0"/>
                                                                              <w:marRight w:val="0"/>
                                                                              <w:marTop w:val="0"/>
                                                                              <w:marBottom w:val="0"/>
                                                                              <w:divBdr>
                                                                                <w:top w:val="none" w:sz="0" w:space="0" w:color="auto"/>
                                                                                <w:left w:val="none" w:sz="0" w:space="0" w:color="auto"/>
                                                                                <w:bottom w:val="none" w:sz="0" w:space="0" w:color="auto"/>
                                                                                <w:right w:val="none" w:sz="0" w:space="0" w:color="auto"/>
                                                                              </w:divBdr>
                                                                              <w:divsChild>
                                                                                <w:div w:id="2080862820">
                                                                                  <w:marLeft w:val="0"/>
                                                                                  <w:marRight w:val="0"/>
                                                                                  <w:marTop w:val="0"/>
                                                                                  <w:marBottom w:val="0"/>
                                                                                  <w:divBdr>
                                                                                    <w:top w:val="none" w:sz="0" w:space="0" w:color="auto"/>
                                                                                    <w:left w:val="none" w:sz="0" w:space="0" w:color="auto"/>
                                                                                    <w:bottom w:val="none" w:sz="0" w:space="0" w:color="auto"/>
                                                                                    <w:right w:val="none" w:sz="0" w:space="0" w:color="auto"/>
                                                                                  </w:divBdr>
                                                                                  <w:divsChild>
                                                                                    <w:div w:id="211859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9120616">
      <w:bodyDiv w:val="1"/>
      <w:marLeft w:val="0"/>
      <w:marRight w:val="0"/>
      <w:marTop w:val="0"/>
      <w:marBottom w:val="0"/>
      <w:divBdr>
        <w:top w:val="none" w:sz="0" w:space="0" w:color="auto"/>
        <w:left w:val="none" w:sz="0" w:space="0" w:color="auto"/>
        <w:bottom w:val="none" w:sz="0" w:space="0" w:color="auto"/>
        <w:right w:val="none" w:sz="0" w:space="0" w:color="auto"/>
      </w:divBdr>
    </w:div>
    <w:div w:id="1907565448">
      <w:bodyDiv w:val="1"/>
      <w:marLeft w:val="0"/>
      <w:marRight w:val="0"/>
      <w:marTop w:val="0"/>
      <w:marBottom w:val="0"/>
      <w:divBdr>
        <w:top w:val="none" w:sz="0" w:space="0" w:color="auto"/>
        <w:left w:val="none" w:sz="0" w:space="0" w:color="auto"/>
        <w:bottom w:val="none" w:sz="0" w:space="0" w:color="auto"/>
        <w:right w:val="none" w:sz="0" w:space="0" w:color="auto"/>
      </w:divBdr>
    </w:div>
    <w:div w:id="1910799940">
      <w:bodyDiv w:val="1"/>
      <w:marLeft w:val="0"/>
      <w:marRight w:val="0"/>
      <w:marTop w:val="0"/>
      <w:marBottom w:val="0"/>
      <w:divBdr>
        <w:top w:val="none" w:sz="0" w:space="0" w:color="auto"/>
        <w:left w:val="none" w:sz="0" w:space="0" w:color="auto"/>
        <w:bottom w:val="none" w:sz="0" w:space="0" w:color="auto"/>
        <w:right w:val="none" w:sz="0" w:space="0" w:color="auto"/>
      </w:divBdr>
    </w:div>
    <w:div w:id="1926112656">
      <w:bodyDiv w:val="1"/>
      <w:marLeft w:val="0"/>
      <w:marRight w:val="0"/>
      <w:marTop w:val="0"/>
      <w:marBottom w:val="0"/>
      <w:divBdr>
        <w:top w:val="none" w:sz="0" w:space="0" w:color="auto"/>
        <w:left w:val="none" w:sz="0" w:space="0" w:color="auto"/>
        <w:bottom w:val="none" w:sz="0" w:space="0" w:color="auto"/>
        <w:right w:val="none" w:sz="0" w:space="0" w:color="auto"/>
      </w:divBdr>
      <w:divsChild>
        <w:div w:id="256250878">
          <w:marLeft w:val="0"/>
          <w:marRight w:val="0"/>
          <w:marTop w:val="0"/>
          <w:marBottom w:val="0"/>
          <w:divBdr>
            <w:top w:val="none" w:sz="0" w:space="0" w:color="auto"/>
            <w:left w:val="none" w:sz="0" w:space="0" w:color="auto"/>
            <w:bottom w:val="none" w:sz="0" w:space="0" w:color="auto"/>
            <w:right w:val="none" w:sz="0" w:space="0" w:color="auto"/>
          </w:divBdr>
          <w:divsChild>
            <w:div w:id="465778582">
              <w:marLeft w:val="0"/>
              <w:marRight w:val="0"/>
              <w:marTop w:val="0"/>
              <w:marBottom w:val="0"/>
              <w:divBdr>
                <w:top w:val="none" w:sz="0" w:space="0" w:color="auto"/>
                <w:left w:val="none" w:sz="0" w:space="0" w:color="auto"/>
                <w:bottom w:val="none" w:sz="0" w:space="0" w:color="auto"/>
                <w:right w:val="none" w:sz="0" w:space="0" w:color="auto"/>
              </w:divBdr>
              <w:divsChild>
                <w:div w:id="1024478568">
                  <w:marLeft w:val="0"/>
                  <w:marRight w:val="0"/>
                  <w:marTop w:val="0"/>
                  <w:marBottom w:val="0"/>
                  <w:divBdr>
                    <w:top w:val="none" w:sz="0" w:space="0" w:color="auto"/>
                    <w:left w:val="none" w:sz="0" w:space="0" w:color="auto"/>
                    <w:bottom w:val="none" w:sz="0" w:space="0" w:color="auto"/>
                    <w:right w:val="none" w:sz="0" w:space="0" w:color="auto"/>
                  </w:divBdr>
                  <w:divsChild>
                    <w:div w:id="1860849691">
                      <w:marLeft w:val="0"/>
                      <w:marRight w:val="0"/>
                      <w:marTop w:val="0"/>
                      <w:marBottom w:val="0"/>
                      <w:divBdr>
                        <w:top w:val="none" w:sz="0" w:space="0" w:color="auto"/>
                        <w:left w:val="none" w:sz="0" w:space="0" w:color="auto"/>
                        <w:bottom w:val="none" w:sz="0" w:space="0" w:color="auto"/>
                        <w:right w:val="none" w:sz="0" w:space="0" w:color="auto"/>
                      </w:divBdr>
                      <w:divsChild>
                        <w:div w:id="2037583038">
                          <w:marLeft w:val="0"/>
                          <w:marRight w:val="0"/>
                          <w:marTop w:val="0"/>
                          <w:marBottom w:val="0"/>
                          <w:divBdr>
                            <w:top w:val="none" w:sz="0" w:space="0" w:color="auto"/>
                            <w:left w:val="none" w:sz="0" w:space="0" w:color="auto"/>
                            <w:bottom w:val="none" w:sz="0" w:space="0" w:color="auto"/>
                            <w:right w:val="none" w:sz="0" w:space="0" w:color="auto"/>
                          </w:divBdr>
                          <w:divsChild>
                            <w:div w:id="308945535">
                              <w:marLeft w:val="2700"/>
                              <w:marRight w:val="3960"/>
                              <w:marTop w:val="0"/>
                              <w:marBottom w:val="0"/>
                              <w:divBdr>
                                <w:top w:val="none" w:sz="0" w:space="0" w:color="auto"/>
                                <w:left w:val="none" w:sz="0" w:space="0" w:color="auto"/>
                                <w:bottom w:val="none" w:sz="0" w:space="0" w:color="auto"/>
                                <w:right w:val="none" w:sz="0" w:space="0" w:color="auto"/>
                              </w:divBdr>
                              <w:divsChild>
                                <w:div w:id="896667556">
                                  <w:marLeft w:val="0"/>
                                  <w:marRight w:val="0"/>
                                  <w:marTop w:val="0"/>
                                  <w:marBottom w:val="0"/>
                                  <w:divBdr>
                                    <w:top w:val="none" w:sz="0" w:space="0" w:color="auto"/>
                                    <w:left w:val="none" w:sz="0" w:space="0" w:color="auto"/>
                                    <w:bottom w:val="none" w:sz="0" w:space="0" w:color="auto"/>
                                    <w:right w:val="none" w:sz="0" w:space="0" w:color="auto"/>
                                  </w:divBdr>
                                  <w:divsChild>
                                    <w:div w:id="1513758">
                                      <w:marLeft w:val="0"/>
                                      <w:marRight w:val="0"/>
                                      <w:marTop w:val="0"/>
                                      <w:marBottom w:val="0"/>
                                      <w:divBdr>
                                        <w:top w:val="none" w:sz="0" w:space="0" w:color="auto"/>
                                        <w:left w:val="none" w:sz="0" w:space="0" w:color="auto"/>
                                        <w:bottom w:val="none" w:sz="0" w:space="0" w:color="auto"/>
                                        <w:right w:val="none" w:sz="0" w:space="0" w:color="auto"/>
                                      </w:divBdr>
                                      <w:divsChild>
                                        <w:div w:id="1627155350">
                                          <w:marLeft w:val="0"/>
                                          <w:marRight w:val="0"/>
                                          <w:marTop w:val="0"/>
                                          <w:marBottom w:val="0"/>
                                          <w:divBdr>
                                            <w:top w:val="none" w:sz="0" w:space="0" w:color="auto"/>
                                            <w:left w:val="none" w:sz="0" w:space="0" w:color="auto"/>
                                            <w:bottom w:val="none" w:sz="0" w:space="0" w:color="auto"/>
                                            <w:right w:val="none" w:sz="0" w:space="0" w:color="auto"/>
                                          </w:divBdr>
                                          <w:divsChild>
                                            <w:div w:id="374232706">
                                              <w:marLeft w:val="0"/>
                                              <w:marRight w:val="0"/>
                                              <w:marTop w:val="90"/>
                                              <w:marBottom w:val="0"/>
                                              <w:divBdr>
                                                <w:top w:val="none" w:sz="0" w:space="0" w:color="auto"/>
                                                <w:left w:val="none" w:sz="0" w:space="0" w:color="auto"/>
                                                <w:bottom w:val="none" w:sz="0" w:space="0" w:color="auto"/>
                                                <w:right w:val="none" w:sz="0" w:space="0" w:color="auto"/>
                                              </w:divBdr>
                                              <w:divsChild>
                                                <w:div w:id="592784931">
                                                  <w:marLeft w:val="0"/>
                                                  <w:marRight w:val="0"/>
                                                  <w:marTop w:val="0"/>
                                                  <w:marBottom w:val="405"/>
                                                  <w:divBdr>
                                                    <w:top w:val="none" w:sz="0" w:space="0" w:color="auto"/>
                                                    <w:left w:val="none" w:sz="0" w:space="0" w:color="auto"/>
                                                    <w:bottom w:val="none" w:sz="0" w:space="0" w:color="auto"/>
                                                    <w:right w:val="none" w:sz="0" w:space="0" w:color="auto"/>
                                                  </w:divBdr>
                                                  <w:divsChild>
                                                    <w:div w:id="622659008">
                                                      <w:marLeft w:val="0"/>
                                                      <w:marRight w:val="0"/>
                                                      <w:marTop w:val="0"/>
                                                      <w:marBottom w:val="0"/>
                                                      <w:divBdr>
                                                        <w:top w:val="none" w:sz="0" w:space="0" w:color="auto"/>
                                                        <w:left w:val="none" w:sz="0" w:space="0" w:color="auto"/>
                                                        <w:bottom w:val="none" w:sz="0" w:space="0" w:color="auto"/>
                                                        <w:right w:val="none" w:sz="0" w:space="0" w:color="auto"/>
                                                      </w:divBdr>
                                                      <w:divsChild>
                                                        <w:div w:id="1156261037">
                                                          <w:marLeft w:val="0"/>
                                                          <w:marRight w:val="0"/>
                                                          <w:marTop w:val="0"/>
                                                          <w:marBottom w:val="0"/>
                                                          <w:divBdr>
                                                            <w:top w:val="single" w:sz="6" w:space="0" w:color="DFE1E5"/>
                                                            <w:left w:val="single" w:sz="6" w:space="0" w:color="DFE1E5"/>
                                                            <w:bottom w:val="single" w:sz="6" w:space="0" w:color="DFE1E5"/>
                                                            <w:right w:val="single" w:sz="6" w:space="0" w:color="DFE1E5"/>
                                                          </w:divBdr>
                                                          <w:divsChild>
                                                            <w:div w:id="1027373546">
                                                              <w:marLeft w:val="0"/>
                                                              <w:marRight w:val="0"/>
                                                              <w:marTop w:val="0"/>
                                                              <w:marBottom w:val="0"/>
                                                              <w:divBdr>
                                                                <w:top w:val="none" w:sz="0" w:space="0" w:color="auto"/>
                                                                <w:left w:val="none" w:sz="0" w:space="0" w:color="auto"/>
                                                                <w:bottom w:val="none" w:sz="0" w:space="0" w:color="auto"/>
                                                                <w:right w:val="none" w:sz="0" w:space="0" w:color="auto"/>
                                                              </w:divBdr>
                                                              <w:divsChild>
                                                                <w:div w:id="1006595251">
                                                                  <w:marLeft w:val="0"/>
                                                                  <w:marRight w:val="0"/>
                                                                  <w:marTop w:val="0"/>
                                                                  <w:marBottom w:val="0"/>
                                                                  <w:divBdr>
                                                                    <w:top w:val="none" w:sz="0" w:space="0" w:color="auto"/>
                                                                    <w:left w:val="none" w:sz="0" w:space="0" w:color="auto"/>
                                                                    <w:bottom w:val="none" w:sz="0" w:space="0" w:color="auto"/>
                                                                    <w:right w:val="none" w:sz="0" w:space="0" w:color="auto"/>
                                                                  </w:divBdr>
                                                                  <w:divsChild>
                                                                    <w:div w:id="907112067">
                                                                      <w:marLeft w:val="0"/>
                                                                      <w:marRight w:val="0"/>
                                                                      <w:marTop w:val="0"/>
                                                                      <w:marBottom w:val="0"/>
                                                                      <w:divBdr>
                                                                        <w:top w:val="none" w:sz="0" w:space="0" w:color="auto"/>
                                                                        <w:left w:val="none" w:sz="0" w:space="0" w:color="auto"/>
                                                                        <w:bottom w:val="none" w:sz="0" w:space="0" w:color="auto"/>
                                                                        <w:right w:val="none" w:sz="0" w:space="0" w:color="auto"/>
                                                                      </w:divBdr>
                                                                      <w:divsChild>
                                                                        <w:div w:id="543055149">
                                                                          <w:marLeft w:val="0"/>
                                                                          <w:marRight w:val="0"/>
                                                                          <w:marTop w:val="0"/>
                                                                          <w:marBottom w:val="0"/>
                                                                          <w:divBdr>
                                                                            <w:top w:val="none" w:sz="0" w:space="0" w:color="auto"/>
                                                                            <w:left w:val="none" w:sz="0" w:space="0" w:color="auto"/>
                                                                            <w:bottom w:val="none" w:sz="0" w:space="0" w:color="auto"/>
                                                                            <w:right w:val="none" w:sz="0" w:space="0" w:color="auto"/>
                                                                          </w:divBdr>
                                                                          <w:divsChild>
                                                                            <w:div w:id="1257400858">
                                                                              <w:marLeft w:val="0"/>
                                                                              <w:marRight w:val="0"/>
                                                                              <w:marTop w:val="0"/>
                                                                              <w:marBottom w:val="0"/>
                                                                              <w:divBdr>
                                                                                <w:top w:val="none" w:sz="0" w:space="0" w:color="auto"/>
                                                                                <w:left w:val="none" w:sz="0" w:space="0" w:color="auto"/>
                                                                                <w:bottom w:val="none" w:sz="0" w:space="0" w:color="auto"/>
                                                                                <w:right w:val="none" w:sz="0" w:space="0" w:color="auto"/>
                                                                              </w:divBdr>
                                                                              <w:divsChild>
                                                                                <w:div w:id="417144392">
                                                                                  <w:marLeft w:val="0"/>
                                                                                  <w:marRight w:val="0"/>
                                                                                  <w:marTop w:val="0"/>
                                                                                  <w:marBottom w:val="0"/>
                                                                                  <w:divBdr>
                                                                                    <w:top w:val="none" w:sz="0" w:space="0" w:color="auto"/>
                                                                                    <w:left w:val="none" w:sz="0" w:space="0" w:color="auto"/>
                                                                                    <w:bottom w:val="none" w:sz="0" w:space="0" w:color="auto"/>
                                                                                    <w:right w:val="none" w:sz="0" w:space="0" w:color="auto"/>
                                                                                  </w:divBdr>
                                                                                  <w:divsChild>
                                                                                    <w:div w:id="12711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5479699">
      <w:bodyDiv w:val="1"/>
      <w:marLeft w:val="0"/>
      <w:marRight w:val="0"/>
      <w:marTop w:val="0"/>
      <w:marBottom w:val="0"/>
      <w:divBdr>
        <w:top w:val="none" w:sz="0" w:space="0" w:color="auto"/>
        <w:left w:val="none" w:sz="0" w:space="0" w:color="auto"/>
        <w:bottom w:val="none" w:sz="0" w:space="0" w:color="auto"/>
        <w:right w:val="none" w:sz="0" w:space="0" w:color="auto"/>
      </w:divBdr>
      <w:divsChild>
        <w:div w:id="1258636886">
          <w:marLeft w:val="0"/>
          <w:marRight w:val="0"/>
          <w:marTop w:val="0"/>
          <w:marBottom w:val="0"/>
          <w:divBdr>
            <w:top w:val="none" w:sz="0" w:space="0" w:color="auto"/>
            <w:left w:val="none" w:sz="0" w:space="0" w:color="auto"/>
            <w:bottom w:val="none" w:sz="0" w:space="0" w:color="auto"/>
            <w:right w:val="none" w:sz="0" w:space="0" w:color="auto"/>
          </w:divBdr>
          <w:divsChild>
            <w:div w:id="1853911110">
              <w:marLeft w:val="0"/>
              <w:marRight w:val="0"/>
              <w:marTop w:val="0"/>
              <w:marBottom w:val="0"/>
              <w:divBdr>
                <w:top w:val="none" w:sz="0" w:space="0" w:color="auto"/>
                <w:left w:val="none" w:sz="0" w:space="0" w:color="auto"/>
                <w:bottom w:val="none" w:sz="0" w:space="0" w:color="auto"/>
                <w:right w:val="none" w:sz="0" w:space="0" w:color="auto"/>
              </w:divBdr>
              <w:divsChild>
                <w:div w:id="872889334">
                  <w:marLeft w:val="0"/>
                  <w:marRight w:val="0"/>
                  <w:marTop w:val="0"/>
                  <w:marBottom w:val="0"/>
                  <w:divBdr>
                    <w:top w:val="none" w:sz="0" w:space="0" w:color="auto"/>
                    <w:left w:val="none" w:sz="0" w:space="0" w:color="auto"/>
                    <w:bottom w:val="none" w:sz="0" w:space="0" w:color="auto"/>
                    <w:right w:val="none" w:sz="0" w:space="0" w:color="auto"/>
                  </w:divBdr>
                  <w:divsChild>
                    <w:div w:id="1746607144">
                      <w:marLeft w:val="0"/>
                      <w:marRight w:val="0"/>
                      <w:marTop w:val="0"/>
                      <w:marBottom w:val="0"/>
                      <w:divBdr>
                        <w:top w:val="none" w:sz="0" w:space="0" w:color="auto"/>
                        <w:left w:val="none" w:sz="0" w:space="0" w:color="auto"/>
                        <w:bottom w:val="none" w:sz="0" w:space="0" w:color="auto"/>
                        <w:right w:val="none" w:sz="0" w:space="0" w:color="auto"/>
                      </w:divBdr>
                      <w:divsChild>
                        <w:div w:id="1520510441">
                          <w:marLeft w:val="0"/>
                          <w:marRight w:val="0"/>
                          <w:marTop w:val="0"/>
                          <w:marBottom w:val="0"/>
                          <w:divBdr>
                            <w:top w:val="none" w:sz="0" w:space="0" w:color="auto"/>
                            <w:left w:val="none" w:sz="0" w:space="0" w:color="auto"/>
                            <w:bottom w:val="none" w:sz="0" w:space="0" w:color="auto"/>
                            <w:right w:val="none" w:sz="0" w:space="0" w:color="auto"/>
                          </w:divBdr>
                          <w:divsChild>
                            <w:div w:id="472139817">
                              <w:marLeft w:val="2700"/>
                              <w:marRight w:val="3960"/>
                              <w:marTop w:val="0"/>
                              <w:marBottom w:val="0"/>
                              <w:divBdr>
                                <w:top w:val="none" w:sz="0" w:space="0" w:color="auto"/>
                                <w:left w:val="none" w:sz="0" w:space="0" w:color="auto"/>
                                <w:bottom w:val="none" w:sz="0" w:space="0" w:color="auto"/>
                                <w:right w:val="none" w:sz="0" w:space="0" w:color="auto"/>
                              </w:divBdr>
                              <w:divsChild>
                                <w:div w:id="747190280">
                                  <w:marLeft w:val="0"/>
                                  <w:marRight w:val="0"/>
                                  <w:marTop w:val="0"/>
                                  <w:marBottom w:val="0"/>
                                  <w:divBdr>
                                    <w:top w:val="none" w:sz="0" w:space="0" w:color="auto"/>
                                    <w:left w:val="none" w:sz="0" w:space="0" w:color="auto"/>
                                    <w:bottom w:val="none" w:sz="0" w:space="0" w:color="auto"/>
                                    <w:right w:val="none" w:sz="0" w:space="0" w:color="auto"/>
                                  </w:divBdr>
                                  <w:divsChild>
                                    <w:div w:id="1687053013">
                                      <w:marLeft w:val="0"/>
                                      <w:marRight w:val="0"/>
                                      <w:marTop w:val="0"/>
                                      <w:marBottom w:val="0"/>
                                      <w:divBdr>
                                        <w:top w:val="none" w:sz="0" w:space="0" w:color="auto"/>
                                        <w:left w:val="none" w:sz="0" w:space="0" w:color="auto"/>
                                        <w:bottom w:val="none" w:sz="0" w:space="0" w:color="auto"/>
                                        <w:right w:val="none" w:sz="0" w:space="0" w:color="auto"/>
                                      </w:divBdr>
                                      <w:divsChild>
                                        <w:div w:id="1317881356">
                                          <w:marLeft w:val="0"/>
                                          <w:marRight w:val="0"/>
                                          <w:marTop w:val="0"/>
                                          <w:marBottom w:val="0"/>
                                          <w:divBdr>
                                            <w:top w:val="none" w:sz="0" w:space="0" w:color="auto"/>
                                            <w:left w:val="none" w:sz="0" w:space="0" w:color="auto"/>
                                            <w:bottom w:val="none" w:sz="0" w:space="0" w:color="auto"/>
                                            <w:right w:val="none" w:sz="0" w:space="0" w:color="auto"/>
                                          </w:divBdr>
                                          <w:divsChild>
                                            <w:div w:id="25833304">
                                              <w:marLeft w:val="0"/>
                                              <w:marRight w:val="0"/>
                                              <w:marTop w:val="90"/>
                                              <w:marBottom w:val="0"/>
                                              <w:divBdr>
                                                <w:top w:val="none" w:sz="0" w:space="0" w:color="auto"/>
                                                <w:left w:val="none" w:sz="0" w:space="0" w:color="auto"/>
                                                <w:bottom w:val="none" w:sz="0" w:space="0" w:color="auto"/>
                                                <w:right w:val="none" w:sz="0" w:space="0" w:color="auto"/>
                                              </w:divBdr>
                                              <w:divsChild>
                                                <w:div w:id="1538351724">
                                                  <w:marLeft w:val="0"/>
                                                  <w:marRight w:val="0"/>
                                                  <w:marTop w:val="0"/>
                                                  <w:marBottom w:val="405"/>
                                                  <w:divBdr>
                                                    <w:top w:val="none" w:sz="0" w:space="0" w:color="auto"/>
                                                    <w:left w:val="none" w:sz="0" w:space="0" w:color="auto"/>
                                                    <w:bottom w:val="none" w:sz="0" w:space="0" w:color="auto"/>
                                                    <w:right w:val="none" w:sz="0" w:space="0" w:color="auto"/>
                                                  </w:divBdr>
                                                  <w:divsChild>
                                                    <w:div w:id="1434205831">
                                                      <w:marLeft w:val="0"/>
                                                      <w:marRight w:val="0"/>
                                                      <w:marTop w:val="0"/>
                                                      <w:marBottom w:val="0"/>
                                                      <w:divBdr>
                                                        <w:top w:val="none" w:sz="0" w:space="0" w:color="auto"/>
                                                        <w:left w:val="none" w:sz="0" w:space="0" w:color="auto"/>
                                                        <w:bottom w:val="none" w:sz="0" w:space="0" w:color="auto"/>
                                                        <w:right w:val="none" w:sz="0" w:space="0" w:color="auto"/>
                                                      </w:divBdr>
                                                      <w:divsChild>
                                                        <w:div w:id="1222013789">
                                                          <w:marLeft w:val="0"/>
                                                          <w:marRight w:val="0"/>
                                                          <w:marTop w:val="0"/>
                                                          <w:marBottom w:val="0"/>
                                                          <w:divBdr>
                                                            <w:top w:val="single" w:sz="6" w:space="0" w:color="DFE1E5"/>
                                                            <w:left w:val="single" w:sz="6" w:space="0" w:color="DFE1E5"/>
                                                            <w:bottom w:val="single" w:sz="6" w:space="0" w:color="DFE1E5"/>
                                                            <w:right w:val="single" w:sz="6" w:space="0" w:color="DFE1E5"/>
                                                          </w:divBdr>
                                                          <w:divsChild>
                                                            <w:div w:id="1728844990">
                                                              <w:marLeft w:val="0"/>
                                                              <w:marRight w:val="0"/>
                                                              <w:marTop w:val="0"/>
                                                              <w:marBottom w:val="0"/>
                                                              <w:divBdr>
                                                                <w:top w:val="none" w:sz="0" w:space="0" w:color="auto"/>
                                                                <w:left w:val="none" w:sz="0" w:space="0" w:color="auto"/>
                                                                <w:bottom w:val="none" w:sz="0" w:space="0" w:color="auto"/>
                                                                <w:right w:val="none" w:sz="0" w:space="0" w:color="auto"/>
                                                              </w:divBdr>
                                                              <w:divsChild>
                                                                <w:div w:id="466433774">
                                                                  <w:marLeft w:val="0"/>
                                                                  <w:marRight w:val="0"/>
                                                                  <w:marTop w:val="0"/>
                                                                  <w:marBottom w:val="0"/>
                                                                  <w:divBdr>
                                                                    <w:top w:val="none" w:sz="0" w:space="0" w:color="auto"/>
                                                                    <w:left w:val="none" w:sz="0" w:space="0" w:color="auto"/>
                                                                    <w:bottom w:val="none" w:sz="0" w:space="0" w:color="auto"/>
                                                                    <w:right w:val="none" w:sz="0" w:space="0" w:color="auto"/>
                                                                  </w:divBdr>
                                                                  <w:divsChild>
                                                                    <w:div w:id="287973792">
                                                                      <w:marLeft w:val="0"/>
                                                                      <w:marRight w:val="0"/>
                                                                      <w:marTop w:val="0"/>
                                                                      <w:marBottom w:val="0"/>
                                                                      <w:divBdr>
                                                                        <w:top w:val="none" w:sz="0" w:space="0" w:color="auto"/>
                                                                        <w:left w:val="none" w:sz="0" w:space="0" w:color="auto"/>
                                                                        <w:bottom w:val="none" w:sz="0" w:space="0" w:color="auto"/>
                                                                        <w:right w:val="none" w:sz="0" w:space="0" w:color="auto"/>
                                                                      </w:divBdr>
                                                                      <w:divsChild>
                                                                        <w:div w:id="902640727">
                                                                          <w:marLeft w:val="0"/>
                                                                          <w:marRight w:val="0"/>
                                                                          <w:marTop w:val="0"/>
                                                                          <w:marBottom w:val="0"/>
                                                                          <w:divBdr>
                                                                            <w:top w:val="none" w:sz="0" w:space="0" w:color="auto"/>
                                                                            <w:left w:val="none" w:sz="0" w:space="0" w:color="auto"/>
                                                                            <w:bottom w:val="none" w:sz="0" w:space="0" w:color="auto"/>
                                                                            <w:right w:val="none" w:sz="0" w:space="0" w:color="auto"/>
                                                                          </w:divBdr>
                                                                          <w:divsChild>
                                                                            <w:div w:id="529999719">
                                                                              <w:marLeft w:val="0"/>
                                                                              <w:marRight w:val="0"/>
                                                                              <w:marTop w:val="0"/>
                                                                              <w:marBottom w:val="0"/>
                                                                              <w:divBdr>
                                                                                <w:top w:val="none" w:sz="0" w:space="0" w:color="auto"/>
                                                                                <w:left w:val="none" w:sz="0" w:space="0" w:color="auto"/>
                                                                                <w:bottom w:val="none" w:sz="0" w:space="0" w:color="auto"/>
                                                                                <w:right w:val="none" w:sz="0" w:space="0" w:color="auto"/>
                                                                              </w:divBdr>
                                                                              <w:divsChild>
                                                                                <w:div w:id="1893928995">
                                                                                  <w:marLeft w:val="0"/>
                                                                                  <w:marRight w:val="0"/>
                                                                                  <w:marTop w:val="0"/>
                                                                                  <w:marBottom w:val="0"/>
                                                                                  <w:divBdr>
                                                                                    <w:top w:val="none" w:sz="0" w:space="0" w:color="auto"/>
                                                                                    <w:left w:val="none" w:sz="0" w:space="0" w:color="auto"/>
                                                                                    <w:bottom w:val="none" w:sz="0" w:space="0" w:color="auto"/>
                                                                                    <w:right w:val="none" w:sz="0" w:space="0" w:color="auto"/>
                                                                                  </w:divBdr>
                                                                                  <w:divsChild>
                                                                                    <w:div w:id="23863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5208">
      <w:bodyDiv w:val="1"/>
      <w:marLeft w:val="0"/>
      <w:marRight w:val="0"/>
      <w:marTop w:val="0"/>
      <w:marBottom w:val="0"/>
      <w:divBdr>
        <w:top w:val="none" w:sz="0" w:space="0" w:color="auto"/>
        <w:left w:val="none" w:sz="0" w:space="0" w:color="auto"/>
        <w:bottom w:val="none" w:sz="0" w:space="0" w:color="auto"/>
        <w:right w:val="none" w:sz="0" w:space="0" w:color="auto"/>
      </w:divBdr>
    </w:div>
    <w:div w:id="2011718817">
      <w:bodyDiv w:val="1"/>
      <w:marLeft w:val="0"/>
      <w:marRight w:val="0"/>
      <w:marTop w:val="0"/>
      <w:marBottom w:val="0"/>
      <w:divBdr>
        <w:top w:val="none" w:sz="0" w:space="0" w:color="auto"/>
        <w:left w:val="none" w:sz="0" w:space="0" w:color="auto"/>
        <w:bottom w:val="none" w:sz="0" w:space="0" w:color="auto"/>
        <w:right w:val="none" w:sz="0" w:space="0" w:color="auto"/>
      </w:divBdr>
    </w:div>
    <w:div w:id="2013216701">
      <w:bodyDiv w:val="1"/>
      <w:marLeft w:val="0"/>
      <w:marRight w:val="0"/>
      <w:marTop w:val="0"/>
      <w:marBottom w:val="0"/>
      <w:divBdr>
        <w:top w:val="none" w:sz="0" w:space="0" w:color="auto"/>
        <w:left w:val="none" w:sz="0" w:space="0" w:color="auto"/>
        <w:bottom w:val="none" w:sz="0" w:space="0" w:color="auto"/>
        <w:right w:val="none" w:sz="0" w:space="0" w:color="auto"/>
      </w:divBdr>
      <w:divsChild>
        <w:div w:id="2129883984">
          <w:marLeft w:val="0"/>
          <w:marRight w:val="0"/>
          <w:marTop w:val="0"/>
          <w:marBottom w:val="0"/>
          <w:divBdr>
            <w:top w:val="none" w:sz="0" w:space="0" w:color="auto"/>
            <w:left w:val="none" w:sz="0" w:space="0" w:color="auto"/>
            <w:bottom w:val="none" w:sz="0" w:space="0" w:color="auto"/>
            <w:right w:val="none" w:sz="0" w:space="0" w:color="auto"/>
          </w:divBdr>
          <w:divsChild>
            <w:div w:id="519660464">
              <w:marLeft w:val="0"/>
              <w:marRight w:val="0"/>
              <w:marTop w:val="0"/>
              <w:marBottom w:val="0"/>
              <w:divBdr>
                <w:top w:val="none" w:sz="0" w:space="0" w:color="auto"/>
                <w:left w:val="none" w:sz="0" w:space="0" w:color="auto"/>
                <w:bottom w:val="none" w:sz="0" w:space="0" w:color="auto"/>
                <w:right w:val="none" w:sz="0" w:space="0" w:color="auto"/>
              </w:divBdr>
              <w:divsChild>
                <w:div w:id="863830380">
                  <w:marLeft w:val="0"/>
                  <w:marRight w:val="0"/>
                  <w:marTop w:val="0"/>
                  <w:marBottom w:val="0"/>
                  <w:divBdr>
                    <w:top w:val="none" w:sz="0" w:space="0" w:color="auto"/>
                    <w:left w:val="none" w:sz="0" w:space="0" w:color="auto"/>
                    <w:bottom w:val="none" w:sz="0" w:space="0" w:color="auto"/>
                    <w:right w:val="none" w:sz="0" w:space="0" w:color="auto"/>
                  </w:divBdr>
                  <w:divsChild>
                    <w:div w:id="511067069">
                      <w:marLeft w:val="0"/>
                      <w:marRight w:val="0"/>
                      <w:marTop w:val="0"/>
                      <w:marBottom w:val="0"/>
                      <w:divBdr>
                        <w:top w:val="none" w:sz="0" w:space="0" w:color="auto"/>
                        <w:left w:val="none" w:sz="0" w:space="0" w:color="auto"/>
                        <w:bottom w:val="none" w:sz="0" w:space="0" w:color="auto"/>
                        <w:right w:val="none" w:sz="0" w:space="0" w:color="auto"/>
                      </w:divBdr>
                      <w:divsChild>
                        <w:div w:id="139075550">
                          <w:marLeft w:val="0"/>
                          <w:marRight w:val="0"/>
                          <w:marTop w:val="0"/>
                          <w:marBottom w:val="0"/>
                          <w:divBdr>
                            <w:top w:val="none" w:sz="0" w:space="0" w:color="auto"/>
                            <w:left w:val="none" w:sz="0" w:space="0" w:color="auto"/>
                            <w:bottom w:val="none" w:sz="0" w:space="0" w:color="auto"/>
                            <w:right w:val="none" w:sz="0" w:space="0" w:color="auto"/>
                          </w:divBdr>
                          <w:divsChild>
                            <w:div w:id="826899385">
                              <w:marLeft w:val="2700"/>
                              <w:marRight w:val="3960"/>
                              <w:marTop w:val="0"/>
                              <w:marBottom w:val="0"/>
                              <w:divBdr>
                                <w:top w:val="none" w:sz="0" w:space="0" w:color="auto"/>
                                <w:left w:val="none" w:sz="0" w:space="0" w:color="auto"/>
                                <w:bottom w:val="none" w:sz="0" w:space="0" w:color="auto"/>
                                <w:right w:val="none" w:sz="0" w:space="0" w:color="auto"/>
                              </w:divBdr>
                              <w:divsChild>
                                <w:div w:id="500853322">
                                  <w:marLeft w:val="0"/>
                                  <w:marRight w:val="0"/>
                                  <w:marTop w:val="0"/>
                                  <w:marBottom w:val="0"/>
                                  <w:divBdr>
                                    <w:top w:val="none" w:sz="0" w:space="0" w:color="auto"/>
                                    <w:left w:val="none" w:sz="0" w:space="0" w:color="auto"/>
                                    <w:bottom w:val="none" w:sz="0" w:space="0" w:color="auto"/>
                                    <w:right w:val="none" w:sz="0" w:space="0" w:color="auto"/>
                                  </w:divBdr>
                                  <w:divsChild>
                                    <w:div w:id="863442419">
                                      <w:marLeft w:val="0"/>
                                      <w:marRight w:val="0"/>
                                      <w:marTop w:val="0"/>
                                      <w:marBottom w:val="0"/>
                                      <w:divBdr>
                                        <w:top w:val="none" w:sz="0" w:space="0" w:color="auto"/>
                                        <w:left w:val="none" w:sz="0" w:space="0" w:color="auto"/>
                                        <w:bottom w:val="none" w:sz="0" w:space="0" w:color="auto"/>
                                        <w:right w:val="none" w:sz="0" w:space="0" w:color="auto"/>
                                      </w:divBdr>
                                      <w:divsChild>
                                        <w:div w:id="206994769">
                                          <w:marLeft w:val="0"/>
                                          <w:marRight w:val="0"/>
                                          <w:marTop w:val="0"/>
                                          <w:marBottom w:val="0"/>
                                          <w:divBdr>
                                            <w:top w:val="none" w:sz="0" w:space="0" w:color="auto"/>
                                            <w:left w:val="none" w:sz="0" w:space="0" w:color="auto"/>
                                            <w:bottom w:val="none" w:sz="0" w:space="0" w:color="auto"/>
                                            <w:right w:val="none" w:sz="0" w:space="0" w:color="auto"/>
                                          </w:divBdr>
                                          <w:divsChild>
                                            <w:div w:id="1029768323">
                                              <w:marLeft w:val="0"/>
                                              <w:marRight w:val="0"/>
                                              <w:marTop w:val="90"/>
                                              <w:marBottom w:val="0"/>
                                              <w:divBdr>
                                                <w:top w:val="none" w:sz="0" w:space="0" w:color="auto"/>
                                                <w:left w:val="none" w:sz="0" w:space="0" w:color="auto"/>
                                                <w:bottom w:val="none" w:sz="0" w:space="0" w:color="auto"/>
                                                <w:right w:val="none" w:sz="0" w:space="0" w:color="auto"/>
                                              </w:divBdr>
                                              <w:divsChild>
                                                <w:div w:id="24454465">
                                                  <w:marLeft w:val="0"/>
                                                  <w:marRight w:val="0"/>
                                                  <w:marTop w:val="0"/>
                                                  <w:marBottom w:val="405"/>
                                                  <w:divBdr>
                                                    <w:top w:val="none" w:sz="0" w:space="0" w:color="auto"/>
                                                    <w:left w:val="none" w:sz="0" w:space="0" w:color="auto"/>
                                                    <w:bottom w:val="none" w:sz="0" w:space="0" w:color="auto"/>
                                                    <w:right w:val="none" w:sz="0" w:space="0" w:color="auto"/>
                                                  </w:divBdr>
                                                  <w:divsChild>
                                                    <w:div w:id="527988187">
                                                      <w:marLeft w:val="0"/>
                                                      <w:marRight w:val="0"/>
                                                      <w:marTop w:val="0"/>
                                                      <w:marBottom w:val="0"/>
                                                      <w:divBdr>
                                                        <w:top w:val="none" w:sz="0" w:space="0" w:color="auto"/>
                                                        <w:left w:val="none" w:sz="0" w:space="0" w:color="auto"/>
                                                        <w:bottom w:val="none" w:sz="0" w:space="0" w:color="auto"/>
                                                        <w:right w:val="none" w:sz="0" w:space="0" w:color="auto"/>
                                                      </w:divBdr>
                                                      <w:divsChild>
                                                        <w:div w:id="1629119182">
                                                          <w:marLeft w:val="0"/>
                                                          <w:marRight w:val="0"/>
                                                          <w:marTop w:val="0"/>
                                                          <w:marBottom w:val="0"/>
                                                          <w:divBdr>
                                                            <w:top w:val="single" w:sz="6" w:space="0" w:color="DFE1E5"/>
                                                            <w:left w:val="single" w:sz="6" w:space="0" w:color="DFE1E5"/>
                                                            <w:bottom w:val="single" w:sz="6" w:space="0" w:color="DFE1E5"/>
                                                            <w:right w:val="single" w:sz="6" w:space="0" w:color="DFE1E5"/>
                                                          </w:divBdr>
                                                          <w:divsChild>
                                                            <w:div w:id="1860847927">
                                                              <w:marLeft w:val="0"/>
                                                              <w:marRight w:val="0"/>
                                                              <w:marTop w:val="0"/>
                                                              <w:marBottom w:val="0"/>
                                                              <w:divBdr>
                                                                <w:top w:val="none" w:sz="0" w:space="0" w:color="auto"/>
                                                                <w:left w:val="none" w:sz="0" w:space="0" w:color="auto"/>
                                                                <w:bottom w:val="none" w:sz="0" w:space="0" w:color="auto"/>
                                                                <w:right w:val="none" w:sz="0" w:space="0" w:color="auto"/>
                                                              </w:divBdr>
                                                              <w:divsChild>
                                                                <w:div w:id="1029720345">
                                                                  <w:marLeft w:val="0"/>
                                                                  <w:marRight w:val="0"/>
                                                                  <w:marTop w:val="0"/>
                                                                  <w:marBottom w:val="0"/>
                                                                  <w:divBdr>
                                                                    <w:top w:val="none" w:sz="0" w:space="0" w:color="auto"/>
                                                                    <w:left w:val="none" w:sz="0" w:space="0" w:color="auto"/>
                                                                    <w:bottom w:val="none" w:sz="0" w:space="0" w:color="auto"/>
                                                                    <w:right w:val="none" w:sz="0" w:space="0" w:color="auto"/>
                                                                  </w:divBdr>
                                                                  <w:divsChild>
                                                                    <w:div w:id="888152018">
                                                                      <w:marLeft w:val="0"/>
                                                                      <w:marRight w:val="0"/>
                                                                      <w:marTop w:val="0"/>
                                                                      <w:marBottom w:val="0"/>
                                                                      <w:divBdr>
                                                                        <w:top w:val="none" w:sz="0" w:space="0" w:color="auto"/>
                                                                        <w:left w:val="none" w:sz="0" w:space="0" w:color="auto"/>
                                                                        <w:bottom w:val="none" w:sz="0" w:space="0" w:color="auto"/>
                                                                        <w:right w:val="none" w:sz="0" w:space="0" w:color="auto"/>
                                                                      </w:divBdr>
                                                                      <w:divsChild>
                                                                        <w:div w:id="799029980">
                                                                          <w:marLeft w:val="0"/>
                                                                          <w:marRight w:val="0"/>
                                                                          <w:marTop w:val="0"/>
                                                                          <w:marBottom w:val="0"/>
                                                                          <w:divBdr>
                                                                            <w:top w:val="none" w:sz="0" w:space="0" w:color="auto"/>
                                                                            <w:left w:val="none" w:sz="0" w:space="0" w:color="auto"/>
                                                                            <w:bottom w:val="none" w:sz="0" w:space="0" w:color="auto"/>
                                                                            <w:right w:val="none" w:sz="0" w:space="0" w:color="auto"/>
                                                                          </w:divBdr>
                                                                          <w:divsChild>
                                                                            <w:div w:id="147786470">
                                                                              <w:marLeft w:val="0"/>
                                                                              <w:marRight w:val="0"/>
                                                                              <w:marTop w:val="0"/>
                                                                              <w:marBottom w:val="0"/>
                                                                              <w:divBdr>
                                                                                <w:top w:val="none" w:sz="0" w:space="0" w:color="auto"/>
                                                                                <w:left w:val="none" w:sz="0" w:space="0" w:color="auto"/>
                                                                                <w:bottom w:val="none" w:sz="0" w:space="0" w:color="auto"/>
                                                                                <w:right w:val="none" w:sz="0" w:space="0" w:color="auto"/>
                                                                              </w:divBdr>
                                                                              <w:divsChild>
                                                                                <w:div w:id="1866747983">
                                                                                  <w:marLeft w:val="0"/>
                                                                                  <w:marRight w:val="0"/>
                                                                                  <w:marTop w:val="0"/>
                                                                                  <w:marBottom w:val="0"/>
                                                                                  <w:divBdr>
                                                                                    <w:top w:val="none" w:sz="0" w:space="0" w:color="auto"/>
                                                                                    <w:left w:val="none" w:sz="0" w:space="0" w:color="auto"/>
                                                                                    <w:bottom w:val="none" w:sz="0" w:space="0" w:color="auto"/>
                                                                                    <w:right w:val="none" w:sz="0" w:space="0" w:color="auto"/>
                                                                                  </w:divBdr>
                                                                                  <w:divsChild>
                                                                                    <w:div w:id="115764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1347800">
      <w:bodyDiv w:val="1"/>
      <w:marLeft w:val="0"/>
      <w:marRight w:val="0"/>
      <w:marTop w:val="0"/>
      <w:marBottom w:val="0"/>
      <w:divBdr>
        <w:top w:val="none" w:sz="0" w:space="0" w:color="auto"/>
        <w:left w:val="none" w:sz="0" w:space="0" w:color="auto"/>
        <w:bottom w:val="none" w:sz="0" w:space="0" w:color="auto"/>
        <w:right w:val="none" w:sz="0" w:space="0" w:color="auto"/>
      </w:divBdr>
      <w:divsChild>
        <w:div w:id="1244530288">
          <w:marLeft w:val="0"/>
          <w:marRight w:val="0"/>
          <w:marTop w:val="0"/>
          <w:marBottom w:val="0"/>
          <w:divBdr>
            <w:top w:val="none" w:sz="0" w:space="0" w:color="auto"/>
            <w:left w:val="none" w:sz="0" w:space="0" w:color="auto"/>
            <w:bottom w:val="none" w:sz="0" w:space="0" w:color="auto"/>
            <w:right w:val="none" w:sz="0" w:space="0" w:color="auto"/>
          </w:divBdr>
          <w:divsChild>
            <w:div w:id="371811911">
              <w:marLeft w:val="0"/>
              <w:marRight w:val="0"/>
              <w:marTop w:val="0"/>
              <w:marBottom w:val="0"/>
              <w:divBdr>
                <w:top w:val="none" w:sz="0" w:space="0" w:color="auto"/>
                <w:left w:val="none" w:sz="0" w:space="0" w:color="auto"/>
                <w:bottom w:val="none" w:sz="0" w:space="0" w:color="auto"/>
                <w:right w:val="none" w:sz="0" w:space="0" w:color="auto"/>
              </w:divBdr>
              <w:divsChild>
                <w:div w:id="1954633378">
                  <w:marLeft w:val="0"/>
                  <w:marRight w:val="0"/>
                  <w:marTop w:val="0"/>
                  <w:marBottom w:val="0"/>
                  <w:divBdr>
                    <w:top w:val="none" w:sz="0" w:space="0" w:color="auto"/>
                    <w:left w:val="none" w:sz="0" w:space="0" w:color="auto"/>
                    <w:bottom w:val="none" w:sz="0" w:space="0" w:color="auto"/>
                    <w:right w:val="none" w:sz="0" w:space="0" w:color="auto"/>
                  </w:divBdr>
                  <w:divsChild>
                    <w:div w:id="430704490">
                      <w:marLeft w:val="0"/>
                      <w:marRight w:val="0"/>
                      <w:marTop w:val="0"/>
                      <w:marBottom w:val="0"/>
                      <w:divBdr>
                        <w:top w:val="none" w:sz="0" w:space="0" w:color="auto"/>
                        <w:left w:val="none" w:sz="0" w:space="0" w:color="auto"/>
                        <w:bottom w:val="none" w:sz="0" w:space="0" w:color="auto"/>
                        <w:right w:val="none" w:sz="0" w:space="0" w:color="auto"/>
                      </w:divBdr>
                      <w:divsChild>
                        <w:div w:id="41055401">
                          <w:marLeft w:val="0"/>
                          <w:marRight w:val="0"/>
                          <w:marTop w:val="0"/>
                          <w:marBottom w:val="0"/>
                          <w:divBdr>
                            <w:top w:val="none" w:sz="0" w:space="0" w:color="auto"/>
                            <w:left w:val="none" w:sz="0" w:space="0" w:color="auto"/>
                            <w:bottom w:val="none" w:sz="0" w:space="0" w:color="auto"/>
                            <w:right w:val="none" w:sz="0" w:space="0" w:color="auto"/>
                          </w:divBdr>
                          <w:divsChild>
                            <w:div w:id="2027057734">
                              <w:marLeft w:val="2700"/>
                              <w:marRight w:val="3960"/>
                              <w:marTop w:val="0"/>
                              <w:marBottom w:val="0"/>
                              <w:divBdr>
                                <w:top w:val="none" w:sz="0" w:space="0" w:color="auto"/>
                                <w:left w:val="none" w:sz="0" w:space="0" w:color="auto"/>
                                <w:bottom w:val="none" w:sz="0" w:space="0" w:color="auto"/>
                                <w:right w:val="none" w:sz="0" w:space="0" w:color="auto"/>
                              </w:divBdr>
                              <w:divsChild>
                                <w:div w:id="549148247">
                                  <w:marLeft w:val="0"/>
                                  <w:marRight w:val="0"/>
                                  <w:marTop w:val="0"/>
                                  <w:marBottom w:val="0"/>
                                  <w:divBdr>
                                    <w:top w:val="none" w:sz="0" w:space="0" w:color="auto"/>
                                    <w:left w:val="none" w:sz="0" w:space="0" w:color="auto"/>
                                    <w:bottom w:val="none" w:sz="0" w:space="0" w:color="auto"/>
                                    <w:right w:val="none" w:sz="0" w:space="0" w:color="auto"/>
                                  </w:divBdr>
                                  <w:divsChild>
                                    <w:div w:id="1569681006">
                                      <w:marLeft w:val="0"/>
                                      <w:marRight w:val="0"/>
                                      <w:marTop w:val="0"/>
                                      <w:marBottom w:val="0"/>
                                      <w:divBdr>
                                        <w:top w:val="none" w:sz="0" w:space="0" w:color="auto"/>
                                        <w:left w:val="none" w:sz="0" w:space="0" w:color="auto"/>
                                        <w:bottom w:val="none" w:sz="0" w:space="0" w:color="auto"/>
                                        <w:right w:val="none" w:sz="0" w:space="0" w:color="auto"/>
                                      </w:divBdr>
                                      <w:divsChild>
                                        <w:div w:id="489905137">
                                          <w:marLeft w:val="0"/>
                                          <w:marRight w:val="0"/>
                                          <w:marTop w:val="0"/>
                                          <w:marBottom w:val="0"/>
                                          <w:divBdr>
                                            <w:top w:val="none" w:sz="0" w:space="0" w:color="auto"/>
                                            <w:left w:val="none" w:sz="0" w:space="0" w:color="auto"/>
                                            <w:bottom w:val="none" w:sz="0" w:space="0" w:color="auto"/>
                                            <w:right w:val="none" w:sz="0" w:space="0" w:color="auto"/>
                                          </w:divBdr>
                                          <w:divsChild>
                                            <w:div w:id="97797526">
                                              <w:marLeft w:val="0"/>
                                              <w:marRight w:val="0"/>
                                              <w:marTop w:val="90"/>
                                              <w:marBottom w:val="0"/>
                                              <w:divBdr>
                                                <w:top w:val="none" w:sz="0" w:space="0" w:color="auto"/>
                                                <w:left w:val="none" w:sz="0" w:space="0" w:color="auto"/>
                                                <w:bottom w:val="none" w:sz="0" w:space="0" w:color="auto"/>
                                                <w:right w:val="none" w:sz="0" w:space="0" w:color="auto"/>
                                              </w:divBdr>
                                              <w:divsChild>
                                                <w:div w:id="919026716">
                                                  <w:marLeft w:val="0"/>
                                                  <w:marRight w:val="0"/>
                                                  <w:marTop w:val="0"/>
                                                  <w:marBottom w:val="405"/>
                                                  <w:divBdr>
                                                    <w:top w:val="none" w:sz="0" w:space="0" w:color="auto"/>
                                                    <w:left w:val="none" w:sz="0" w:space="0" w:color="auto"/>
                                                    <w:bottom w:val="none" w:sz="0" w:space="0" w:color="auto"/>
                                                    <w:right w:val="none" w:sz="0" w:space="0" w:color="auto"/>
                                                  </w:divBdr>
                                                  <w:divsChild>
                                                    <w:div w:id="686171930">
                                                      <w:marLeft w:val="0"/>
                                                      <w:marRight w:val="0"/>
                                                      <w:marTop w:val="0"/>
                                                      <w:marBottom w:val="0"/>
                                                      <w:divBdr>
                                                        <w:top w:val="none" w:sz="0" w:space="0" w:color="auto"/>
                                                        <w:left w:val="none" w:sz="0" w:space="0" w:color="auto"/>
                                                        <w:bottom w:val="none" w:sz="0" w:space="0" w:color="auto"/>
                                                        <w:right w:val="none" w:sz="0" w:space="0" w:color="auto"/>
                                                      </w:divBdr>
                                                      <w:divsChild>
                                                        <w:div w:id="229656505">
                                                          <w:marLeft w:val="0"/>
                                                          <w:marRight w:val="0"/>
                                                          <w:marTop w:val="0"/>
                                                          <w:marBottom w:val="0"/>
                                                          <w:divBdr>
                                                            <w:top w:val="single" w:sz="6" w:space="0" w:color="DFE1E5"/>
                                                            <w:left w:val="single" w:sz="6" w:space="0" w:color="DFE1E5"/>
                                                            <w:bottom w:val="single" w:sz="6" w:space="0" w:color="DFE1E5"/>
                                                            <w:right w:val="single" w:sz="6" w:space="0" w:color="DFE1E5"/>
                                                          </w:divBdr>
                                                          <w:divsChild>
                                                            <w:div w:id="1808081609">
                                                              <w:marLeft w:val="0"/>
                                                              <w:marRight w:val="0"/>
                                                              <w:marTop w:val="0"/>
                                                              <w:marBottom w:val="0"/>
                                                              <w:divBdr>
                                                                <w:top w:val="none" w:sz="0" w:space="0" w:color="auto"/>
                                                                <w:left w:val="none" w:sz="0" w:space="0" w:color="auto"/>
                                                                <w:bottom w:val="none" w:sz="0" w:space="0" w:color="auto"/>
                                                                <w:right w:val="none" w:sz="0" w:space="0" w:color="auto"/>
                                                              </w:divBdr>
                                                              <w:divsChild>
                                                                <w:div w:id="969016690">
                                                                  <w:marLeft w:val="0"/>
                                                                  <w:marRight w:val="0"/>
                                                                  <w:marTop w:val="0"/>
                                                                  <w:marBottom w:val="0"/>
                                                                  <w:divBdr>
                                                                    <w:top w:val="none" w:sz="0" w:space="0" w:color="auto"/>
                                                                    <w:left w:val="none" w:sz="0" w:space="0" w:color="auto"/>
                                                                    <w:bottom w:val="none" w:sz="0" w:space="0" w:color="auto"/>
                                                                    <w:right w:val="none" w:sz="0" w:space="0" w:color="auto"/>
                                                                  </w:divBdr>
                                                                  <w:divsChild>
                                                                    <w:div w:id="658117668">
                                                                      <w:marLeft w:val="0"/>
                                                                      <w:marRight w:val="0"/>
                                                                      <w:marTop w:val="0"/>
                                                                      <w:marBottom w:val="0"/>
                                                                      <w:divBdr>
                                                                        <w:top w:val="none" w:sz="0" w:space="0" w:color="auto"/>
                                                                        <w:left w:val="none" w:sz="0" w:space="0" w:color="auto"/>
                                                                        <w:bottom w:val="none" w:sz="0" w:space="0" w:color="auto"/>
                                                                        <w:right w:val="none" w:sz="0" w:space="0" w:color="auto"/>
                                                                      </w:divBdr>
                                                                      <w:divsChild>
                                                                        <w:div w:id="962080746">
                                                                          <w:marLeft w:val="0"/>
                                                                          <w:marRight w:val="0"/>
                                                                          <w:marTop w:val="0"/>
                                                                          <w:marBottom w:val="0"/>
                                                                          <w:divBdr>
                                                                            <w:top w:val="none" w:sz="0" w:space="0" w:color="auto"/>
                                                                            <w:left w:val="none" w:sz="0" w:space="0" w:color="auto"/>
                                                                            <w:bottom w:val="none" w:sz="0" w:space="0" w:color="auto"/>
                                                                            <w:right w:val="none" w:sz="0" w:space="0" w:color="auto"/>
                                                                          </w:divBdr>
                                                                          <w:divsChild>
                                                                            <w:div w:id="997270725">
                                                                              <w:marLeft w:val="0"/>
                                                                              <w:marRight w:val="0"/>
                                                                              <w:marTop w:val="0"/>
                                                                              <w:marBottom w:val="0"/>
                                                                              <w:divBdr>
                                                                                <w:top w:val="none" w:sz="0" w:space="0" w:color="auto"/>
                                                                                <w:left w:val="none" w:sz="0" w:space="0" w:color="auto"/>
                                                                                <w:bottom w:val="none" w:sz="0" w:space="0" w:color="auto"/>
                                                                                <w:right w:val="none" w:sz="0" w:space="0" w:color="auto"/>
                                                                              </w:divBdr>
                                                                              <w:divsChild>
                                                                                <w:div w:id="533277784">
                                                                                  <w:marLeft w:val="0"/>
                                                                                  <w:marRight w:val="0"/>
                                                                                  <w:marTop w:val="0"/>
                                                                                  <w:marBottom w:val="0"/>
                                                                                  <w:divBdr>
                                                                                    <w:top w:val="none" w:sz="0" w:space="0" w:color="auto"/>
                                                                                    <w:left w:val="none" w:sz="0" w:space="0" w:color="auto"/>
                                                                                    <w:bottom w:val="none" w:sz="0" w:space="0" w:color="auto"/>
                                                                                    <w:right w:val="none" w:sz="0" w:space="0" w:color="auto"/>
                                                                                  </w:divBdr>
                                                                                  <w:divsChild>
                                                                                    <w:div w:id="170809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657268">
      <w:bodyDiv w:val="1"/>
      <w:marLeft w:val="0"/>
      <w:marRight w:val="0"/>
      <w:marTop w:val="0"/>
      <w:marBottom w:val="0"/>
      <w:divBdr>
        <w:top w:val="none" w:sz="0" w:space="0" w:color="auto"/>
        <w:left w:val="none" w:sz="0" w:space="0" w:color="auto"/>
        <w:bottom w:val="none" w:sz="0" w:space="0" w:color="auto"/>
        <w:right w:val="none" w:sz="0" w:space="0" w:color="auto"/>
      </w:divBdr>
    </w:div>
    <w:div w:id="2055959547">
      <w:bodyDiv w:val="1"/>
      <w:marLeft w:val="0"/>
      <w:marRight w:val="0"/>
      <w:marTop w:val="0"/>
      <w:marBottom w:val="0"/>
      <w:divBdr>
        <w:top w:val="none" w:sz="0" w:space="0" w:color="auto"/>
        <w:left w:val="none" w:sz="0" w:space="0" w:color="auto"/>
        <w:bottom w:val="none" w:sz="0" w:space="0" w:color="auto"/>
        <w:right w:val="none" w:sz="0" w:space="0" w:color="auto"/>
      </w:divBdr>
    </w:div>
    <w:div w:id="2076974006">
      <w:bodyDiv w:val="1"/>
      <w:marLeft w:val="0"/>
      <w:marRight w:val="0"/>
      <w:marTop w:val="0"/>
      <w:marBottom w:val="0"/>
      <w:divBdr>
        <w:top w:val="none" w:sz="0" w:space="0" w:color="auto"/>
        <w:left w:val="none" w:sz="0" w:space="0" w:color="auto"/>
        <w:bottom w:val="none" w:sz="0" w:space="0" w:color="auto"/>
        <w:right w:val="none" w:sz="0" w:space="0" w:color="auto"/>
      </w:divBdr>
      <w:divsChild>
        <w:div w:id="313686378">
          <w:marLeft w:val="0"/>
          <w:marRight w:val="0"/>
          <w:marTop w:val="0"/>
          <w:marBottom w:val="0"/>
          <w:divBdr>
            <w:top w:val="none" w:sz="0" w:space="0" w:color="auto"/>
            <w:left w:val="none" w:sz="0" w:space="0" w:color="auto"/>
            <w:bottom w:val="none" w:sz="0" w:space="0" w:color="auto"/>
            <w:right w:val="none" w:sz="0" w:space="0" w:color="auto"/>
          </w:divBdr>
          <w:divsChild>
            <w:div w:id="1565874653">
              <w:marLeft w:val="0"/>
              <w:marRight w:val="0"/>
              <w:marTop w:val="0"/>
              <w:marBottom w:val="0"/>
              <w:divBdr>
                <w:top w:val="none" w:sz="0" w:space="0" w:color="auto"/>
                <w:left w:val="none" w:sz="0" w:space="0" w:color="auto"/>
                <w:bottom w:val="none" w:sz="0" w:space="0" w:color="auto"/>
                <w:right w:val="none" w:sz="0" w:space="0" w:color="auto"/>
              </w:divBdr>
              <w:divsChild>
                <w:div w:id="1587181222">
                  <w:marLeft w:val="0"/>
                  <w:marRight w:val="0"/>
                  <w:marTop w:val="0"/>
                  <w:marBottom w:val="0"/>
                  <w:divBdr>
                    <w:top w:val="none" w:sz="0" w:space="0" w:color="auto"/>
                    <w:left w:val="none" w:sz="0" w:space="0" w:color="auto"/>
                    <w:bottom w:val="none" w:sz="0" w:space="0" w:color="auto"/>
                    <w:right w:val="none" w:sz="0" w:space="0" w:color="auto"/>
                  </w:divBdr>
                  <w:divsChild>
                    <w:div w:id="183137270">
                      <w:marLeft w:val="0"/>
                      <w:marRight w:val="0"/>
                      <w:marTop w:val="0"/>
                      <w:marBottom w:val="0"/>
                      <w:divBdr>
                        <w:top w:val="none" w:sz="0" w:space="0" w:color="auto"/>
                        <w:left w:val="none" w:sz="0" w:space="0" w:color="auto"/>
                        <w:bottom w:val="none" w:sz="0" w:space="0" w:color="auto"/>
                        <w:right w:val="none" w:sz="0" w:space="0" w:color="auto"/>
                      </w:divBdr>
                      <w:divsChild>
                        <w:div w:id="840973406">
                          <w:marLeft w:val="0"/>
                          <w:marRight w:val="0"/>
                          <w:marTop w:val="0"/>
                          <w:marBottom w:val="0"/>
                          <w:divBdr>
                            <w:top w:val="none" w:sz="0" w:space="0" w:color="auto"/>
                            <w:left w:val="none" w:sz="0" w:space="0" w:color="auto"/>
                            <w:bottom w:val="none" w:sz="0" w:space="0" w:color="auto"/>
                            <w:right w:val="none" w:sz="0" w:space="0" w:color="auto"/>
                          </w:divBdr>
                          <w:divsChild>
                            <w:div w:id="791899979">
                              <w:marLeft w:val="2700"/>
                              <w:marRight w:val="3960"/>
                              <w:marTop w:val="0"/>
                              <w:marBottom w:val="0"/>
                              <w:divBdr>
                                <w:top w:val="none" w:sz="0" w:space="0" w:color="auto"/>
                                <w:left w:val="none" w:sz="0" w:space="0" w:color="auto"/>
                                <w:bottom w:val="none" w:sz="0" w:space="0" w:color="auto"/>
                                <w:right w:val="none" w:sz="0" w:space="0" w:color="auto"/>
                              </w:divBdr>
                              <w:divsChild>
                                <w:div w:id="2107460514">
                                  <w:marLeft w:val="0"/>
                                  <w:marRight w:val="0"/>
                                  <w:marTop w:val="0"/>
                                  <w:marBottom w:val="0"/>
                                  <w:divBdr>
                                    <w:top w:val="none" w:sz="0" w:space="0" w:color="auto"/>
                                    <w:left w:val="none" w:sz="0" w:space="0" w:color="auto"/>
                                    <w:bottom w:val="none" w:sz="0" w:space="0" w:color="auto"/>
                                    <w:right w:val="none" w:sz="0" w:space="0" w:color="auto"/>
                                  </w:divBdr>
                                  <w:divsChild>
                                    <w:div w:id="1032339877">
                                      <w:marLeft w:val="0"/>
                                      <w:marRight w:val="0"/>
                                      <w:marTop w:val="0"/>
                                      <w:marBottom w:val="0"/>
                                      <w:divBdr>
                                        <w:top w:val="none" w:sz="0" w:space="0" w:color="auto"/>
                                        <w:left w:val="none" w:sz="0" w:space="0" w:color="auto"/>
                                        <w:bottom w:val="none" w:sz="0" w:space="0" w:color="auto"/>
                                        <w:right w:val="none" w:sz="0" w:space="0" w:color="auto"/>
                                      </w:divBdr>
                                      <w:divsChild>
                                        <w:div w:id="369496480">
                                          <w:marLeft w:val="0"/>
                                          <w:marRight w:val="0"/>
                                          <w:marTop w:val="0"/>
                                          <w:marBottom w:val="0"/>
                                          <w:divBdr>
                                            <w:top w:val="none" w:sz="0" w:space="0" w:color="auto"/>
                                            <w:left w:val="none" w:sz="0" w:space="0" w:color="auto"/>
                                            <w:bottom w:val="none" w:sz="0" w:space="0" w:color="auto"/>
                                            <w:right w:val="none" w:sz="0" w:space="0" w:color="auto"/>
                                          </w:divBdr>
                                          <w:divsChild>
                                            <w:div w:id="1576552000">
                                              <w:marLeft w:val="0"/>
                                              <w:marRight w:val="0"/>
                                              <w:marTop w:val="90"/>
                                              <w:marBottom w:val="0"/>
                                              <w:divBdr>
                                                <w:top w:val="none" w:sz="0" w:space="0" w:color="auto"/>
                                                <w:left w:val="none" w:sz="0" w:space="0" w:color="auto"/>
                                                <w:bottom w:val="none" w:sz="0" w:space="0" w:color="auto"/>
                                                <w:right w:val="none" w:sz="0" w:space="0" w:color="auto"/>
                                              </w:divBdr>
                                              <w:divsChild>
                                                <w:div w:id="907962948">
                                                  <w:marLeft w:val="0"/>
                                                  <w:marRight w:val="0"/>
                                                  <w:marTop w:val="0"/>
                                                  <w:marBottom w:val="405"/>
                                                  <w:divBdr>
                                                    <w:top w:val="none" w:sz="0" w:space="0" w:color="auto"/>
                                                    <w:left w:val="none" w:sz="0" w:space="0" w:color="auto"/>
                                                    <w:bottom w:val="none" w:sz="0" w:space="0" w:color="auto"/>
                                                    <w:right w:val="none" w:sz="0" w:space="0" w:color="auto"/>
                                                  </w:divBdr>
                                                  <w:divsChild>
                                                    <w:div w:id="1003246322">
                                                      <w:marLeft w:val="0"/>
                                                      <w:marRight w:val="0"/>
                                                      <w:marTop w:val="0"/>
                                                      <w:marBottom w:val="0"/>
                                                      <w:divBdr>
                                                        <w:top w:val="none" w:sz="0" w:space="0" w:color="auto"/>
                                                        <w:left w:val="none" w:sz="0" w:space="0" w:color="auto"/>
                                                        <w:bottom w:val="none" w:sz="0" w:space="0" w:color="auto"/>
                                                        <w:right w:val="none" w:sz="0" w:space="0" w:color="auto"/>
                                                      </w:divBdr>
                                                      <w:divsChild>
                                                        <w:div w:id="1878657123">
                                                          <w:marLeft w:val="0"/>
                                                          <w:marRight w:val="0"/>
                                                          <w:marTop w:val="0"/>
                                                          <w:marBottom w:val="0"/>
                                                          <w:divBdr>
                                                            <w:top w:val="single" w:sz="6" w:space="0" w:color="DFE1E5"/>
                                                            <w:left w:val="single" w:sz="6" w:space="0" w:color="DFE1E5"/>
                                                            <w:bottom w:val="single" w:sz="6" w:space="0" w:color="DFE1E5"/>
                                                            <w:right w:val="single" w:sz="6" w:space="0" w:color="DFE1E5"/>
                                                          </w:divBdr>
                                                          <w:divsChild>
                                                            <w:div w:id="81538514">
                                                              <w:marLeft w:val="0"/>
                                                              <w:marRight w:val="0"/>
                                                              <w:marTop w:val="0"/>
                                                              <w:marBottom w:val="0"/>
                                                              <w:divBdr>
                                                                <w:top w:val="none" w:sz="0" w:space="0" w:color="auto"/>
                                                                <w:left w:val="none" w:sz="0" w:space="0" w:color="auto"/>
                                                                <w:bottom w:val="none" w:sz="0" w:space="0" w:color="auto"/>
                                                                <w:right w:val="none" w:sz="0" w:space="0" w:color="auto"/>
                                                              </w:divBdr>
                                                              <w:divsChild>
                                                                <w:div w:id="1307734187">
                                                                  <w:marLeft w:val="0"/>
                                                                  <w:marRight w:val="0"/>
                                                                  <w:marTop w:val="0"/>
                                                                  <w:marBottom w:val="0"/>
                                                                  <w:divBdr>
                                                                    <w:top w:val="none" w:sz="0" w:space="0" w:color="auto"/>
                                                                    <w:left w:val="none" w:sz="0" w:space="0" w:color="auto"/>
                                                                    <w:bottom w:val="none" w:sz="0" w:space="0" w:color="auto"/>
                                                                    <w:right w:val="none" w:sz="0" w:space="0" w:color="auto"/>
                                                                  </w:divBdr>
                                                                  <w:divsChild>
                                                                    <w:div w:id="903568332">
                                                                      <w:marLeft w:val="0"/>
                                                                      <w:marRight w:val="0"/>
                                                                      <w:marTop w:val="0"/>
                                                                      <w:marBottom w:val="0"/>
                                                                      <w:divBdr>
                                                                        <w:top w:val="none" w:sz="0" w:space="0" w:color="auto"/>
                                                                        <w:left w:val="none" w:sz="0" w:space="0" w:color="auto"/>
                                                                        <w:bottom w:val="none" w:sz="0" w:space="0" w:color="auto"/>
                                                                        <w:right w:val="none" w:sz="0" w:space="0" w:color="auto"/>
                                                                      </w:divBdr>
                                                                      <w:divsChild>
                                                                        <w:div w:id="331445601">
                                                                          <w:marLeft w:val="0"/>
                                                                          <w:marRight w:val="0"/>
                                                                          <w:marTop w:val="0"/>
                                                                          <w:marBottom w:val="0"/>
                                                                          <w:divBdr>
                                                                            <w:top w:val="none" w:sz="0" w:space="0" w:color="auto"/>
                                                                            <w:left w:val="none" w:sz="0" w:space="0" w:color="auto"/>
                                                                            <w:bottom w:val="none" w:sz="0" w:space="0" w:color="auto"/>
                                                                            <w:right w:val="none" w:sz="0" w:space="0" w:color="auto"/>
                                                                          </w:divBdr>
                                                                          <w:divsChild>
                                                                            <w:div w:id="1397316021">
                                                                              <w:marLeft w:val="0"/>
                                                                              <w:marRight w:val="0"/>
                                                                              <w:marTop w:val="0"/>
                                                                              <w:marBottom w:val="0"/>
                                                                              <w:divBdr>
                                                                                <w:top w:val="none" w:sz="0" w:space="0" w:color="auto"/>
                                                                                <w:left w:val="none" w:sz="0" w:space="0" w:color="auto"/>
                                                                                <w:bottom w:val="none" w:sz="0" w:space="0" w:color="auto"/>
                                                                                <w:right w:val="none" w:sz="0" w:space="0" w:color="auto"/>
                                                                              </w:divBdr>
                                                                              <w:divsChild>
                                                                                <w:div w:id="487091937">
                                                                                  <w:marLeft w:val="0"/>
                                                                                  <w:marRight w:val="0"/>
                                                                                  <w:marTop w:val="0"/>
                                                                                  <w:marBottom w:val="0"/>
                                                                                  <w:divBdr>
                                                                                    <w:top w:val="none" w:sz="0" w:space="0" w:color="auto"/>
                                                                                    <w:left w:val="none" w:sz="0" w:space="0" w:color="auto"/>
                                                                                    <w:bottom w:val="none" w:sz="0" w:space="0" w:color="auto"/>
                                                                                    <w:right w:val="none" w:sz="0" w:space="0" w:color="auto"/>
                                                                                  </w:divBdr>
                                                                                  <w:divsChild>
                                                                                    <w:div w:id="17954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5191">
      <w:bodyDiv w:val="1"/>
      <w:marLeft w:val="0"/>
      <w:marRight w:val="0"/>
      <w:marTop w:val="0"/>
      <w:marBottom w:val="0"/>
      <w:divBdr>
        <w:top w:val="none" w:sz="0" w:space="0" w:color="auto"/>
        <w:left w:val="none" w:sz="0" w:space="0" w:color="auto"/>
        <w:bottom w:val="none" w:sz="0" w:space="0" w:color="auto"/>
        <w:right w:val="none" w:sz="0" w:space="0" w:color="auto"/>
      </w:divBdr>
      <w:divsChild>
        <w:div w:id="1239246201">
          <w:marLeft w:val="0"/>
          <w:marRight w:val="0"/>
          <w:marTop w:val="0"/>
          <w:marBottom w:val="0"/>
          <w:divBdr>
            <w:top w:val="none" w:sz="0" w:space="0" w:color="auto"/>
            <w:left w:val="none" w:sz="0" w:space="0" w:color="auto"/>
            <w:bottom w:val="none" w:sz="0" w:space="0" w:color="auto"/>
            <w:right w:val="none" w:sz="0" w:space="0" w:color="auto"/>
          </w:divBdr>
          <w:divsChild>
            <w:div w:id="1808668048">
              <w:marLeft w:val="0"/>
              <w:marRight w:val="0"/>
              <w:marTop w:val="0"/>
              <w:marBottom w:val="0"/>
              <w:divBdr>
                <w:top w:val="none" w:sz="0" w:space="0" w:color="auto"/>
                <w:left w:val="none" w:sz="0" w:space="0" w:color="auto"/>
                <w:bottom w:val="none" w:sz="0" w:space="0" w:color="auto"/>
                <w:right w:val="none" w:sz="0" w:space="0" w:color="auto"/>
              </w:divBdr>
              <w:divsChild>
                <w:div w:id="1039234646">
                  <w:marLeft w:val="0"/>
                  <w:marRight w:val="0"/>
                  <w:marTop w:val="0"/>
                  <w:marBottom w:val="0"/>
                  <w:divBdr>
                    <w:top w:val="none" w:sz="0" w:space="0" w:color="auto"/>
                    <w:left w:val="none" w:sz="0" w:space="0" w:color="auto"/>
                    <w:bottom w:val="none" w:sz="0" w:space="0" w:color="auto"/>
                    <w:right w:val="none" w:sz="0" w:space="0" w:color="auto"/>
                  </w:divBdr>
                  <w:divsChild>
                    <w:div w:id="814682845">
                      <w:marLeft w:val="0"/>
                      <w:marRight w:val="0"/>
                      <w:marTop w:val="0"/>
                      <w:marBottom w:val="0"/>
                      <w:divBdr>
                        <w:top w:val="none" w:sz="0" w:space="0" w:color="auto"/>
                        <w:left w:val="none" w:sz="0" w:space="0" w:color="auto"/>
                        <w:bottom w:val="none" w:sz="0" w:space="0" w:color="auto"/>
                        <w:right w:val="none" w:sz="0" w:space="0" w:color="auto"/>
                      </w:divBdr>
                      <w:divsChild>
                        <w:div w:id="924455788">
                          <w:marLeft w:val="0"/>
                          <w:marRight w:val="0"/>
                          <w:marTop w:val="0"/>
                          <w:marBottom w:val="0"/>
                          <w:divBdr>
                            <w:top w:val="none" w:sz="0" w:space="0" w:color="auto"/>
                            <w:left w:val="none" w:sz="0" w:space="0" w:color="auto"/>
                            <w:bottom w:val="none" w:sz="0" w:space="0" w:color="auto"/>
                            <w:right w:val="none" w:sz="0" w:space="0" w:color="auto"/>
                          </w:divBdr>
                          <w:divsChild>
                            <w:div w:id="1743140686">
                              <w:marLeft w:val="2700"/>
                              <w:marRight w:val="3960"/>
                              <w:marTop w:val="0"/>
                              <w:marBottom w:val="0"/>
                              <w:divBdr>
                                <w:top w:val="none" w:sz="0" w:space="0" w:color="auto"/>
                                <w:left w:val="none" w:sz="0" w:space="0" w:color="auto"/>
                                <w:bottom w:val="none" w:sz="0" w:space="0" w:color="auto"/>
                                <w:right w:val="none" w:sz="0" w:space="0" w:color="auto"/>
                              </w:divBdr>
                              <w:divsChild>
                                <w:div w:id="1318876978">
                                  <w:marLeft w:val="0"/>
                                  <w:marRight w:val="0"/>
                                  <w:marTop w:val="0"/>
                                  <w:marBottom w:val="0"/>
                                  <w:divBdr>
                                    <w:top w:val="none" w:sz="0" w:space="0" w:color="auto"/>
                                    <w:left w:val="none" w:sz="0" w:space="0" w:color="auto"/>
                                    <w:bottom w:val="none" w:sz="0" w:space="0" w:color="auto"/>
                                    <w:right w:val="none" w:sz="0" w:space="0" w:color="auto"/>
                                  </w:divBdr>
                                  <w:divsChild>
                                    <w:div w:id="618335592">
                                      <w:marLeft w:val="0"/>
                                      <w:marRight w:val="0"/>
                                      <w:marTop w:val="0"/>
                                      <w:marBottom w:val="0"/>
                                      <w:divBdr>
                                        <w:top w:val="none" w:sz="0" w:space="0" w:color="auto"/>
                                        <w:left w:val="none" w:sz="0" w:space="0" w:color="auto"/>
                                        <w:bottom w:val="none" w:sz="0" w:space="0" w:color="auto"/>
                                        <w:right w:val="none" w:sz="0" w:space="0" w:color="auto"/>
                                      </w:divBdr>
                                      <w:divsChild>
                                        <w:div w:id="68581419">
                                          <w:marLeft w:val="0"/>
                                          <w:marRight w:val="0"/>
                                          <w:marTop w:val="0"/>
                                          <w:marBottom w:val="0"/>
                                          <w:divBdr>
                                            <w:top w:val="none" w:sz="0" w:space="0" w:color="auto"/>
                                            <w:left w:val="none" w:sz="0" w:space="0" w:color="auto"/>
                                            <w:bottom w:val="none" w:sz="0" w:space="0" w:color="auto"/>
                                            <w:right w:val="none" w:sz="0" w:space="0" w:color="auto"/>
                                          </w:divBdr>
                                          <w:divsChild>
                                            <w:div w:id="1543907761">
                                              <w:marLeft w:val="0"/>
                                              <w:marRight w:val="0"/>
                                              <w:marTop w:val="90"/>
                                              <w:marBottom w:val="0"/>
                                              <w:divBdr>
                                                <w:top w:val="none" w:sz="0" w:space="0" w:color="auto"/>
                                                <w:left w:val="none" w:sz="0" w:space="0" w:color="auto"/>
                                                <w:bottom w:val="none" w:sz="0" w:space="0" w:color="auto"/>
                                                <w:right w:val="none" w:sz="0" w:space="0" w:color="auto"/>
                                              </w:divBdr>
                                              <w:divsChild>
                                                <w:div w:id="132874091">
                                                  <w:marLeft w:val="0"/>
                                                  <w:marRight w:val="0"/>
                                                  <w:marTop w:val="0"/>
                                                  <w:marBottom w:val="405"/>
                                                  <w:divBdr>
                                                    <w:top w:val="none" w:sz="0" w:space="0" w:color="auto"/>
                                                    <w:left w:val="none" w:sz="0" w:space="0" w:color="auto"/>
                                                    <w:bottom w:val="none" w:sz="0" w:space="0" w:color="auto"/>
                                                    <w:right w:val="none" w:sz="0" w:space="0" w:color="auto"/>
                                                  </w:divBdr>
                                                  <w:divsChild>
                                                    <w:div w:id="1748964283">
                                                      <w:marLeft w:val="0"/>
                                                      <w:marRight w:val="0"/>
                                                      <w:marTop w:val="0"/>
                                                      <w:marBottom w:val="0"/>
                                                      <w:divBdr>
                                                        <w:top w:val="none" w:sz="0" w:space="0" w:color="auto"/>
                                                        <w:left w:val="none" w:sz="0" w:space="0" w:color="auto"/>
                                                        <w:bottom w:val="none" w:sz="0" w:space="0" w:color="auto"/>
                                                        <w:right w:val="none" w:sz="0" w:space="0" w:color="auto"/>
                                                      </w:divBdr>
                                                      <w:divsChild>
                                                        <w:div w:id="1467815493">
                                                          <w:marLeft w:val="0"/>
                                                          <w:marRight w:val="0"/>
                                                          <w:marTop w:val="0"/>
                                                          <w:marBottom w:val="0"/>
                                                          <w:divBdr>
                                                            <w:top w:val="single" w:sz="6" w:space="0" w:color="DFE1E5"/>
                                                            <w:left w:val="single" w:sz="6" w:space="0" w:color="DFE1E5"/>
                                                            <w:bottom w:val="single" w:sz="6" w:space="0" w:color="DFE1E5"/>
                                                            <w:right w:val="single" w:sz="6" w:space="0" w:color="DFE1E5"/>
                                                          </w:divBdr>
                                                          <w:divsChild>
                                                            <w:div w:id="476724764">
                                                              <w:marLeft w:val="0"/>
                                                              <w:marRight w:val="0"/>
                                                              <w:marTop w:val="0"/>
                                                              <w:marBottom w:val="0"/>
                                                              <w:divBdr>
                                                                <w:top w:val="none" w:sz="0" w:space="0" w:color="auto"/>
                                                                <w:left w:val="none" w:sz="0" w:space="0" w:color="auto"/>
                                                                <w:bottom w:val="none" w:sz="0" w:space="0" w:color="auto"/>
                                                                <w:right w:val="none" w:sz="0" w:space="0" w:color="auto"/>
                                                              </w:divBdr>
                                                              <w:divsChild>
                                                                <w:div w:id="539901764">
                                                                  <w:marLeft w:val="0"/>
                                                                  <w:marRight w:val="0"/>
                                                                  <w:marTop w:val="0"/>
                                                                  <w:marBottom w:val="0"/>
                                                                  <w:divBdr>
                                                                    <w:top w:val="none" w:sz="0" w:space="0" w:color="auto"/>
                                                                    <w:left w:val="none" w:sz="0" w:space="0" w:color="auto"/>
                                                                    <w:bottom w:val="none" w:sz="0" w:space="0" w:color="auto"/>
                                                                    <w:right w:val="none" w:sz="0" w:space="0" w:color="auto"/>
                                                                  </w:divBdr>
                                                                  <w:divsChild>
                                                                    <w:div w:id="1452624505">
                                                                      <w:marLeft w:val="0"/>
                                                                      <w:marRight w:val="0"/>
                                                                      <w:marTop w:val="0"/>
                                                                      <w:marBottom w:val="0"/>
                                                                      <w:divBdr>
                                                                        <w:top w:val="none" w:sz="0" w:space="0" w:color="auto"/>
                                                                        <w:left w:val="none" w:sz="0" w:space="0" w:color="auto"/>
                                                                        <w:bottom w:val="none" w:sz="0" w:space="0" w:color="auto"/>
                                                                        <w:right w:val="none" w:sz="0" w:space="0" w:color="auto"/>
                                                                      </w:divBdr>
                                                                      <w:divsChild>
                                                                        <w:div w:id="734740980">
                                                                          <w:marLeft w:val="0"/>
                                                                          <w:marRight w:val="0"/>
                                                                          <w:marTop w:val="0"/>
                                                                          <w:marBottom w:val="0"/>
                                                                          <w:divBdr>
                                                                            <w:top w:val="none" w:sz="0" w:space="0" w:color="auto"/>
                                                                            <w:left w:val="none" w:sz="0" w:space="0" w:color="auto"/>
                                                                            <w:bottom w:val="none" w:sz="0" w:space="0" w:color="auto"/>
                                                                            <w:right w:val="none" w:sz="0" w:space="0" w:color="auto"/>
                                                                          </w:divBdr>
                                                                          <w:divsChild>
                                                                            <w:div w:id="957300942">
                                                                              <w:marLeft w:val="0"/>
                                                                              <w:marRight w:val="0"/>
                                                                              <w:marTop w:val="0"/>
                                                                              <w:marBottom w:val="0"/>
                                                                              <w:divBdr>
                                                                                <w:top w:val="none" w:sz="0" w:space="0" w:color="auto"/>
                                                                                <w:left w:val="none" w:sz="0" w:space="0" w:color="auto"/>
                                                                                <w:bottom w:val="none" w:sz="0" w:space="0" w:color="auto"/>
                                                                                <w:right w:val="none" w:sz="0" w:space="0" w:color="auto"/>
                                                                              </w:divBdr>
                                                                              <w:divsChild>
                                                                                <w:div w:id="1675064219">
                                                                                  <w:marLeft w:val="0"/>
                                                                                  <w:marRight w:val="0"/>
                                                                                  <w:marTop w:val="0"/>
                                                                                  <w:marBottom w:val="0"/>
                                                                                  <w:divBdr>
                                                                                    <w:top w:val="none" w:sz="0" w:space="0" w:color="auto"/>
                                                                                    <w:left w:val="none" w:sz="0" w:space="0" w:color="auto"/>
                                                                                    <w:bottom w:val="none" w:sz="0" w:space="0" w:color="auto"/>
                                                                                    <w:right w:val="none" w:sz="0" w:space="0" w:color="auto"/>
                                                                                  </w:divBdr>
                                                                                  <w:divsChild>
                                                                                    <w:div w:id="113602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6828567">
      <w:bodyDiv w:val="1"/>
      <w:marLeft w:val="0"/>
      <w:marRight w:val="0"/>
      <w:marTop w:val="0"/>
      <w:marBottom w:val="0"/>
      <w:divBdr>
        <w:top w:val="none" w:sz="0" w:space="0" w:color="auto"/>
        <w:left w:val="none" w:sz="0" w:space="0" w:color="auto"/>
        <w:bottom w:val="none" w:sz="0" w:space="0" w:color="auto"/>
        <w:right w:val="none" w:sz="0" w:space="0" w:color="auto"/>
      </w:divBdr>
      <w:divsChild>
        <w:div w:id="1629049712">
          <w:marLeft w:val="0"/>
          <w:marRight w:val="0"/>
          <w:marTop w:val="0"/>
          <w:marBottom w:val="0"/>
          <w:divBdr>
            <w:top w:val="none" w:sz="0" w:space="0" w:color="auto"/>
            <w:left w:val="none" w:sz="0" w:space="0" w:color="auto"/>
            <w:bottom w:val="none" w:sz="0" w:space="0" w:color="auto"/>
            <w:right w:val="none" w:sz="0" w:space="0" w:color="auto"/>
          </w:divBdr>
          <w:divsChild>
            <w:div w:id="1425956279">
              <w:marLeft w:val="0"/>
              <w:marRight w:val="0"/>
              <w:marTop w:val="0"/>
              <w:marBottom w:val="0"/>
              <w:divBdr>
                <w:top w:val="none" w:sz="0" w:space="0" w:color="auto"/>
                <w:left w:val="none" w:sz="0" w:space="0" w:color="auto"/>
                <w:bottom w:val="none" w:sz="0" w:space="0" w:color="auto"/>
                <w:right w:val="none" w:sz="0" w:space="0" w:color="auto"/>
              </w:divBdr>
              <w:divsChild>
                <w:div w:id="1799107373">
                  <w:marLeft w:val="0"/>
                  <w:marRight w:val="0"/>
                  <w:marTop w:val="0"/>
                  <w:marBottom w:val="0"/>
                  <w:divBdr>
                    <w:top w:val="none" w:sz="0" w:space="0" w:color="auto"/>
                    <w:left w:val="none" w:sz="0" w:space="0" w:color="auto"/>
                    <w:bottom w:val="none" w:sz="0" w:space="0" w:color="auto"/>
                    <w:right w:val="none" w:sz="0" w:space="0" w:color="auto"/>
                  </w:divBdr>
                  <w:divsChild>
                    <w:div w:id="181824282">
                      <w:marLeft w:val="0"/>
                      <w:marRight w:val="0"/>
                      <w:marTop w:val="0"/>
                      <w:marBottom w:val="0"/>
                      <w:divBdr>
                        <w:top w:val="none" w:sz="0" w:space="0" w:color="auto"/>
                        <w:left w:val="none" w:sz="0" w:space="0" w:color="auto"/>
                        <w:bottom w:val="none" w:sz="0" w:space="0" w:color="auto"/>
                        <w:right w:val="none" w:sz="0" w:space="0" w:color="auto"/>
                      </w:divBdr>
                      <w:divsChild>
                        <w:div w:id="1740053566">
                          <w:marLeft w:val="0"/>
                          <w:marRight w:val="0"/>
                          <w:marTop w:val="0"/>
                          <w:marBottom w:val="0"/>
                          <w:divBdr>
                            <w:top w:val="none" w:sz="0" w:space="0" w:color="auto"/>
                            <w:left w:val="none" w:sz="0" w:space="0" w:color="auto"/>
                            <w:bottom w:val="none" w:sz="0" w:space="0" w:color="auto"/>
                            <w:right w:val="none" w:sz="0" w:space="0" w:color="auto"/>
                          </w:divBdr>
                          <w:divsChild>
                            <w:div w:id="670529794">
                              <w:marLeft w:val="2700"/>
                              <w:marRight w:val="3960"/>
                              <w:marTop w:val="0"/>
                              <w:marBottom w:val="0"/>
                              <w:divBdr>
                                <w:top w:val="none" w:sz="0" w:space="0" w:color="auto"/>
                                <w:left w:val="none" w:sz="0" w:space="0" w:color="auto"/>
                                <w:bottom w:val="none" w:sz="0" w:space="0" w:color="auto"/>
                                <w:right w:val="none" w:sz="0" w:space="0" w:color="auto"/>
                              </w:divBdr>
                              <w:divsChild>
                                <w:div w:id="1068259822">
                                  <w:marLeft w:val="0"/>
                                  <w:marRight w:val="0"/>
                                  <w:marTop w:val="0"/>
                                  <w:marBottom w:val="0"/>
                                  <w:divBdr>
                                    <w:top w:val="none" w:sz="0" w:space="0" w:color="auto"/>
                                    <w:left w:val="none" w:sz="0" w:space="0" w:color="auto"/>
                                    <w:bottom w:val="none" w:sz="0" w:space="0" w:color="auto"/>
                                    <w:right w:val="none" w:sz="0" w:space="0" w:color="auto"/>
                                  </w:divBdr>
                                  <w:divsChild>
                                    <w:div w:id="1249387421">
                                      <w:marLeft w:val="0"/>
                                      <w:marRight w:val="0"/>
                                      <w:marTop w:val="0"/>
                                      <w:marBottom w:val="0"/>
                                      <w:divBdr>
                                        <w:top w:val="none" w:sz="0" w:space="0" w:color="auto"/>
                                        <w:left w:val="none" w:sz="0" w:space="0" w:color="auto"/>
                                        <w:bottom w:val="none" w:sz="0" w:space="0" w:color="auto"/>
                                        <w:right w:val="none" w:sz="0" w:space="0" w:color="auto"/>
                                      </w:divBdr>
                                      <w:divsChild>
                                        <w:div w:id="400829922">
                                          <w:marLeft w:val="0"/>
                                          <w:marRight w:val="0"/>
                                          <w:marTop w:val="0"/>
                                          <w:marBottom w:val="0"/>
                                          <w:divBdr>
                                            <w:top w:val="none" w:sz="0" w:space="0" w:color="auto"/>
                                            <w:left w:val="none" w:sz="0" w:space="0" w:color="auto"/>
                                            <w:bottom w:val="none" w:sz="0" w:space="0" w:color="auto"/>
                                            <w:right w:val="none" w:sz="0" w:space="0" w:color="auto"/>
                                          </w:divBdr>
                                          <w:divsChild>
                                            <w:div w:id="1172455592">
                                              <w:marLeft w:val="0"/>
                                              <w:marRight w:val="0"/>
                                              <w:marTop w:val="90"/>
                                              <w:marBottom w:val="0"/>
                                              <w:divBdr>
                                                <w:top w:val="none" w:sz="0" w:space="0" w:color="auto"/>
                                                <w:left w:val="none" w:sz="0" w:space="0" w:color="auto"/>
                                                <w:bottom w:val="none" w:sz="0" w:space="0" w:color="auto"/>
                                                <w:right w:val="none" w:sz="0" w:space="0" w:color="auto"/>
                                              </w:divBdr>
                                              <w:divsChild>
                                                <w:div w:id="1701972250">
                                                  <w:marLeft w:val="0"/>
                                                  <w:marRight w:val="0"/>
                                                  <w:marTop w:val="0"/>
                                                  <w:marBottom w:val="405"/>
                                                  <w:divBdr>
                                                    <w:top w:val="none" w:sz="0" w:space="0" w:color="auto"/>
                                                    <w:left w:val="none" w:sz="0" w:space="0" w:color="auto"/>
                                                    <w:bottom w:val="none" w:sz="0" w:space="0" w:color="auto"/>
                                                    <w:right w:val="none" w:sz="0" w:space="0" w:color="auto"/>
                                                  </w:divBdr>
                                                  <w:divsChild>
                                                    <w:div w:id="1015115293">
                                                      <w:marLeft w:val="0"/>
                                                      <w:marRight w:val="0"/>
                                                      <w:marTop w:val="0"/>
                                                      <w:marBottom w:val="0"/>
                                                      <w:divBdr>
                                                        <w:top w:val="none" w:sz="0" w:space="0" w:color="auto"/>
                                                        <w:left w:val="none" w:sz="0" w:space="0" w:color="auto"/>
                                                        <w:bottom w:val="none" w:sz="0" w:space="0" w:color="auto"/>
                                                        <w:right w:val="none" w:sz="0" w:space="0" w:color="auto"/>
                                                      </w:divBdr>
                                                      <w:divsChild>
                                                        <w:div w:id="1751736358">
                                                          <w:marLeft w:val="0"/>
                                                          <w:marRight w:val="0"/>
                                                          <w:marTop w:val="0"/>
                                                          <w:marBottom w:val="0"/>
                                                          <w:divBdr>
                                                            <w:top w:val="single" w:sz="6" w:space="0" w:color="DFE1E5"/>
                                                            <w:left w:val="single" w:sz="6" w:space="0" w:color="DFE1E5"/>
                                                            <w:bottom w:val="single" w:sz="6" w:space="0" w:color="DFE1E5"/>
                                                            <w:right w:val="single" w:sz="6" w:space="0" w:color="DFE1E5"/>
                                                          </w:divBdr>
                                                          <w:divsChild>
                                                            <w:div w:id="1631015344">
                                                              <w:marLeft w:val="0"/>
                                                              <w:marRight w:val="0"/>
                                                              <w:marTop w:val="0"/>
                                                              <w:marBottom w:val="0"/>
                                                              <w:divBdr>
                                                                <w:top w:val="none" w:sz="0" w:space="0" w:color="auto"/>
                                                                <w:left w:val="none" w:sz="0" w:space="0" w:color="auto"/>
                                                                <w:bottom w:val="none" w:sz="0" w:space="0" w:color="auto"/>
                                                                <w:right w:val="none" w:sz="0" w:space="0" w:color="auto"/>
                                                              </w:divBdr>
                                                              <w:divsChild>
                                                                <w:div w:id="40517549">
                                                                  <w:marLeft w:val="0"/>
                                                                  <w:marRight w:val="0"/>
                                                                  <w:marTop w:val="0"/>
                                                                  <w:marBottom w:val="0"/>
                                                                  <w:divBdr>
                                                                    <w:top w:val="none" w:sz="0" w:space="0" w:color="auto"/>
                                                                    <w:left w:val="none" w:sz="0" w:space="0" w:color="auto"/>
                                                                    <w:bottom w:val="none" w:sz="0" w:space="0" w:color="auto"/>
                                                                    <w:right w:val="none" w:sz="0" w:space="0" w:color="auto"/>
                                                                  </w:divBdr>
                                                                  <w:divsChild>
                                                                    <w:div w:id="1535725780">
                                                                      <w:marLeft w:val="0"/>
                                                                      <w:marRight w:val="0"/>
                                                                      <w:marTop w:val="0"/>
                                                                      <w:marBottom w:val="0"/>
                                                                      <w:divBdr>
                                                                        <w:top w:val="none" w:sz="0" w:space="0" w:color="auto"/>
                                                                        <w:left w:val="none" w:sz="0" w:space="0" w:color="auto"/>
                                                                        <w:bottom w:val="none" w:sz="0" w:space="0" w:color="auto"/>
                                                                        <w:right w:val="none" w:sz="0" w:space="0" w:color="auto"/>
                                                                      </w:divBdr>
                                                                      <w:divsChild>
                                                                        <w:div w:id="102194055">
                                                                          <w:marLeft w:val="0"/>
                                                                          <w:marRight w:val="0"/>
                                                                          <w:marTop w:val="0"/>
                                                                          <w:marBottom w:val="0"/>
                                                                          <w:divBdr>
                                                                            <w:top w:val="none" w:sz="0" w:space="0" w:color="auto"/>
                                                                            <w:left w:val="none" w:sz="0" w:space="0" w:color="auto"/>
                                                                            <w:bottom w:val="none" w:sz="0" w:space="0" w:color="auto"/>
                                                                            <w:right w:val="none" w:sz="0" w:space="0" w:color="auto"/>
                                                                          </w:divBdr>
                                                                          <w:divsChild>
                                                                            <w:div w:id="1952663343">
                                                                              <w:marLeft w:val="0"/>
                                                                              <w:marRight w:val="0"/>
                                                                              <w:marTop w:val="0"/>
                                                                              <w:marBottom w:val="0"/>
                                                                              <w:divBdr>
                                                                                <w:top w:val="none" w:sz="0" w:space="0" w:color="auto"/>
                                                                                <w:left w:val="none" w:sz="0" w:space="0" w:color="auto"/>
                                                                                <w:bottom w:val="none" w:sz="0" w:space="0" w:color="auto"/>
                                                                                <w:right w:val="none" w:sz="0" w:space="0" w:color="auto"/>
                                                                              </w:divBdr>
                                                                              <w:divsChild>
                                                                                <w:div w:id="848636604">
                                                                                  <w:marLeft w:val="0"/>
                                                                                  <w:marRight w:val="0"/>
                                                                                  <w:marTop w:val="0"/>
                                                                                  <w:marBottom w:val="0"/>
                                                                                  <w:divBdr>
                                                                                    <w:top w:val="none" w:sz="0" w:space="0" w:color="auto"/>
                                                                                    <w:left w:val="none" w:sz="0" w:space="0" w:color="auto"/>
                                                                                    <w:bottom w:val="none" w:sz="0" w:space="0" w:color="auto"/>
                                                                                    <w:right w:val="none" w:sz="0" w:space="0" w:color="auto"/>
                                                                                  </w:divBdr>
                                                                                  <w:divsChild>
                                                                                    <w:div w:id="188167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929036">
      <w:bodyDiv w:val="1"/>
      <w:marLeft w:val="0"/>
      <w:marRight w:val="0"/>
      <w:marTop w:val="0"/>
      <w:marBottom w:val="0"/>
      <w:divBdr>
        <w:top w:val="none" w:sz="0" w:space="0" w:color="auto"/>
        <w:left w:val="none" w:sz="0" w:space="0" w:color="auto"/>
        <w:bottom w:val="none" w:sz="0" w:space="0" w:color="auto"/>
        <w:right w:val="none" w:sz="0" w:space="0" w:color="auto"/>
      </w:divBdr>
      <w:divsChild>
        <w:div w:id="1572887125">
          <w:marLeft w:val="0"/>
          <w:marRight w:val="0"/>
          <w:marTop w:val="0"/>
          <w:marBottom w:val="0"/>
          <w:divBdr>
            <w:top w:val="none" w:sz="0" w:space="0" w:color="auto"/>
            <w:left w:val="none" w:sz="0" w:space="0" w:color="auto"/>
            <w:bottom w:val="none" w:sz="0" w:space="0" w:color="auto"/>
            <w:right w:val="none" w:sz="0" w:space="0" w:color="auto"/>
          </w:divBdr>
          <w:divsChild>
            <w:div w:id="1319074306">
              <w:marLeft w:val="0"/>
              <w:marRight w:val="0"/>
              <w:marTop w:val="0"/>
              <w:marBottom w:val="0"/>
              <w:divBdr>
                <w:top w:val="none" w:sz="0" w:space="0" w:color="auto"/>
                <w:left w:val="none" w:sz="0" w:space="0" w:color="auto"/>
                <w:bottom w:val="none" w:sz="0" w:space="0" w:color="auto"/>
                <w:right w:val="none" w:sz="0" w:space="0" w:color="auto"/>
              </w:divBdr>
              <w:divsChild>
                <w:div w:id="527258065">
                  <w:marLeft w:val="0"/>
                  <w:marRight w:val="0"/>
                  <w:marTop w:val="0"/>
                  <w:marBottom w:val="0"/>
                  <w:divBdr>
                    <w:top w:val="none" w:sz="0" w:space="0" w:color="auto"/>
                    <w:left w:val="none" w:sz="0" w:space="0" w:color="auto"/>
                    <w:bottom w:val="none" w:sz="0" w:space="0" w:color="auto"/>
                    <w:right w:val="none" w:sz="0" w:space="0" w:color="auto"/>
                  </w:divBdr>
                  <w:divsChild>
                    <w:div w:id="521364234">
                      <w:marLeft w:val="0"/>
                      <w:marRight w:val="0"/>
                      <w:marTop w:val="0"/>
                      <w:marBottom w:val="0"/>
                      <w:divBdr>
                        <w:top w:val="none" w:sz="0" w:space="0" w:color="auto"/>
                        <w:left w:val="none" w:sz="0" w:space="0" w:color="auto"/>
                        <w:bottom w:val="none" w:sz="0" w:space="0" w:color="auto"/>
                        <w:right w:val="none" w:sz="0" w:space="0" w:color="auto"/>
                      </w:divBdr>
                      <w:divsChild>
                        <w:div w:id="601111093">
                          <w:marLeft w:val="0"/>
                          <w:marRight w:val="0"/>
                          <w:marTop w:val="0"/>
                          <w:marBottom w:val="0"/>
                          <w:divBdr>
                            <w:top w:val="none" w:sz="0" w:space="0" w:color="auto"/>
                            <w:left w:val="none" w:sz="0" w:space="0" w:color="auto"/>
                            <w:bottom w:val="none" w:sz="0" w:space="0" w:color="auto"/>
                            <w:right w:val="none" w:sz="0" w:space="0" w:color="auto"/>
                          </w:divBdr>
                          <w:divsChild>
                            <w:div w:id="1210846193">
                              <w:marLeft w:val="2700"/>
                              <w:marRight w:val="3960"/>
                              <w:marTop w:val="0"/>
                              <w:marBottom w:val="0"/>
                              <w:divBdr>
                                <w:top w:val="none" w:sz="0" w:space="0" w:color="auto"/>
                                <w:left w:val="none" w:sz="0" w:space="0" w:color="auto"/>
                                <w:bottom w:val="none" w:sz="0" w:space="0" w:color="auto"/>
                                <w:right w:val="none" w:sz="0" w:space="0" w:color="auto"/>
                              </w:divBdr>
                              <w:divsChild>
                                <w:div w:id="663432007">
                                  <w:marLeft w:val="0"/>
                                  <w:marRight w:val="0"/>
                                  <w:marTop w:val="0"/>
                                  <w:marBottom w:val="0"/>
                                  <w:divBdr>
                                    <w:top w:val="none" w:sz="0" w:space="0" w:color="auto"/>
                                    <w:left w:val="none" w:sz="0" w:space="0" w:color="auto"/>
                                    <w:bottom w:val="none" w:sz="0" w:space="0" w:color="auto"/>
                                    <w:right w:val="none" w:sz="0" w:space="0" w:color="auto"/>
                                  </w:divBdr>
                                  <w:divsChild>
                                    <w:div w:id="1682659685">
                                      <w:marLeft w:val="0"/>
                                      <w:marRight w:val="0"/>
                                      <w:marTop w:val="0"/>
                                      <w:marBottom w:val="0"/>
                                      <w:divBdr>
                                        <w:top w:val="none" w:sz="0" w:space="0" w:color="auto"/>
                                        <w:left w:val="none" w:sz="0" w:space="0" w:color="auto"/>
                                        <w:bottom w:val="none" w:sz="0" w:space="0" w:color="auto"/>
                                        <w:right w:val="none" w:sz="0" w:space="0" w:color="auto"/>
                                      </w:divBdr>
                                      <w:divsChild>
                                        <w:div w:id="1694846760">
                                          <w:marLeft w:val="0"/>
                                          <w:marRight w:val="0"/>
                                          <w:marTop w:val="0"/>
                                          <w:marBottom w:val="0"/>
                                          <w:divBdr>
                                            <w:top w:val="none" w:sz="0" w:space="0" w:color="auto"/>
                                            <w:left w:val="none" w:sz="0" w:space="0" w:color="auto"/>
                                            <w:bottom w:val="none" w:sz="0" w:space="0" w:color="auto"/>
                                            <w:right w:val="none" w:sz="0" w:space="0" w:color="auto"/>
                                          </w:divBdr>
                                          <w:divsChild>
                                            <w:div w:id="1138306671">
                                              <w:marLeft w:val="0"/>
                                              <w:marRight w:val="0"/>
                                              <w:marTop w:val="90"/>
                                              <w:marBottom w:val="0"/>
                                              <w:divBdr>
                                                <w:top w:val="none" w:sz="0" w:space="0" w:color="auto"/>
                                                <w:left w:val="none" w:sz="0" w:space="0" w:color="auto"/>
                                                <w:bottom w:val="none" w:sz="0" w:space="0" w:color="auto"/>
                                                <w:right w:val="none" w:sz="0" w:space="0" w:color="auto"/>
                                              </w:divBdr>
                                              <w:divsChild>
                                                <w:div w:id="1103380376">
                                                  <w:marLeft w:val="0"/>
                                                  <w:marRight w:val="0"/>
                                                  <w:marTop w:val="0"/>
                                                  <w:marBottom w:val="405"/>
                                                  <w:divBdr>
                                                    <w:top w:val="none" w:sz="0" w:space="0" w:color="auto"/>
                                                    <w:left w:val="none" w:sz="0" w:space="0" w:color="auto"/>
                                                    <w:bottom w:val="none" w:sz="0" w:space="0" w:color="auto"/>
                                                    <w:right w:val="none" w:sz="0" w:space="0" w:color="auto"/>
                                                  </w:divBdr>
                                                  <w:divsChild>
                                                    <w:div w:id="608973472">
                                                      <w:marLeft w:val="0"/>
                                                      <w:marRight w:val="0"/>
                                                      <w:marTop w:val="0"/>
                                                      <w:marBottom w:val="0"/>
                                                      <w:divBdr>
                                                        <w:top w:val="none" w:sz="0" w:space="0" w:color="auto"/>
                                                        <w:left w:val="none" w:sz="0" w:space="0" w:color="auto"/>
                                                        <w:bottom w:val="none" w:sz="0" w:space="0" w:color="auto"/>
                                                        <w:right w:val="none" w:sz="0" w:space="0" w:color="auto"/>
                                                      </w:divBdr>
                                                      <w:divsChild>
                                                        <w:div w:id="419566120">
                                                          <w:marLeft w:val="0"/>
                                                          <w:marRight w:val="0"/>
                                                          <w:marTop w:val="0"/>
                                                          <w:marBottom w:val="0"/>
                                                          <w:divBdr>
                                                            <w:top w:val="single" w:sz="6" w:space="0" w:color="DFE1E5"/>
                                                            <w:left w:val="single" w:sz="6" w:space="0" w:color="DFE1E5"/>
                                                            <w:bottom w:val="single" w:sz="6" w:space="0" w:color="DFE1E5"/>
                                                            <w:right w:val="single" w:sz="6" w:space="0" w:color="DFE1E5"/>
                                                          </w:divBdr>
                                                          <w:divsChild>
                                                            <w:div w:id="945313031">
                                                              <w:marLeft w:val="0"/>
                                                              <w:marRight w:val="0"/>
                                                              <w:marTop w:val="0"/>
                                                              <w:marBottom w:val="0"/>
                                                              <w:divBdr>
                                                                <w:top w:val="none" w:sz="0" w:space="0" w:color="auto"/>
                                                                <w:left w:val="none" w:sz="0" w:space="0" w:color="auto"/>
                                                                <w:bottom w:val="none" w:sz="0" w:space="0" w:color="auto"/>
                                                                <w:right w:val="none" w:sz="0" w:space="0" w:color="auto"/>
                                                              </w:divBdr>
                                                              <w:divsChild>
                                                                <w:div w:id="898710277">
                                                                  <w:marLeft w:val="0"/>
                                                                  <w:marRight w:val="0"/>
                                                                  <w:marTop w:val="0"/>
                                                                  <w:marBottom w:val="0"/>
                                                                  <w:divBdr>
                                                                    <w:top w:val="none" w:sz="0" w:space="0" w:color="auto"/>
                                                                    <w:left w:val="none" w:sz="0" w:space="0" w:color="auto"/>
                                                                    <w:bottom w:val="none" w:sz="0" w:space="0" w:color="auto"/>
                                                                    <w:right w:val="none" w:sz="0" w:space="0" w:color="auto"/>
                                                                  </w:divBdr>
                                                                  <w:divsChild>
                                                                    <w:div w:id="424107603">
                                                                      <w:marLeft w:val="0"/>
                                                                      <w:marRight w:val="0"/>
                                                                      <w:marTop w:val="0"/>
                                                                      <w:marBottom w:val="0"/>
                                                                      <w:divBdr>
                                                                        <w:top w:val="none" w:sz="0" w:space="0" w:color="auto"/>
                                                                        <w:left w:val="none" w:sz="0" w:space="0" w:color="auto"/>
                                                                        <w:bottom w:val="none" w:sz="0" w:space="0" w:color="auto"/>
                                                                        <w:right w:val="none" w:sz="0" w:space="0" w:color="auto"/>
                                                                      </w:divBdr>
                                                                      <w:divsChild>
                                                                        <w:div w:id="1317876563">
                                                                          <w:marLeft w:val="0"/>
                                                                          <w:marRight w:val="0"/>
                                                                          <w:marTop w:val="0"/>
                                                                          <w:marBottom w:val="0"/>
                                                                          <w:divBdr>
                                                                            <w:top w:val="none" w:sz="0" w:space="0" w:color="auto"/>
                                                                            <w:left w:val="none" w:sz="0" w:space="0" w:color="auto"/>
                                                                            <w:bottom w:val="none" w:sz="0" w:space="0" w:color="auto"/>
                                                                            <w:right w:val="none" w:sz="0" w:space="0" w:color="auto"/>
                                                                          </w:divBdr>
                                                                          <w:divsChild>
                                                                            <w:div w:id="2053000550">
                                                                              <w:marLeft w:val="0"/>
                                                                              <w:marRight w:val="0"/>
                                                                              <w:marTop w:val="0"/>
                                                                              <w:marBottom w:val="0"/>
                                                                              <w:divBdr>
                                                                                <w:top w:val="none" w:sz="0" w:space="0" w:color="auto"/>
                                                                                <w:left w:val="none" w:sz="0" w:space="0" w:color="auto"/>
                                                                                <w:bottom w:val="none" w:sz="0" w:space="0" w:color="auto"/>
                                                                                <w:right w:val="none" w:sz="0" w:space="0" w:color="auto"/>
                                                                              </w:divBdr>
                                                                              <w:divsChild>
                                                                                <w:div w:id="582566900">
                                                                                  <w:marLeft w:val="0"/>
                                                                                  <w:marRight w:val="0"/>
                                                                                  <w:marTop w:val="0"/>
                                                                                  <w:marBottom w:val="0"/>
                                                                                  <w:divBdr>
                                                                                    <w:top w:val="none" w:sz="0" w:space="0" w:color="auto"/>
                                                                                    <w:left w:val="none" w:sz="0" w:space="0" w:color="auto"/>
                                                                                    <w:bottom w:val="none" w:sz="0" w:space="0" w:color="auto"/>
                                                                                    <w:right w:val="none" w:sz="0" w:space="0" w:color="auto"/>
                                                                                  </w:divBdr>
                                                                                  <w:divsChild>
                                                                                    <w:div w:id="2456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microsoft.com/office/2007/relationships/diagramDrawing" Target="diagrams/drawing1.xml"/><Relationship Id="rId26" Type="http://schemas.openxmlformats.org/officeDocument/2006/relationships/chart" Target="charts/chart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chart" Target="charts/chart14.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diagramColors" Target="diagrams/colors1.xml"/><Relationship Id="rId25" Type="http://schemas.openxmlformats.org/officeDocument/2006/relationships/chart" Target="charts/chart5.xml"/><Relationship Id="rId33" Type="http://schemas.openxmlformats.org/officeDocument/2006/relationships/chart" Target="charts/chart13.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3.png"/><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chart" Target="charts/chart4.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chart" Target="charts/chart16.xml"/><Relationship Id="rId10" Type="http://schemas.openxmlformats.org/officeDocument/2006/relationships/footer" Target="footer2.xml"/><Relationship Id="rId19" Type="http://schemas.openxmlformats.org/officeDocument/2006/relationships/image" Target="media/image2.png"/><Relationship Id="rId31" Type="http://schemas.openxmlformats.org/officeDocument/2006/relationships/chart" Target="charts/chart1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chart" Target="charts/chart15.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iarioz\AppData\Local\Microsoft\Windows\INetCache\Content.Outlook\MMS3A39J\kurul%20kararlar&#305;%20verisi%20ing.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skucukcapraz\Desktop\&#246;zel\2019%20Y&#305;l&#305;%20Faaliyet%20Raporu%20Dosyas&#305;\Kamula&#351;t&#305;rm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7.xml.rels><?xml version="1.0" encoding="UTF-8" standalone="yes"?>
<Relationships xmlns="http://schemas.openxmlformats.org/package/2006/relationships"><Relationship Id="rId1" Type="http://schemas.openxmlformats.org/officeDocument/2006/relationships/oleObject" Target="file:///G:\Grafikler.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G:\Grafikler.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Pc\Desktop\Grafikler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Sayfa5!$L$1:$L$2</c:f>
              <c:strCache>
                <c:ptCount val="2"/>
                <c:pt idx="0">
                  <c:v>2015</c:v>
                </c:pt>
              </c:strCache>
            </c:strRef>
          </c:tx>
          <c:invertIfNegative val="0"/>
          <c:cat>
            <c:strRef>
              <c:f>Sayfa5!$K$3:$K$14</c:f>
              <c:strCache>
                <c:ptCount val="12"/>
                <c:pt idx="0">
                  <c:v>AD</c:v>
                </c:pt>
                <c:pt idx="1">
                  <c:v>EMD</c:v>
                </c:pt>
                <c:pt idx="2">
                  <c:v>ED</c:v>
                </c:pt>
                <c:pt idx="3">
                  <c:v>TD</c:v>
                </c:pt>
                <c:pt idx="4">
                  <c:v>PMD</c:v>
                </c:pt>
                <c:pt idx="5">
                  <c:v>NMD</c:v>
                </c:pt>
                <c:pt idx="6">
                  <c:v>LMD</c:v>
                </c:pt>
                <c:pt idx="7">
                  <c:v>HRD</c:v>
                </c:pt>
                <c:pt idx="8">
                  <c:v>SDD</c:v>
                </c:pt>
                <c:pt idx="9">
                  <c:v>LD</c:v>
                </c:pt>
                <c:pt idx="10">
                  <c:v>ITD</c:v>
                </c:pt>
                <c:pt idx="11">
                  <c:v>SBB</c:v>
                </c:pt>
              </c:strCache>
            </c:strRef>
          </c:cat>
          <c:val>
            <c:numRef>
              <c:f>Sayfa5!$L$3:$L$14</c:f>
              <c:numCache>
                <c:formatCode>#,##0</c:formatCode>
                <c:ptCount val="12"/>
                <c:pt idx="0">
                  <c:v>3163</c:v>
                </c:pt>
                <c:pt idx="1">
                  <c:v>1676</c:v>
                </c:pt>
                <c:pt idx="2" formatCode="General">
                  <c:v>658</c:v>
                </c:pt>
                <c:pt idx="3" formatCode="General">
                  <c:v>588</c:v>
                </c:pt>
                <c:pt idx="4" formatCode="General">
                  <c:v>245</c:v>
                </c:pt>
                <c:pt idx="5" formatCode="General">
                  <c:v>293</c:v>
                </c:pt>
                <c:pt idx="6" formatCode="General">
                  <c:v>39</c:v>
                </c:pt>
                <c:pt idx="7" formatCode="General">
                  <c:v>35</c:v>
                </c:pt>
                <c:pt idx="8" formatCode="General">
                  <c:v>28</c:v>
                </c:pt>
                <c:pt idx="9" formatCode="General">
                  <c:v>1</c:v>
                </c:pt>
                <c:pt idx="11" formatCode="General">
                  <c:v>3</c:v>
                </c:pt>
              </c:numCache>
            </c:numRef>
          </c:val>
          <c:extLst xmlns:c16r2="http://schemas.microsoft.com/office/drawing/2015/06/chart">
            <c:ext xmlns:c16="http://schemas.microsoft.com/office/drawing/2014/chart" uri="{C3380CC4-5D6E-409C-BE32-E72D297353CC}">
              <c16:uniqueId val="{00000000-E3DA-4FFA-90C7-167885898337}"/>
            </c:ext>
          </c:extLst>
        </c:ser>
        <c:ser>
          <c:idx val="1"/>
          <c:order val="1"/>
          <c:tx>
            <c:strRef>
              <c:f>Sayfa5!$M$1:$M$2</c:f>
              <c:strCache>
                <c:ptCount val="2"/>
                <c:pt idx="0">
                  <c:v>2016</c:v>
                </c:pt>
              </c:strCache>
            </c:strRef>
          </c:tx>
          <c:invertIfNegative val="0"/>
          <c:cat>
            <c:strRef>
              <c:f>Sayfa5!$K$3:$K$14</c:f>
              <c:strCache>
                <c:ptCount val="12"/>
                <c:pt idx="0">
                  <c:v>AD</c:v>
                </c:pt>
                <c:pt idx="1">
                  <c:v>EMD</c:v>
                </c:pt>
                <c:pt idx="2">
                  <c:v>ED</c:v>
                </c:pt>
                <c:pt idx="3">
                  <c:v>TD</c:v>
                </c:pt>
                <c:pt idx="4">
                  <c:v>PMD</c:v>
                </c:pt>
                <c:pt idx="5">
                  <c:v>NMD</c:v>
                </c:pt>
                <c:pt idx="6">
                  <c:v>LMD</c:v>
                </c:pt>
                <c:pt idx="7">
                  <c:v>HRD</c:v>
                </c:pt>
                <c:pt idx="8">
                  <c:v>SDD</c:v>
                </c:pt>
                <c:pt idx="9">
                  <c:v>LD</c:v>
                </c:pt>
                <c:pt idx="10">
                  <c:v>ITD</c:v>
                </c:pt>
                <c:pt idx="11">
                  <c:v>SBB</c:v>
                </c:pt>
              </c:strCache>
            </c:strRef>
          </c:cat>
          <c:val>
            <c:numRef>
              <c:f>Sayfa5!$M$3:$M$14</c:f>
              <c:numCache>
                <c:formatCode>#,##0</c:formatCode>
                <c:ptCount val="12"/>
                <c:pt idx="0">
                  <c:v>4377</c:v>
                </c:pt>
                <c:pt idx="1">
                  <c:v>1214</c:v>
                </c:pt>
                <c:pt idx="2" formatCode="General">
                  <c:v>698</c:v>
                </c:pt>
                <c:pt idx="3" formatCode="General">
                  <c:v>637</c:v>
                </c:pt>
                <c:pt idx="4" formatCode="General">
                  <c:v>381</c:v>
                </c:pt>
                <c:pt idx="5" formatCode="General">
                  <c:v>280</c:v>
                </c:pt>
                <c:pt idx="6" formatCode="General">
                  <c:v>63</c:v>
                </c:pt>
                <c:pt idx="7" formatCode="General">
                  <c:v>20</c:v>
                </c:pt>
                <c:pt idx="8" formatCode="General">
                  <c:v>21</c:v>
                </c:pt>
                <c:pt idx="9" formatCode="General">
                  <c:v>1</c:v>
                </c:pt>
                <c:pt idx="11" formatCode="General">
                  <c:v>1</c:v>
                </c:pt>
              </c:numCache>
            </c:numRef>
          </c:val>
          <c:extLst xmlns:c16r2="http://schemas.microsoft.com/office/drawing/2015/06/chart">
            <c:ext xmlns:c16="http://schemas.microsoft.com/office/drawing/2014/chart" uri="{C3380CC4-5D6E-409C-BE32-E72D297353CC}">
              <c16:uniqueId val="{00000001-E3DA-4FFA-90C7-167885898337}"/>
            </c:ext>
          </c:extLst>
        </c:ser>
        <c:ser>
          <c:idx val="2"/>
          <c:order val="2"/>
          <c:tx>
            <c:strRef>
              <c:f>Sayfa5!$N$1:$N$2</c:f>
              <c:strCache>
                <c:ptCount val="2"/>
                <c:pt idx="0">
                  <c:v>2017</c:v>
                </c:pt>
              </c:strCache>
            </c:strRef>
          </c:tx>
          <c:invertIfNegative val="0"/>
          <c:cat>
            <c:strRef>
              <c:f>Sayfa5!$K$3:$K$14</c:f>
              <c:strCache>
                <c:ptCount val="12"/>
                <c:pt idx="0">
                  <c:v>AD</c:v>
                </c:pt>
                <c:pt idx="1">
                  <c:v>EMD</c:v>
                </c:pt>
                <c:pt idx="2">
                  <c:v>ED</c:v>
                </c:pt>
                <c:pt idx="3">
                  <c:v>TD</c:v>
                </c:pt>
                <c:pt idx="4">
                  <c:v>PMD</c:v>
                </c:pt>
                <c:pt idx="5">
                  <c:v>NMD</c:v>
                </c:pt>
                <c:pt idx="6">
                  <c:v>LMD</c:v>
                </c:pt>
                <c:pt idx="7">
                  <c:v>HRD</c:v>
                </c:pt>
                <c:pt idx="8">
                  <c:v>SDD</c:v>
                </c:pt>
                <c:pt idx="9">
                  <c:v>LD</c:v>
                </c:pt>
                <c:pt idx="10">
                  <c:v>ITD</c:v>
                </c:pt>
                <c:pt idx="11">
                  <c:v>SBB</c:v>
                </c:pt>
              </c:strCache>
            </c:strRef>
          </c:cat>
          <c:val>
            <c:numRef>
              <c:f>Sayfa5!$N$3:$N$14</c:f>
              <c:numCache>
                <c:formatCode>#,##0</c:formatCode>
                <c:ptCount val="12"/>
                <c:pt idx="0">
                  <c:v>2382</c:v>
                </c:pt>
                <c:pt idx="1">
                  <c:v>1878</c:v>
                </c:pt>
                <c:pt idx="2" formatCode="General">
                  <c:v>1010</c:v>
                </c:pt>
                <c:pt idx="3" formatCode="General">
                  <c:v>525</c:v>
                </c:pt>
                <c:pt idx="4" formatCode="General">
                  <c:v>334</c:v>
                </c:pt>
                <c:pt idx="5" formatCode="General">
                  <c:v>364</c:v>
                </c:pt>
                <c:pt idx="6" formatCode="General">
                  <c:v>116</c:v>
                </c:pt>
                <c:pt idx="7" formatCode="General">
                  <c:v>35</c:v>
                </c:pt>
                <c:pt idx="8" formatCode="General">
                  <c:v>29</c:v>
                </c:pt>
                <c:pt idx="9" formatCode="General">
                  <c:v>0</c:v>
                </c:pt>
                <c:pt idx="11" formatCode="General">
                  <c:v>0</c:v>
                </c:pt>
              </c:numCache>
            </c:numRef>
          </c:val>
          <c:extLst xmlns:c16r2="http://schemas.microsoft.com/office/drawing/2015/06/chart">
            <c:ext xmlns:c16="http://schemas.microsoft.com/office/drawing/2014/chart" uri="{C3380CC4-5D6E-409C-BE32-E72D297353CC}">
              <c16:uniqueId val="{00000002-E3DA-4FFA-90C7-167885898337}"/>
            </c:ext>
          </c:extLst>
        </c:ser>
        <c:ser>
          <c:idx val="3"/>
          <c:order val="3"/>
          <c:tx>
            <c:strRef>
              <c:f>Sayfa5!$O$1:$O$2</c:f>
              <c:strCache>
                <c:ptCount val="2"/>
                <c:pt idx="0">
                  <c:v>2018</c:v>
                </c:pt>
              </c:strCache>
            </c:strRef>
          </c:tx>
          <c:invertIfNegative val="0"/>
          <c:cat>
            <c:strRef>
              <c:f>Sayfa5!$K$3:$K$14</c:f>
              <c:strCache>
                <c:ptCount val="12"/>
                <c:pt idx="0">
                  <c:v>AD</c:v>
                </c:pt>
                <c:pt idx="1">
                  <c:v>EMD</c:v>
                </c:pt>
                <c:pt idx="2">
                  <c:v>ED</c:v>
                </c:pt>
                <c:pt idx="3">
                  <c:v>TD</c:v>
                </c:pt>
                <c:pt idx="4">
                  <c:v>PMD</c:v>
                </c:pt>
                <c:pt idx="5">
                  <c:v>NMD</c:v>
                </c:pt>
                <c:pt idx="6">
                  <c:v>LMD</c:v>
                </c:pt>
                <c:pt idx="7">
                  <c:v>HRD</c:v>
                </c:pt>
                <c:pt idx="8">
                  <c:v>SDD</c:v>
                </c:pt>
                <c:pt idx="9">
                  <c:v>LD</c:v>
                </c:pt>
                <c:pt idx="10">
                  <c:v>ITD</c:v>
                </c:pt>
                <c:pt idx="11">
                  <c:v>SBB</c:v>
                </c:pt>
              </c:strCache>
            </c:strRef>
          </c:cat>
          <c:val>
            <c:numRef>
              <c:f>Sayfa5!$O$3:$O$14</c:f>
              <c:numCache>
                <c:formatCode>#,##0</c:formatCode>
                <c:ptCount val="12"/>
                <c:pt idx="0">
                  <c:v>3044</c:v>
                </c:pt>
                <c:pt idx="1">
                  <c:v>2049</c:v>
                </c:pt>
                <c:pt idx="2" formatCode="General">
                  <c:v>2100</c:v>
                </c:pt>
                <c:pt idx="3" formatCode="General">
                  <c:v>546</c:v>
                </c:pt>
                <c:pt idx="4" formatCode="General">
                  <c:v>295</c:v>
                </c:pt>
                <c:pt idx="5" formatCode="General">
                  <c:v>183</c:v>
                </c:pt>
                <c:pt idx="6" formatCode="General">
                  <c:v>86</c:v>
                </c:pt>
                <c:pt idx="7" formatCode="General">
                  <c:v>38</c:v>
                </c:pt>
                <c:pt idx="8" formatCode="General">
                  <c:v>24</c:v>
                </c:pt>
                <c:pt idx="9" formatCode="General">
                  <c:v>1</c:v>
                </c:pt>
                <c:pt idx="11" formatCode="General">
                  <c:v>0</c:v>
                </c:pt>
              </c:numCache>
            </c:numRef>
          </c:val>
          <c:extLst xmlns:c16r2="http://schemas.microsoft.com/office/drawing/2015/06/chart">
            <c:ext xmlns:c16="http://schemas.microsoft.com/office/drawing/2014/chart" uri="{C3380CC4-5D6E-409C-BE32-E72D297353CC}">
              <c16:uniqueId val="{00000003-E3DA-4FFA-90C7-167885898337}"/>
            </c:ext>
          </c:extLst>
        </c:ser>
        <c:ser>
          <c:idx val="4"/>
          <c:order val="4"/>
          <c:tx>
            <c:strRef>
              <c:f>Sayfa5!$P$1:$P$2</c:f>
              <c:strCache>
                <c:ptCount val="2"/>
                <c:pt idx="0">
                  <c:v>2019</c:v>
                </c:pt>
              </c:strCache>
            </c:strRef>
          </c:tx>
          <c:invertIfNegative val="0"/>
          <c:cat>
            <c:strRef>
              <c:f>Sayfa5!$K$3:$K$14</c:f>
              <c:strCache>
                <c:ptCount val="12"/>
                <c:pt idx="0">
                  <c:v>AD</c:v>
                </c:pt>
                <c:pt idx="1">
                  <c:v>EMD</c:v>
                </c:pt>
                <c:pt idx="2">
                  <c:v>ED</c:v>
                </c:pt>
                <c:pt idx="3">
                  <c:v>TD</c:v>
                </c:pt>
                <c:pt idx="4">
                  <c:v>PMD</c:v>
                </c:pt>
                <c:pt idx="5">
                  <c:v>NMD</c:v>
                </c:pt>
                <c:pt idx="6">
                  <c:v>LMD</c:v>
                </c:pt>
                <c:pt idx="7">
                  <c:v>HRD</c:v>
                </c:pt>
                <c:pt idx="8">
                  <c:v>SDD</c:v>
                </c:pt>
                <c:pt idx="9">
                  <c:v>LD</c:v>
                </c:pt>
                <c:pt idx="10">
                  <c:v>ITD</c:v>
                </c:pt>
                <c:pt idx="11">
                  <c:v>SBB</c:v>
                </c:pt>
              </c:strCache>
            </c:strRef>
          </c:cat>
          <c:val>
            <c:numRef>
              <c:f>Sayfa5!$P$3:$P$14</c:f>
              <c:numCache>
                <c:formatCode>#,##0</c:formatCode>
                <c:ptCount val="12"/>
                <c:pt idx="0">
                  <c:v>2125</c:v>
                </c:pt>
                <c:pt idx="1">
                  <c:v>2211</c:v>
                </c:pt>
                <c:pt idx="2" formatCode="General">
                  <c:v>3996</c:v>
                </c:pt>
                <c:pt idx="3" formatCode="General">
                  <c:v>524</c:v>
                </c:pt>
                <c:pt idx="4" formatCode="General">
                  <c:v>269</c:v>
                </c:pt>
                <c:pt idx="5" formatCode="General">
                  <c:v>160</c:v>
                </c:pt>
                <c:pt idx="6" formatCode="General">
                  <c:v>50</c:v>
                </c:pt>
                <c:pt idx="7" formatCode="General">
                  <c:v>33</c:v>
                </c:pt>
                <c:pt idx="8" formatCode="General">
                  <c:v>26</c:v>
                </c:pt>
                <c:pt idx="9" formatCode="General">
                  <c:v>2</c:v>
                </c:pt>
                <c:pt idx="10" formatCode="General">
                  <c:v>1</c:v>
                </c:pt>
                <c:pt idx="11" formatCode="General">
                  <c:v>1</c:v>
                </c:pt>
              </c:numCache>
            </c:numRef>
          </c:val>
          <c:extLst xmlns:c16r2="http://schemas.microsoft.com/office/drawing/2015/06/chart">
            <c:ext xmlns:c16="http://schemas.microsoft.com/office/drawing/2014/chart" uri="{C3380CC4-5D6E-409C-BE32-E72D297353CC}">
              <c16:uniqueId val="{00000004-E3DA-4FFA-90C7-167885898337}"/>
            </c:ext>
          </c:extLst>
        </c:ser>
        <c:dLbls>
          <c:showLegendKey val="0"/>
          <c:showVal val="0"/>
          <c:showCatName val="0"/>
          <c:showSerName val="0"/>
          <c:showPercent val="0"/>
          <c:showBubbleSize val="0"/>
        </c:dLbls>
        <c:gapWidth val="150"/>
        <c:axId val="274635008"/>
        <c:axId val="274637184"/>
      </c:barChart>
      <c:catAx>
        <c:axId val="274635008"/>
        <c:scaling>
          <c:orientation val="minMax"/>
        </c:scaling>
        <c:delete val="0"/>
        <c:axPos val="b"/>
        <c:title>
          <c:tx>
            <c:rich>
              <a:bodyPr/>
              <a:lstStyle/>
              <a:p>
                <a:pPr>
                  <a:defRPr sz="1100"/>
                </a:pPr>
                <a:r>
                  <a:rPr lang="tr-TR" sz="1100" b="1" i="0" baseline="0">
                    <a:effectLst/>
                  </a:rPr>
                  <a:t>Service Unit</a:t>
                </a:r>
                <a:endParaRPr lang="tr-TR" sz="1100">
                  <a:effectLst/>
                </a:endParaRPr>
              </a:p>
            </c:rich>
          </c:tx>
          <c:overlay val="0"/>
        </c:title>
        <c:numFmt formatCode="General" sourceLinked="0"/>
        <c:majorTickMark val="none"/>
        <c:minorTickMark val="none"/>
        <c:tickLblPos val="nextTo"/>
        <c:crossAx val="274637184"/>
        <c:crosses val="autoZero"/>
        <c:auto val="1"/>
        <c:lblAlgn val="ctr"/>
        <c:lblOffset val="100"/>
        <c:noMultiLvlLbl val="0"/>
      </c:catAx>
      <c:valAx>
        <c:axId val="274637184"/>
        <c:scaling>
          <c:orientation val="minMax"/>
        </c:scaling>
        <c:delete val="0"/>
        <c:axPos val="l"/>
        <c:majorGridlines/>
        <c:title>
          <c:tx>
            <c:rich>
              <a:bodyPr/>
              <a:lstStyle/>
              <a:p>
                <a:pPr>
                  <a:defRPr sz="1100"/>
                </a:pPr>
                <a:r>
                  <a:rPr lang="tr-TR" sz="1100" b="1" i="0" baseline="0">
                    <a:effectLst/>
                  </a:rPr>
                  <a:t>Number of Board Desicion</a:t>
                </a:r>
                <a:endParaRPr lang="tr-TR" sz="1100">
                  <a:effectLst/>
                </a:endParaRPr>
              </a:p>
            </c:rich>
          </c:tx>
          <c:overlay val="0"/>
        </c:title>
        <c:numFmt formatCode="#,##0" sourceLinked="1"/>
        <c:majorTickMark val="out"/>
        <c:minorTickMark val="none"/>
        <c:tickLblPos val="nextTo"/>
        <c:crossAx val="274635008"/>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Sayfa1!$A$1:$A$10</c:f>
              <c:strCache>
                <c:ptCount val="10"/>
                <c:pt idx="0">
                  <c:v>Public İnterest Decision</c:v>
                </c:pt>
                <c:pt idx="1">
                  <c:v>TF+IPDS easement</c:v>
                </c:pt>
                <c:pt idx="2">
                  <c:v>30. Article</c:v>
                </c:pt>
                <c:pt idx="3">
                  <c:v>Urgent decisions Of Public Interest</c:v>
                </c:pt>
                <c:pt idx="4">
                  <c:v>Cancellation-Amendment-Other</c:v>
                </c:pt>
                <c:pt idx="5">
                  <c:v>Agricultural Permit+Büyükova</c:v>
                </c:pt>
                <c:pt idx="6">
                  <c:v>TF+IPDS Leasing</c:v>
                </c:pt>
                <c:pt idx="7">
                  <c:v>Free easement</c:v>
                </c:pt>
                <c:pt idx="8">
                  <c:v>Expropration</c:v>
                </c:pt>
                <c:pt idx="9">
                  <c:v>Necessity</c:v>
                </c:pt>
              </c:strCache>
            </c:strRef>
          </c:cat>
          <c:val>
            <c:numRef>
              <c:f>Sayfa1!$B$1:$B$10</c:f>
              <c:numCache>
                <c:formatCode>General</c:formatCode>
                <c:ptCount val="10"/>
                <c:pt idx="0">
                  <c:v>1313</c:v>
                </c:pt>
                <c:pt idx="1">
                  <c:v>1226</c:v>
                </c:pt>
                <c:pt idx="2">
                  <c:v>1153</c:v>
                </c:pt>
                <c:pt idx="3">
                  <c:v>98</c:v>
                </c:pt>
                <c:pt idx="4">
                  <c:v>66</c:v>
                </c:pt>
                <c:pt idx="5">
                  <c:v>53</c:v>
                </c:pt>
                <c:pt idx="6">
                  <c:v>42</c:v>
                </c:pt>
                <c:pt idx="7">
                  <c:v>21</c:v>
                </c:pt>
                <c:pt idx="8">
                  <c:v>17</c:v>
                </c:pt>
                <c:pt idx="9">
                  <c:v>7</c:v>
                </c:pt>
              </c:numCache>
            </c:numRef>
          </c:val>
          <c:extLst xmlns:c16r2="http://schemas.microsoft.com/office/drawing/2015/06/chart">
            <c:ext xmlns:c16="http://schemas.microsoft.com/office/drawing/2014/chart" uri="{C3380CC4-5D6E-409C-BE32-E72D297353CC}">
              <c16:uniqueId val="{00000000-D118-409E-BD6C-F4364E64DB51}"/>
            </c:ext>
          </c:extLst>
        </c:ser>
        <c:dLbls>
          <c:showLegendKey val="0"/>
          <c:showVal val="0"/>
          <c:showCatName val="0"/>
          <c:showSerName val="0"/>
          <c:showPercent val="0"/>
          <c:showBubbleSize val="0"/>
        </c:dLbls>
        <c:gapWidth val="219"/>
        <c:overlap val="-27"/>
        <c:axId val="325359872"/>
        <c:axId val="325361664"/>
      </c:barChart>
      <c:catAx>
        <c:axId val="32535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5361664"/>
        <c:crosses val="autoZero"/>
        <c:auto val="1"/>
        <c:lblAlgn val="ctr"/>
        <c:lblOffset val="100"/>
        <c:noMultiLvlLbl val="0"/>
      </c:catAx>
      <c:valAx>
        <c:axId val="325361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5359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dLbls>
            <c:numFmt formatCode="General" sourceLinked="0"/>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Sayfa18!$A$1:$A$4</c:f>
              <c:strCache>
                <c:ptCount val="4"/>
                <c:pt idx="0">
                  <c:v>Elektricity Distribution</c:v>
                </c:pt>
                <c:pt idx="1">
                  <c:v>Electricity Generation</c:v>
                </c:pt>
                <c:pt idx="2">
                  <c:v>Natural Gas Distribution</c:v>
                </c:pt>
                <c:pt idx="3">
                  <c:v>Other</c:v>
                </c:pt>
              </c:strCache>
            </c:strRef>
          </c:cat>
          <c:val>
            <c:numRef>
              <c:f>Sayfa18!$B$1:$B$4</c:f>
              <c:numCache>
                <c:formatCode>General</c:formatCode>
                <c:ptCount val="4"/>
                <c:pt idx="0">
                  <c:v>3587</c:v>
                </c:pt>
                <c:pt idx="1">
                  <c:v>361</c:v>
                </c:pt>
                <c:pt idx="2">
                  <c:v>41</c:v>
                </c:pt>
                <c:pt idx="3">
                  <c:v>7</c:v>
                </c:pt>
              </c:numCache>
            </c:numRef>
          </c:val>
          <c:extLst xmlns:c16r2="http://schemas.microsoft.com/office/drawing/2015/06/chart">
            <c:ext xmlns:c16="http://schemas.microsoft.com/office/drawing/2014/chart" uri="{C3380CC4-5D6E-409C-BE32-E72D297353CC}">
              <c16:uniqueId val="{00000000-8486-4F9A-BABC-B42577510415}"/>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Sayfa1!$B$1</c:f>
              <c:strCache>
                <c:ptCount val="1"/>
                <c:pt idx="0">
                  <c:v>2017</c:v>
                </c:pt>
              </c:strCache>
            </c:strRef>
          </c:tx>
          <c:invertIfNegative val="0"/>
          <c:cat>
            <c:strRef>
              <c:f>Sayfa1!$A$2:$A$8</c:f>
              <c:strCache>
                <c:ptCount val="7"/>
                <c:pt idx="0">
                  <c:v>Electricity</c:v>
                </c:pt>
                <c:pt idx="1">
                  <c:v>Natural Gas</c:v>
                </c:pt>
                <c:pt idx="2">
                  <c:v>Petroleum</c:v>
                </c:pt>
                <c:pt idx="3">
                  <c:v>Lpg</c:v>
                </c:pt>
                <c:pt idx="4">
                  <c:v>Expropration</c:v>
                </c:pt>
                <c:pt idx="5">
                  <c:v>Other</c:v>
                </c:pt>
                <c:pt idx="6">
                  <c:v>Total</c:v>
                </c:pt>
              </c:strCache>
            </c:strRef>
          </c:cat>
          <c:val>
            <c:numRef>
              <c:f>Sayfa1!$B$2:$B$8</c:f>
              <c:numCache>
                <c:formatCode>General</c:formatCode>
                <c:ptCount val="7"/>
                <c:pt idx="0">
                  <c:v>701</c:v>
                </c:pt>
                <c:pt idx="1">
                  <c:v>45</c:v>
                </c:pt>
                <c:pt idx="2" formatCode="#,##0">
                  <c:v>1825</c:v>
                </c:pt>
                <c:pt idx="3">
                  <c:v>177</c:v>
                </c:pt>
                <c:pt idx="4">
                  <c:v>151</c:v>
                </c:pt>
                <c:pt idx="5">
                  <c:v>59</c:v>
                </c:pt>
                <c:pt idx="6" formatCode="#,##0">
                  <c:v>2958</c:v>
                </c:pt>
              </c:numCache>
            </c:numRef>
          </c:val>
          <c:extLst xmlns:c16r2="http://schemas.microsoft.com/office/drawing/2015/06/chart">
            <c:ext xmlns:c16="http://schemas.microsoft.com/office/drawing/2014/chart" uri="{C3380CC4-5D6E-409C-BE32-E72D297353CC}">
              <c16:uniqueId val="{00000000-A505-4277-AF67-14F6FCA1011F}"/>
            </c:ext>
          </c:extLst>
        </c:ser>
        <c:ser>
          <c:idx val="1"/>
          <c:order val="1"/>
          <c:tx>
            <c:strRef>
              <c:f>Sayfa1!$C$1</c:f>
              <c:strCache>
                <c:ptCount val="1"/>
                <c:pt idx="0">
                  <c:v>2018</c:v>
                </c:pt>
              </c:strCache>
            </c:strRef>
          </c:tx>
          <c:spPr>
            <a:solidFill>
              <a:schemeClr val="bg2">
                <a:lumMod val="50000"/>
              </a:schemeClr>
            </a:solidFill>
          </c:spPr>
          <c:invertIfNegative val="0"/>
          <c:cat>
            <c:strRef>
              <c:f>Sayfa1!$A$2:$A$8</c:f>
              <c:strCache>
                <c:ptCount val="7"/>
                <c:pt idx="0">
                  <c:v>Electricity</c:v>
                </c:pt>
                <c:pt idx="1">
                  <c:v>Natural Gas</c:v>
                </c:pt>
                <c:pt idx="2">
                  <c:v>Petroleum</c:v>
                </c:pt>
                <c:pt idx="3">
                  <c:v>Lpg</c:v>
                </c:pt>
                <c:pt idx="4">
                  <c:v>Expropration</c:v>
                </c:pt>
                <c:pt idx="5">
                  <c:v>Other</c:v>
                </c:pt>
                <c:pt idx="6">
                  <c:v>Total</c:v>
                </c:pt>
              </c:strCache>
            </c:strRef>
          </c:cat>
          <c:val>
            <c:numRef>
              <c:f>Sayfa1!$C$2:$C$8</c:f>
              <c:numCache>
                <c:formatCode>General</c:formatCode>
                <c:ptCount val="7"/>
                <c:pt idx="0">
                  <c:v>601</c:v>
                </c:pt>
                <c:pt idx="1">
                  <c:v>38</c:v>
                </c:pt>
                <c:pt idx="2" formatCode="#,##0">
                  <c:v>1856</c:v>
                </c:pt>
                <c:pt idx="3">
                  <c:v>326</c:v>
                </c:pt>
                <c:pt idx="4">
                  <c:v>413</c:v>
                </c:pt>
                <c:pt idx="5">
                  <c:v>93</c:v>
                </c:pt>
                <c:pt idx="6" formatCode="#,##0">
                  <c:v>3327</c:v>
                </c:pt>
              </c:numCache>
            </c:numRef>
          </c:val>
          <c:extLst xmlns:c16r2="http://schemas.microsoft.com/office/drawing/2015/06/chart">
            <c:ext xmlns:c16="http://schemas.microsoft.com/office/drawing/2014/chart" uri="{C3380CC4-5D6E-409C-BE32-E72D297353CC}">
              <c16:uniqueId val="{00000001-A505-4277-AF67-14F6FCA1011F}"/>
            </c:ext>
          </c:extLst>
        </c:ser>
        <c:ser>
          <c:idx val="2"/>
          <c:order val="2"/>
          <c:tx>
            <c:strRef>
              <c:f>Sayfa1!$D$1</c:f>
              <c:strCache>
                <c:ptCount val="1"/>
                <c:pt idx="0">
                  <c:v>2019</c:v>
                </c:pt>
              </c:strCache>
            </c:strRef>
          </c:tx>
          <c:spPr>
            <a:solidFill>
              <a:schemeClr val="accent2"/>
            </a:solidFill>
          </c:spPr>
          <c:invertIfNegative val="0"/>
          <c:cat>
            <c:strRef>
              <c:f>Sayfa1!$A$2:$A$8</c:f>
              <c:strCache>
                <c:ptCount val="7"/>
                <c:pt idx="0">
                  <c:v>Electricity</c:v>
                </c:pt>
                <c:pt idx="1">
                  <c:v>Natural Gas</c:v>
                </c:pt>
                <c:pt idx="2">
                  <c:v>Petroleum</c:v>
                </c:pt>
                <c:pt idx="3">
                  <c:v>Lpg</c:v>
                </c:pt>
                <c:pt idx="4">
                  <c:v>Expropration</c:v>
                </c:pt>
                <c:pt idx="5">
                  <c:v>Other</c:v>
                </c:pt>
                <c:pt idx="6">
                  <c:v>Total</c:v>
                </c:pt>
              </c:strCache>
            </c:strRef>
          </c:cat>
          <c:val>
            <c:numRef>
              <c:f>Sayfa1!$D$2:$D$8</c:f>
              <c:numCache>
                <c:formatCode>General</c:formatCode>
                <c:ptCount val="7"/>
                <c:pt idx="0">
                  <c:v>524</c:v>
                </c:pt>
                <c:pt idx="1">
                  <c:v>18</c:v>
                </c:pt>
                <c:pt idx="2" formatCode="#,##0">
                  <c:v>1689</c:v>
                </c:pt>
                <c:pt idx="3">
                  <c:v>266</c:v>
                </c:pt>
                <c:pt idx="4">
                  <c:v>335</c:v>
                </c:pt>
                <c:pt idx="5">
                  <c:v>46</c:v>
                </c:pt>
                <c:pt idx="6" formatCode="#,##0">
                  <c:v>2878</c:v>
                </c:pt>
              </c:numCache>
            </c:numRef>
          </c:val>
          <c:extLst xmlns:c16r2="http://schemas.microsoft.com/office/drawing/2015/06/chart">
            <c:ext xmlns:c16="http://schemas.microsoft.com/office/drawing/2014/chart" uri="{C3380CC4-5D6E-409C-BE32-E72D297353CC}">
              <c16:uniqueId val="{00000002-A505-4277-AF67-14F6FCA1011F}"/>
            </c:ext>
          </c:extLst>
        </c:ser>
        <c:dLbls>
          <c:showLegendKey val="0"/>
          <c:showVal val="0"/>
          <c:showCatName val="0"/>
          <c:showSerName val="0"/>
          <c:showPercent val="0"/>
          <c:showBubbleSize val="0"/>
        </c:dLbls>
        <c:gapWidth val="150"/>
        <c:axId val="331305728"/>
        <c:axId val="331307264"/>
      </c:barChart>
      <c:catAx>
        <c:axId val="331305728"/>
        <c:scaling>
          <c:orientation val="minMax"/>
        </c:scaling>
        <c:delete val="0"/>
        <c:axPos val="b"/>
        <c:numFmt formatCode="General" sourceLinked="0"/>
        <c:majorTickMark val="none"/>
        <c:minorTickMark val="none"/>
        <c:tickLblPos val="nextTo"/>
        <c:crossAx val="331307264"/>
        <c:crosses val="autoZero"/>
        <c:auto val="1"/>
        <c:lblAlgn val="ctr"/>
        <c:lblOffset val="100"/>
        <c:noMultiLvlLbl val="0"/>
      </c:catAx>
      <c:valAx>
        <c:axId val="331307264"/>
        <c:scaling>
          <c:orientation val="minMax"/>
        </c:scaling>
        <c:delete val="0"/>
        <c:axPos val="l"/>
        <c:majorGridlines/>
        <c:numFmt formatCode="General" sourceLinked="1"/>
        <c:majorTickMark val="none"/>
        <c:minorTickMark val="none"/>
        <c:tickLblPos val="nextTo"/>
        <c:txPr>
          <a:bodyPr/>
          <a:lstStyle/>
          <a:p>
            <a:pPr>
              <a:defRPr sz="1050"/>
            </a:pPr>
            <a:endParaRPr lang="tr-TR"/>
          </a:p>
        </c:txPr>
        <c:crossAx val="331305728"/>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In favour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AAC-43AD-A710-4E1BF8BBC925}"/>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Sayfa1!$A$2:$A$4</c:f>
              <c:strCache>
                <c:ptCount val="3"/>
                <c:pt idx="0">
                  <c:v>Criminal Cases</c:v>
                </c:pt>
                <c:pt idx="1">
                  <c:v>Administrative Cases</c:v>
                </c:pt>
                <c:pt idx="2">
                  <c:v>Legal Cases</c:v>
                </c:pt>
              </c:strCache>
            </c:strRef>
          </c:cat>
          <c:val>
            <c:numRef>
              <c:f>Sayfa1!$B$2:$B$4</c:f>
              <c:numCache>
                <c:formatCode>#,##0</c:formatCode>
                <c:ptCount val="3"/>
                <c:pt idx="0">
                  <c:v>8175</c:v>
                </c:pt>
                <c:pt idx="1">
                  <c:v>10999</c:v>
                </c:pt>
                <c:pt idx="2" formatCode="General">
                  <c:v>152</c:v>
                </c:pt>
              </c:numCache>
            </c:numRef>
          </c:val>
          <c:extLst xmlns:c16r2="http://schemas.microsoft.com/office/drawing/2015/06/chart">
            <c:ext xmlns:c16="http://schemas.microsoft.com/office/drawing/2014/chart" uri="{C3380CC4-5D6E-409C-BE32-E72D297353CC}">
              <c16:uniqueId val="{00000001-DAAC-43AD-A710-4E1BF8BBC925}"/>
            </c:ext>
          </c:extLst>
        </c:ser>
        <c:ser>
          <c:idx val="1"/>
          <c:order val="1"/>
          <c:tx>
            <c:strRef>
              <c:f>Sayfa1!$C$1</c:f>
              <c:strCache>
                <c:ptCount val="1"/>
                <c:pt idx="0">
                  <c:v>Against</c:v>
                </c:pt>
              </c:strCache>
            </c:strRef>
          </c:tx>
          <c:invertIfNegative val="0"/>
          <c:dLbls>
            <c:dLbl>
              <c:idx val="2"/>
              <c:layout>
                <c:manualLayout>
                  <c:x val="0"/>
                  <c:y val="-5.350771458058137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AAC-43AD-A710-4E1BF8BBC925}"/>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Sayfa1!$A$2:$A$4</c:f>
              <c:strCache>
                <c:ptCount val="3"/>
                <c:pt idx="0">
                  <c:v>Criminal Cases</c:v>
                </c:pt>
                <c:pt idx="1">
                  <c:v>Administrative Cases</c:v>
                </c:pt>
                <c:pt idx="2">
                  <c:v>Legal Cases</c:v>
                </c:pt>
              </c:strCache>
            </c:strRef>
          </c:cat>
          <c:val>
            <c:numRef>
              <c:f>Sayfa1!$C$2:$C$4</c:f>
              <c:numCache>
                <c:formatCode>#,##0</c:formatCode>
                <c:ptCount val="3"/>
                <c:pt idx="0">
                  <c:v>1337</c:v>
                </c:pt>
                <c:pt idx="1">
                  <c:v>4055</c:v>
                </c:pt>
                <c:pt idx="2" formatCode="General">
                  <c:v>28</c:v>
                </c:pt>
              </c:numCache>
            </c:numRef>
          </c:val>
          <c:extLst xmlns:c16r2="http://schemas.microsoft.com/office/drawing/2015/06/chart">
            <c:ext xmlns:c16="http://schemas.microsoft.com/office/drawing/2014/chart" uri="{C3380CC4-5D6E-409C-BE32-E72D297353CC}">
              <c16:uniqueId val="{00000003-DAAC-43AD-A710-4E1BF8BBC925}"/>
            </c:ext>
          </c:extLst>
        </c:ser>
        <c:dLbls>
          <c:showLegendKey val="0"/>
          <c:showVal val="1"/>
          <c:showCatName val="0"/>
          <c:showSerName val="0"/>
          <c:showPercent val="0"/>
          <c:showBubbleSize val="0"/>
        </c:dLbls>
        <c:gapWidth val="75"/>
        <c:shape val="box"/>
        <c:axId val="331483776"/>
        <c:axId val="331485568"/>
        <c:axId val="0"/>
      </c:bar3DChart>
      <c:catAx>
        <c:axId val="331483776"/>
        <c:scaling>
          <c:orientation val="minMax"/>
        </c:scaling>
        <c:delete val="0"/>
        <c:axPos val="b"/>
        <c:numFmt formatCode="General" sourceLinked="0"/>
        <c:majorTickMark val="none"/>
        <c:minorTickMark val="none"/>
        <c:tickLblPos val="nextTo"/>
        <c:txPr>
          <a:bodyPr/>
          <a:lstStyle/>
          <a:p>
            <a:pPr>
              <a:defRPr sz="1050"/>
            </a:pPr>
            <a:endParaRPr lang="tr-TR"/>
          </a:p>
        </c:txPr>
        <c:crossAx val="331485568"/>
        <c:crosses val="autoZero"/>
        <c:auto val="1"/>
        <c:lblAlgn val="ctr"/>
        <c:lblOffset val="100"/>
        <c:noMultiLvlLbl val="0"/>
      </c:catAx>
      <c:valAx>
        <c:axId val="331485568"/>
        <c:scaling>
          <c:orientation val="minMax"/>
        </c:scaling>
        <c:delete val="0"/>
        <c:axPos val="l"/>
        <c:numFmt formatCode="#,##0" sourceLinked="1"/>
        <c:majorTickMark val="none"/>
        <c:minorTickMark val="none"/>
        <c:tickLblPos val="nextTo"/>
        <c:txPr>
          <a:bodyPr/>
          <a:lstStyle/>
          <a:p>
            <a:pPr>
              <a:defRPr sz="1000"/>
            </a:pPr>
            <a:endParaRPr lang="tr-TR"/>
          </a:p>
        </c:txPr>
        <c:crossAx val="331483776"/>
        <c:crosses val="autoZero"/>
        <c:crossBetween val="between"/>
      </c:valAx>
    </c:plotArea>
    <c:legend>
      <c:legendPos val="b"/>
      <c:overlay val="0"/>
      <c:txPr>
        <a:bodyPr/>
        <a:lstStyle/>
        <a:p>
          <a:pPr>
            <a:defRPr sz="1400"/>
          </a:pPr>
          <a:endParaRPr lang="tr-TR"/>
        </a:p>
      </c:txPr>
    </c:legend>
    <c:plotVisOnly val="1"/>
    <c:dispBlanksAs val="gap"/>
    <c:showDLblsOverMax val="0"/>
  </c:chart>
  <c:txPr>
    <a:bodyPr/>
    <a:lstStyle/>
    <a:p>
      <a:pPr>
        <a:defRPr sz="1800"/>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2017</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Dept.</c:v>
                </c:pt>
                <c:pt idx="1">
                  <c:v>Gas Market Dept.</c:v>
                </c:pt>
                <c:pt idx="2">
                  <c:v>Petroleum Market Dept.</c:v>
                </c:pt>
                <c:pt idx="3">
                  <c:v>LPG Market Dept.</c:v>
                </c:pt>
                <c:pt idx="4">
                  <c:v>Expro-priation Dept.</c:v>
                </c:pt>
                <c:pt idx="5">
                  <c:v>Auditing Dept.</c:v>
                </c:pt>
                <c:pt idx="6">
                  <c:v>Tariffs Dept.</c:v>
                </c:pt>
                <c:pt idx="7">
                  <c:v>Human Resourses Dept.</c:v>
                </c:pt>
                <c:pt idx="8">
                  <c:v>Strategy Dept.</c:v>
                </c:pt>
                <c:pt idx="9">
                  <c:v>Infor-mation Tech-nology Dept.</c:v>
                </c:pt>
                <c:pt idx="10">
                  <c:v>Presidency,Ministries ve Other Govern-ment Organiza-tions</c:v>
                </c:pt>
                <c:pt idx="11">
                  <c:v>Total</c:v>
                </c:pt>
              </c:strCache>
            </c:strRef>
          </c:cat>
          <c:val>
            <c:numRef>
              <c:f>Sayfa1!$B$2:$B$13</c:f>
              <c:numCache>
                <c:formatCode>General</c:formatCode>
                <c:ptCount val="12"/>
                <c:pt idx="0">
                  <c:v>29</c:v>
                </c:pt>
                <c:pt idx="1">
                  <c:v>11</c:v>
                </c:pt>
                <c:pt idx="2">
                  <c:v>45</c:v>
                </c:pt>
                <c:pt idx="3">
                  <c:v>16</c:v>
                </c:pt>
                <c:pt idx="4">
                  <c:v>3</c:v>
                </c:pt>
                <c:pt idx="5">
                  <c:v>22</c:v>
                </c:pt>
                <c:pt idx="6">
                  <c:v>9</c:v>
                </c:pt>
                <c:pt idx="7">
                  <c:v>4</c:v>
                </c:pt>
                <c:pt idx="8">
                  <c:v>9</c:v>
                </c:pt>
                <c:pt idx="9">
                  <c:v>0</c:v>
                </c:pt>
                <c:pt idx="10">
                  <c:v>28</c:v>
                </c:pt>
                <c:pt idx="11">
                  <c:v>176</c:v>
                </c:pt>
              </c:numCache>
            </c:numRef>
          </c:val>
          <c:extLst xmlns:c16r2="http://schemas.microsoft.com/office/drawing/2015/06/chart">
            <c:ext xmlns:c16="http://schemas.microsoft.com/office/drawing/2014/chart" uri="{C3380CC4-5D6E-409C-BE32-E72D297353CC}">
              <c16:uniqueId val="{00000000-320A-4B39-AF12-73C69CA6F749}"/>
            </c:ext>
          </c:extLst>
        </c:ser>
        <c:ser>
          <c:idx val="1"/>
          <c:order val="1"/>
          <c:tx>
            <c:strRef>
              <c:f>Sayfa1!$C$1</c:f>
              <c:strCache>
                <c:ptCount val="1"/>
                <c:pt idx="0">
                  <c:v>2018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Dept.</c:v>
                </c:pt>
                <c:pt idx="1">
                  <c:v>Gas Market Dept.</c:v>
                </c:pt>
                <c:pt idx="2">
                  <c:v>Petroleum Market Dept.</c:v>
                </c:pt>
                <c:pt idx="3">
                  <c:v>LPG Market Dept.</c:v>
                </c:pt>
                <c:pt idx="4">
                  <c:v>Expro-priation Dept.</c:v>
                </c:pt>
                <c:pt idx="5">
                  <c:v>Auditing Dept.</c:v>
                </c:pt>
                <c:pt idx="6">
                  <c:v>Tariffs Dept.</c:v>
                </c:pt>
                <c:pt idx="7">
                  <c:v>Human Resourses Dept.</c:v>
                </c:pt>
                <c:pt idx="8">
                  <c:v>Strategy Dept.</c:v>
                </c:pt>
                <c:pt idx="9">
                  <c:v>Infor-mation Tech-nology Dept.</c:v>
                </c:pt>
                <c:pt idx="10">
                  <c:v>Presidency,Ministries ve Other Govern-ment Organiza-tions</c:v>
                </c:pt>
                <c:pt idx="11">
                  <c:v>Total</c:v>
                </c:pt>
              </c:strCache>
            </c:strRef>
          </c:cat>
          <c:val>
            <c:numRef>
              <c:f>Sayfa1!$C$2:$C$13</c:f>
              <c:numCache>
                <c:formatCode>General</c:formatCode>
                <c:ptCount val="12"/>
                <c:pt idx="0">
                  <c:v>22</c:v>
                </c:pt>
                <c:pt idx="1">
                  <c:v>11</c:v>
                </c:pt>
                <c:pt idx="2">
                  <c:v>31</c:v>
                </c:pt>
                <c:pt idx="3">
                  <c:v>6</c:v>
                </c:pt>
                <c:pt idx="4">
                  <c:v>1</c:v>
                </c:pt>
                <c:pt idx="5">
                  <c:v>15</c:v>
                </c:pt>
                <c:pt idx="6">
                  <c:v>7</c:v>
                </c:pt>
                <c:pt idx="7">
                  <c:v>5</c:v>
                </c:pt>
                <c:pt idx="8">
                  <c:v>10</c:v>
                </c:pt>
                <c:pt idx="9">
                  <c:v>0</c:v>
                </c:pt>
                <c:pt idx="10">
                  <c:v>29</c:v>
                </c:pt>
                <c:pt idx="11">
                  <c:v>137</c:v>
                </c:pt>
              </c:numCache>
            </c:numRef>
          </c:val>
          <c:extLst xmlns:c16r2="http://schemas.microsoft.com/office/drawing/2015/06/chart">
            <c:ext xmlns:c16="http://schemas.microsoft.com/office/drawing/2014/chart" uri="{C3380CC4-5D6E-409C-BE32-E72D297353CC}">
              <c16:uniqueId val="{00000001-320A-4B39-AF12-73C69CA6F749}"/>
            </c:ext>
          </c:extLst>
        </c:ser>
        <c:ser>
          <c:idx val="2"/>
          <c:order val="2"/>
          <c:tx>
            <c:strRef>
              <c:f>Sayfa1!$D$1</c:f>
              <c:strCache>
                <c:ptCount val="1"/>
                <c:pt idx="0">
                  <c:v>2019</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Dept.</c:v>
                </c:pt>
                <c:pt idx="1">
                  <c:v>Gas Market Dept.</c:v>
                </c:pt>
                <c:pt idx="2">
                  <c:v>Petroleum Market Dept.</c:v>
                </c:pt>
                <c:pt idx="3">
                  <c:v>LPG Market Dept.</c:v>
                </c:pt>
                <c:pt idx="4">
                  <c:v>Expro-priation Dept.</c:v>
                </c:pt>
                <c:pt idx="5">
                  <c:v>Auditing Dept.</c:v>
                </c:pt>
                <c:pt idx="6">
                  <c:v>Tariffs Dept.</c:v>
                </c:pt>
                <c:pt idx="7">
                  <c:v>Human Resourses Dept.</c:v>
                </c:pt>
                <c:pt idx="8">
                  <c:v>Strategy Dept.</c:v>
                </c:pt>
                <c:pt idx="9">
                  <c:v>Infor-mation Tech-nology Dept.</c:v>
                </c:pt>
                <c:pt idx="10">
                  <c:v>Presidency,Ministries ve Other Govern-ment Organiza-tions</c:v>
                </c:pt>
                <c:pt idx="11">
                  <c:v>Total</c:v>
                </c:pt>
              </c:strCache>
            </c:strRef>
          </c:cat>
          <c:val>
            <c:numRef>
              <c:f>Sayfa1!$D$2:$D$13</c:f>
              <c:numCache>
                <c:formatCode>General</c:formatCode>
                <c:ptCount val="12"/>
                <c:pt idx="0">
                  <c:v>24</c:v>
                </c:pt>
                <c:pt idx="1">
                  <c:v>13</c:v>
                </c:pt>
                <c:pt idx="2">
                  <c:v>43</c:v>
                </c:pt>
                <c:pt idx="3">
                  <c:v>5</c:v>
                </c:pt>
                <c:pt idx="4">
                  <c:v>1</c:v>
                </c:pt>
                <c:pt idx="5">
                  <c:v>12</c:v>
                </c:pt>
                <c:pt idx="6">
                  <c:v>2</c:v>
                </c:pt>
                <c:pt idx="7">
                  <c:v>2</c:v>
                </c:pt>
                <c:pt idx="8">
                  <c:v>7</c:v>
                </c:pt>
                <c:pt idx="9">
                  <c:v>2</c:v>
                </c:pt>
                <c:pt idx="10">
                  <c:v>29</c:v>
                </c:pt>
                <c:pt idx="11">
                  <c:v>140</c:v>
                </c:pt>
              </c:numCache>
            </c:numRef>
          </c:val>
          <c:extLst xmlns:c16r2="http://schemas.microsoft.com/office/drawing/2015/06/chart">
            <c:ext xmlns:c16="http://schemas.microsoft.com/office/drawing/2014/chart" uri="{C3380CC4-5D6E-409C-BE32-E72D297353CC}">
              <c16:uniqueId val="{00000002-320A-4B39-AF12-73C69CA6F749}"/>
            </c:ext>
          </c:extLst>
        </c:ser>
        <c:dLbls>
          <c:showLegendKey val="0"/>
          <c:showVal val="0"/>
          <c:showCatName val="0"/>
          <c:showSerName val="0"/>
          <c:showPercent val="0"/>
          <c:showBubbleSize val="0"/>
        </c:dLbls>
        <c:gapWidth val="150"/>
        <c:axId val="331528832"/>
        <c:axId val="331538816"/>
      </c:barChart>
      <c:catAx>
        <c:axId val="3315288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31538816"/>
        <c:crosses val="autoZero"/>
        <c:auto val="1"/>
        <c:lblAlgn val="ctr"/>
        <c:lblOffset val="100"/>
        <c:noMultiLvlLbl val="0"/>
      </c:catAx>
      <c:valAx>
        <c:axId val="33153881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3152883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8506258146306"/>
          <c:y val="0.12013706319441617"/>
          <c:w val="0.88034192154552104"/>
          <c:h val="0.77246342849687299"/>
        </c:manualLayout>
      </c:layout>
      <c:barChart>
        <c:barDir val="col"/>
        <c:grouping val="clustered"/>
        <c:varyColors val="0"/>
        <c:ser>
          <c:idx val="0"/>
          <c:order val="0"/>
          <c:tx>
            <c:strRef>
              <c:f>'\özel\2019 Yılı Faaliyet Raporu Dosyası\tüketici kısmı\[Bilgi Edinme Şikayet Aylık Oransal Excel.xlsx]Bilgi Edinme Şikayet Sayısı ay.'!$B$1</c:f>
              <c:strCache>
                <c:ptCount val="1"/>
                <c:pt idx="0">
                  <c:v>Oran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'9.1'!$A$2:$A$14</c:f>
              <c:strCache>
                <c:ptCount val="13"/>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Total</c:v>
                </c:pt>
              </c:strCache>
            </c:strRef>
          </c:cat>
          <c:val>
            <c:numRef>
              <c:f>'\özel\2019 Yılı Faaliyet Raporu Dosyası\tüketici kısmı\[Bilgi Edinme Şikayet Aylık Oransal Excel.xlsx]Bilgi Edinme Şikayet Sayısı ay.'!$B$2:$B$13</c:f>
              <c:numCache>
                <c:formatCode>General</c:formatCode>
                <c:ptCount val="12"/>
                <c:pt idx="0">
                  <c:v>11.959697209706947</c:v>
                </c:pt>
                <c:pt idx="1">
                  <c:v>10.183465988028617</c:v>
                </c:pt>
                <c:pt idx="2">
                  <c:v>9.1304517184517699</c:v>
                </c:pt>
                <c:pt idx="3">
                  <c:v>6.3609333004401627</c:v>
                </c:pt>
                <c:pt idx="4">
                  <c:v>7.5411922043185271</c:v>
                </c:pt>
                <c:pt idx="5">
                  <c:v>5.2378046405339083</c:v>
                </c:pt>
                <c:pt idx="6">
                  <c:v>7.2918965942584109</c:v>
                </c:pt>
                <c:pt idx="7">
                  <c:v>7.3009854967085186</c:v>
                </c:pt>
                <c:pt idx="8">
                  <c:v>6.9633976914187778</c:v>
                </c:pt>
                <c:pt idx="9">
                  <c:v>9.1135723281872831</c:v>
                </c:pt>
                <c:pt idx="10">
                  <c:v>6.6491813495721726</c:v>
                </c:pt>
                <c:pt idx="11">
                  <c:v>12.267421478374905</c:v>
                </c:pt>
              </c:numCache>
            </c:numRef>
          </c:val>
          <c:extLst xmlns:c16r2="http://schemas.microsoft.com/office/drawing/2015/06/chart">
            <c:ext xmlns:c16="http://schemas.microsoft.com/office/drawing/2014/chart" uri="{C3380CC4-5D6E-409C-BE32-E72D297353CC}">
              <c16:uniqueId val="{00000000-641B-4A84-ADF8-91E70CDB94C1}"/>
            </c:ext>
          </c:extLst>
        </c:ser>
        <c:dLbls>
          <c:showLegendKey val="0"/>
          <c:showVal val="0"/>
          <c:showCatName val="0"/>
          <c:showSerName val="0"/>
          <c:showPercent val="0"/>
          <c:showBubbleSize val="0"/>
        </c:dLbls>
        <c:gapWidth val="219"/>
        <c:overlap val="-27"/>
        <c:axId val="331880320"/>
        <c:axId val="331881856"/>
      </c:barChart>
      <c:catAx>
        <c:axId val="33188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1881856"/>
        <c:crosses val="autoZero"/>
        <c:auto val="1"/>
        <c:lblAlgn val="ctr"/>
        <c:lblOffset val="100"/>
        <c:noMultiLvlLbl val="0"/>
      </c:catAx>
      <c:valAx>
        <c:axId val="331881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1880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32330827067669"/>
          <c:y val="8.1018518518518517E-2"/>
          <c:w val="0.41854636591478694"/>
          <c:h val="0.77314814814814814"/>
        </c:manualLayout>
      </c:layout>
      <c:pieChart>
        <c:varyColors val="1"/>
        <c:ser>
          <c:idx val="0"/>
          <c:order val="0"/>
          <c:spPr>
            <a:effectLst>
              <a:outerShdw blurRad="50800" dist="50800" algn="ctr" rotWithShape="0">
                <a:srgbClr val="000000">
                  <a:alpha val="43137"/>
                </a:srgbClr>
              </a:outerShdw>
            </a:effectLst>
          </c:spPr>
          <c:dPt>
            <c:idx val="0"/>
            <c:bubble3D val="0"/>
            <c:explosion val="8"/>
            <c:extLst xmlns:c16r2="http://schemas.microsoft.com/office/drawing/2015/06/chart">
              <c:ext xmlns:c16="http://schemas.microsoft.com/office/drawing/2014/chart" uri="{C3380CC4-5D6E-409C-BE32-E72D297353CC}">
                <c16:uniqueId val="{00000001-4174-4F14-9D5E-AC3C3EF84DE2}"/>
              </c:ext>
            </c:extLst>
          </c:dPt>
          <c:dLbls>
            <c:dLbl>
              <c:idx val="0"/>
              <c:layout>
                <c:manualLayout>
                  <c:x val="-1.5992540406133442E-2"/>
                  <c:y val="1.6084135316418779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174-4F14-9D5E-AC3C3EF84DE2}"/>
                </c:ext>
              </c:extLst>
            </c:dLbl>
            <c:dLbl>
              <c:idx val="1"/>
              <c:layout>
                <c:manualLayout>
                  <c:x val="-8.8216604503384439E-3"/>
                  <c:y val="-4.8323490813648291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174-4F14-9D5E-AC3C3EF84DE2}"/>
                </c:ext>
              </c:extLst>
            </c:dLbl>
            <c:dLbl>
              <c:idx val="2"/>
              <c:layout>
                <c:manualLayout>
                  <c:x val="5.3835178497424661E-2"/>
                  <c:y val="-9.8313283756197106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174-4F14-9D5E-AC3C3EF84DE2}"/>
                </c:ext>
              </c:extLst>
            </c:dLbl>
            <c:dLbl>
              <c:idx val="3"/>
              <c:layout>
                <c:manualLayout>
                  <c:x val="7.3453811694590906E-2"/>
                  <c:y val="3.0554097404491106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174-4F14-9D5E-AC3C3EF84DE2}"/>
                </c:ext>
              </c:extLst>
            </c:dLbl>
            <c:dLbl>
              <c:idx val="4"/>
              <c:layout>
                <c:manualLayout>
                  <c:x val="-6.0285753754464905E-2"/>
                  <c:y val="0.1483275007290755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174-4F14-9D5E-AC3C3EF84DE2}"/>
                </c:ext>
              </c:extLst>
            </c:dLbl>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showLeaderLines val="1"/>
            <c:extLst xmlns:c16r2="http://schemas.microsoft.com/office/drawing/2015/06/chart">
              <c:ext xmlns:c15="http://schemas.microsoft.com/office/drawing/2012/chart" uri="{CE6537A1-D6FC-4f65-9D91-7224C49458BB}"/>
            </c:extLst>
          </c:dLbls>
          <c:cat>
            <c:strRef>
              <c:f>'9.2'!$I$3:$I$7</c:f>
              <c:strCache>
                <c:ptCount val="5"/>
                <c:pt idx="0">
                  <c:v>CIMER</c:v>
                </c:pt>
                <c:pt idx="1">
                  <c:v>Application Forms</c:v>
                </c:pt>
                <c:pt idx="2">
                  <c:v>MENR</c:v>
                </c:pt>
                <c:pt idx="3">
                  <c:v>General Documents</c:v>
                </c:pt>
                <c:pt idx="4">
                  <c:v>Other</c:v>
                </c:pt>
              </c:strCache>
            </c:strRef>
          </c:cat>
          <c:val>
            <c:numRef>
              <c:f>'\özel\2019 Yılı Faaliyet Raporu Dosyası\tüketici kısmı\[Bilgi Edinme Şikayet Aylık Oransal Excel.xlsx]Şikayet Kanalları '!$J$3:$J$6</c:f>
              <c:numCache>
                <c:formatCode>General</c:formatCode>
                <c:ptCount val="4"/>
                <c:pt idx="0">
                  <c:v>0.87962397912149271</c:v>
                </c:pt>
                <c:pt idx="1">
                  <c:v>0.10919667086487399</c:v>
                </c:pt>
                <c:pt idx="2">
                  <c:v>5.7389926899256011E-3</c:v>
                </c:pt>
                <c:pt idx="3">
                  <c:v>5.4528458662235144E-3</c:v>
                </c:pt>
              </c:numCache>
            </c:numRef>
          </c:val>
          <c:extLst xmlns:c16r2="http://schemas.microsoft.com/office/drawing/2015/06/chart">
            <c:ext xmlns:c16="http://schemas.microsoft.com/office/drawing/2014/chart" uri="{C3380CC4-5D6E-409C-BE32-E72D297353CC}">
              <c16:uniqueId val="{00000006-4174-4F14-9D5E-AC3C3EF84DE2}"/>
            </c:ext>
          </c:extLst>
        </c:ser>
        <c:dLbls>
          <c:showLegendKey val="0"/>
          <c:showVal val="0"/>
          <c:showCatName val="0"/>
          <c:showSerName val="0"/>
          <c:showPercent val="0"/>
          <c:showBubbleSize val="0"/>
          <c:showLeaderLines val="1"/>
        </c:dLbls>
        <c:firstSliceAng val="94"/>
      </c:pieChart>
      <c:spPr>
        <a:noFill/>
        <a:ln w="25400">
          <a:noFill/>
        </a:ln>
      </c:spPr>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74B-41B3-963F-1A01D732F8F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74B-41B3-963F-1A01D732F8F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74B-41B3-963F-1A01D732F8FE}"/>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74B-41B3-963F-1A01D732F8FE}"/>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B74B-41B3-963F-1A01D732F8FE}"/>
              </c:ext>
            </c:extLst>
          </c:dPt>
          <c:dLbls>
            <c:dLbl>
              <c:idx val="0"/>
              <c:layout>
                <c:manualLayout>
                  <c:x val="5.9559273840769904E-3"/>
                  <c:y val="-8.8546587926509185E-2"/>
                </c:manualLayout>
              </c:layout>
              <c:tx>
                <c:rich>
                  <a:bodyPr/>
                  <a:lstStyle/>
                  <a:p>
                    <a:r>
                      <a:rPr lang="en-US"/>
                      <a:t>Electricity; 78,29%</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74B-41B3-963F-1A01D732F8FE}"/>
                </c:ext>
              </c:extLst>
            </c:dLbl>
            <c:dLbl>
              <c:idx val="1"/>
              <c:layout>
                <c:manualLayout>
                  <c:x val="-3.2832895888013996E-2"/>
                  <c:y val="-2.5380941965587593E-2"/>
                </c:manualLayout>
              </c:layout>
              <c:tx>
                <c:rich>
                  <a:bodyPr/>
                  <a:lstStyle/>
                  <a:p>
                    <a:r>
                      <a:rPr lang="en-US"/>
                      <a:t>Natural</a:t>
                    </a:r>
                    <a:r>
                      <a:rPr lang="en-US" baseline="0"/>
                      <a:t> Gas</a:t>
                    </a:r>
                    <a:r>
                      <a:rPr lang="en-US"/>
                      <a:t>; 18,13%</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74B-41B3-963F-1A01D732F8FE}"/>
                </c:ext>
              </c:extLst>
            </c:dLbl>
            <c:dLbl>
              <c:idx val="2"/>
              <c:layout>
                <c:manualLayout>
                  <c:x val="-4.4194006999125112E-3"/>
                  <c:y val="-3.2791994750656167E-2"/>
                </c:manualLayout>
              </c:layout>
              <c:tx>
                <c:rich>
                  <a:bodyPr/>
                  <a:lstStyle/>
                  <a:p>
                    <a:r>
                      <a:rPr lang="en-US"/>
                      <a:t>Petroleum; 1,46%</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74B-41B3-963F-1A01D732F8FE}"/>
                </c:ext>
              </c:extLst>
            </c:dLbl>
            <c:dLbl>
              <c:idx val="3"/>
              <c:layout>
                <c:manualLayout>
                  <c:x val="-9.3016185476815401E-3"/>
                  <c:y val="-1.4415281423155438E-2"/>
                </c:manualLayout>
              </c:layout>
              <c:tx>
                <c:rich>
                  <a:bodyPr/>
                  <a:lstStyle/>
                  <a:p>
                    <a:r>
                      <a:rPr lang="en-US"/>
                      <a:t>Other; 1,23%</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74B-41B3-963F-1A01D732F8FE}"/>
                </c:ext>
              </c:extLst>
            </c:dLbl>
            <c:dLbl>
              <c:idx val="4"/>
              <c:layout>
                <c:manualLayout>
                  <c:x val="-1.6666666666666666E-2"/>
                  <c:y val="1.5979512977544474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LPG;</a:t>
                    </a:r>
                    <a:r>
                      <a:rPr lang="en-US" baseline="0"/>
                      <a:t> 0,89%</a:t>
                    </a:r>
                    <a:endParaRPr lang="en-US"/>
                  </a:p>
                </c:rich>
              </c:tx>
              <c:numFmt formatCode="0.00%" sourceLinked="0"/>
              <c:spPr>
                <a:noFill/>
                <a:ln>
                  <a:noFill/>
                </a:ln>
                <a:effectLst/>
              </c:spPr>
              <c:showLegendKey val="0"/>
              <c:showVal val="1"/>
              <c:showCatName val="1"/>
              <c:showSerName val="0"/>
              <c:showPercent val="1"/>
              <c:showBubbleSize val="0"/>
              <c:extLst xmlns:c16r2="http://schemas.microsoft.com/office/drawing/2015/06/chart">
                <c:ext xmlns:c15="http://schemas.microsoft.com/office/drawing/2012/chart" uri="{CE6537A1-D6FC-4f65-9D91-7224C49458BB}">
                  <c15:layout>
                    <c:manualLayout>
                      <c:w val="0.15069444444444444"/>
                      <c:h val="7.5231481481481483E-2"/>
                    </c:manualLayout>
                  </c15:layout>
                </c:ext>
                <c:ext xmlns:c16="http://schemas.microsoft.com/office/drawing/2014/chart" uri="{C3380CC4-5D6E-409C-BE32-E72D297353CC}">
                  <c16:uniqueId val="{00000009-B74B-41B3-963F-1A01D732F8F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extLst>
          </c:dLbls>
          <c:cat>
            <c:strRef>
              <c:f>'özel\2019 Yılı Faaliyet Raporu Dosyası\tüketici kısmı\[Bilgi Edinme Şikayet Aylık Oransal Excel.xlsx]Şikayet Bildirimleri Sektörel D'!$A$10:$A$14</c:f>
              <c:strCache>
                <c:ptCount val="5"/>
                <c:pt idx="0">
                  <c:v>Elektrik</c:v>
                </c:pt>
                <c:pt idx="1">
                  <c:v>Doğalgaz</c:v>
                </c:pt>
                <c:pt idx="2">
                  <c:v>Petrol</c:v>
                </c:pt>
                <c:pt idx="3">
                  <c:v>Diğer</c:v>
                </c:pt>
                <c:pt idx="4">
                  <c:v>LPG</c:v>
                </c:pt>
              </c:strCache>
            </c:strRef>
          </c:cat>
          <c:val>
            <c:numRef>
              <c:f>'özel\2019 Yılı Faaliyet Raporu Dosyası\tüketici kısmı\[Bilgi Edinme Şikayet Aylık Oransal Excel.xlsx]Şikayet Bildirimleri Sektörel D'!$B$10:$B$14</c:f>
              <c:numCache>
                <c:formatCode>General</c:formatCode>
                <c:ptCount val="5"/>
                <c:pt idx="0">
                  <c:v>0.78289208875962446</c:v>
                </c:pt>
                <c:pt idx="1">
                  <c:v>0.18125868314787644</c:v>
                </c:pt>
                <c:pt idx="2">
                  <c:v>1.4633132944674552E-2</c:v>
                </c:pt>
                <c:pt idx="3">
                  <c:v>1.2270018307646364E-2</c:v>
                </c:pt>
                <c:pt idx="4">
                  <c:v>8.9460768401781431E-3</c:v>
                </c:pt>
              </c:numCache>
            </c:numRef>
          </c:val>
          <c:extLst xmlns:c16r2="http://schemas.microsoft.com/office/drawing/2015/06/chart">
            <c:ext xmlns:c16="http://schemas.microsoft.com/office/drawing/2014/chart" uri="{C3380CC4-5D6E-409C-BE32-E72D297353CC}">
              <c16:uniqueId val="{0000000A-B74B-41B3-963F-1A01D732F8FE}"/>
            </c:ext>
          </c:extLst>
        </c:ser>
        <c:dLbls>
          <c:showLegendKey val="0"/>
          <c:showVal val="0"/>
          <c:showCatName val="0"/>
          <c:showSerName val="0"/>
          <c:showPercent val="0"/>
          <c:showBubbleSize val="0"/>
          <c:showLeaderLines val="0"/>
        </c:dLbls>
        <c:firstSliceAng val="113"/>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455677584572082"/>
          <c:y val="2.958585580362388E-2"/>
          <c:w val="0.73088794152561987"/>
          <c:h val="0.94280260494214774"/>
        </c:manualLayout>
      </c:layout>
      <c:doughnutChart>
        <c:varyColors val="1"/>
        <c:ser>
          <c:idx val="0"/>
          <c:order val="0"/>
          <c:explosion val="4"/>
          <c:dLbls>
            <c:dLbl>
              <c:idx val="0"/>
              <c:tx>
                <c:rich>
                  <a:bodyPr/>
                  <a:lstStyle/>
                  <a:p>
                    <a:r>
                      <a:rPr lang="en-US" sz="900" b="0" i="0" u="none" strike="noStrike" baseline="0">
                        <a:effectLst/>
                      </a:rPr>
                      <a:t>Electricity Distribution </a:t>
                    </a:r>
                    <a:r>
                      <a:rPr lang="en-US"/>
                      <a:t>; 53%</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854-40E0-8CD9-EF9652181FBC}"/>
                </c:ext>
              </c:extLst>
            </c:dLbl>
            <c:dLbl>
              <c:idx val="1"/>
              <c:tx>
                <c:rich>
                  <a:bodyPr/>
                  <a:lstStyle/>
                  <a:p>
                    <a:r>
                      <a:rPr lang="en-US"/>
                      <a:t>EMRA</a:t>
                    </a:r>
                    <a:r>
                      <a:rPr lang="en-US" baseline="0"/>
                      <a:t> Departments</a:t>
                    </a:r>
                    <a:r>
                      <a:rPr lang="en-US"/>
                      <a:t>; 19%</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854-40E0-8CD9-EF9652181FBC}"/>
                </c:ext>
              </c:extLst>
            </c:dLbl>
            <c:dLbl>
              <c:idx val="2"/>
              <c:tx>
                <c:rich>
                  <a:bodyPr/>
                  <a:lstStyle/>
                  <a:p>
                    <a:r>
                      <a:rPr lang="en-US"/>
                      <a:t>Natural</a:t>
                    </a:r>
                    <a:r>
                      <a:rPr lang="en-US" baseline="0"/>
                      <a:t> Gas</a:t>
                    </a:r>
                    <a:r>
                      <a:rPr lang="en-US"/>
                      <a:t>; 15%</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0854-40E0-8CD9-EF9652181FBC}"/>
                </c:ext>
              </c:extLst>
            </c:dLbl>
            <c:dLbl>
              <c:idx val="3"/>
              <c:tx>
                <c:rich>
                  <a:bodyPr/>
                  <a:lstStyle/>
                  <a:p>
                    <a:r>
                      <a:rPr lang="en-US"/>
                      <a:t>Electricity</a:t>
                    </a:r>
                    <a:r>
                      <a:rPr lang="en-US" baseline="0"/>
                      <a:t> Retail Co.s</a:t>
                    </a:r>
                    <a:r>
                      <a:rPr lang="en-US"/>
                      <a:t>; 13%</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854-40E0-8CD9-EF9652181FBC}"/>
                </c:ext>
              </c:extLst>
            </c:dLbl>
            <c:numFmt formatCode="0%" sourceLinked="0"/>
            <c:spPr>
              <a:noFill/>
              <a:ln w="25400">
                <a:noFill/>
              </a:ln>
              <a:effectLst/>
            </c:spPr>
            <c:txPr>
              <a:bodyPr wrap="square" lIns="38100" tIns="19050" rIns="38100" bIns="19050" anchor="ctr">
                <a:spAutoFit/>
              </a:bodyPr>
              <a:lstStyle/>
              <a:p>
                <a:pPr algn="ctr" rtl="0">
                  <a:defRPr sz="900" b="0" i="0" u="none" strike="noStrike" baseline="0">
                    <a:solidFill>
                      <a:srgbClr val="000000"/>
                    </a:solidFill>
                    <a:latin typeface="Calibri"/>
                    <a:ea typeface="Calibri"/>
                    <a:cs typeface="Calibri"/>
                  </a:defRPr>
                </a:pPr>
                <a:endParaRPr lang="tr-TR"/>
              </a:p>
            </c:txPr>
            <c:showLegendKey val="0"/>
            <c:showVal val="1"/>
            <c:showCatName val="1"/>
            <c:showSerName val="0"/>
            <c:showPercent val="0"/>
            <c:showBubbleSize val="0"/>
            <c:showLeaderLines val="1"/>
            <c:extLst xmlns:c16r2="http://schemas.microsoft.com/office/drawing/2015/06/chart">
              <c:ext xmlns:c15="http://schemas.microsoft.com/office/drawing/2012/chart" uri="{CE6537A1-D6FC-4f65-9D91-7224C49458BB}"/>
            </c:extLst>
          </c:dLbls>
          <c:cat>
            <c:strRef>
              <c:f>'özel\2019 Yılı Faaliyet Raporu Dosyası\tüketici kısmı\[Bilgi Edinme Şikayet Aylık Oransal Excel.xlsx]Şikayetlerin Gönderildiği Yer'!$I$5:$I$8</c:f>
              <c:strCache>
                <c:ptCount val="4"/>
                <c:pt idx="0">
                  <c:v>Elektrik Dağıtım</c:v>
                </c:pt>
                <c:pt idx="1">
                  <c:v>Kurum</c:v>
                </c:pt>
                <c:pt idx="2">
                  <c:v>Doğalgaz</c:v>
                </c:pt>
                <c:pt idx="3">
                  <c:v>Elektrik Perakende</c:v>
                </c:pt>
              </c:strCache>
            </c:strRef>
          </c:cat>
          <c:val>
            <c:numRef>
              <c:f>'özel\2019 Yılı Faaliyet Raporu Dosyası\tüketici kısmı\[Bilgi Edinme Şikayet Aylık Oransal Excel.xlsx]Şikayetlerin Gönderildiği Yer'!$J$5:$J$8</c:f>
              <c:numCache>
                <c:formatCode>General</c:formatCode>
                <c:ptCount val="4"/>
                <c:pt idx="0">
                  <c:v>0.52736408844800498</c:v>
                </c:pt>
                <c:pt idx="1">
                  <c:v>0.19164600023371464</c:v>
                </c:pt>
                <c:pt idx="2">
                  <c:v>0.14735707700897205</c:v>
                </c:pt>
                <c:pt idx="3">
                  <c:v>0.13363283430930833</c:v>
                </c:pt>
              </c:numCache>
            </c:numRef>
          </c:val>
          <c:extLst xmlns:c16r2="http://schemas.microsoft.com/office/drawing/2015/06/chart">
            <c:ext xmlns:c16="http://schemas.microsoft.com/office/drawing/2014/chart" uri="{C3380CC4-5D6E-409C-BE32-E72D297353CC}">
              <c16:uniqueId val="{00000000-4D70-4E15-B671-0AD376467A05}"/>
            </c:ext>
          </c:extLst>
        </c:ser>
        <c:dLbls>
          <c:showLegendKey val="0"/>
          <c:showVal val="0"/>
          <c:showCatName val="0"/>
          <c:showSerName val="0"/>
          <c:showPercent val="0"/>
          <c:showBubbleSize val="0"/>
          <c:showLeaderLines val="1"/>
        </c:dLbls>
        <c:firstSliceAng val="0"/>
        <c:holeSize val="40"/>
      </c:doughnutChart>
      <c:spPr>
        <a:noFill/>
        <a:ln w="25400">
          <a:noFill/>
        </a:ln>
      </c:spPr>
    </c:plotArea>
    <c:plotVisOnly val="1"/>
    <c:dispBlanksAs val="zero"/>
    <c:showDLblsOverMax val="0"/>
  </c:chart>
  <c:spPr>
    <a:solidFill>
      <a:srgbClr val="FFFFFF"/>
    </a:solidFill>
    <a:ln w="12700">
      <a:solidFill>
        <a:srgbClr val="CCCCFF"/>
      </a:solidFill>
      <a:prstDash val="solid"/>
    </a:ln>
  </c:spPr>
  <c:txPr>
    <a:bodyPr/>
    <a:lstStyle/>
    <a:p>
      <a:pPr>
        <a:defRPr sz="1000" b="0" i="0" u="none" strike="noStrike" baseline="0">
          <a:solidFill>
            <a:srgbClr val="000000"/>
          </a:solidFill>
          <a:latin typeface="Calibri"/>
          <a:ea typeface="Calibri"/>
          <a:cs typeface="Calibri"/>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Sayfa17!$A$1:$A$10</c:f>
              <c:strCache>
                <c:ptCount val="10"/>
                <c:pt idx="0">
                  <c:v>Other*</c:v>
                </c:pt>
                <c:pt idx="1">
                  <c:v>Meter reading</c:v>
                </c:pt>
                <c:pt idx="2">
                  <c:v>Illicit electricity consumption </c:v>
                </c:pt>
                <c:pt idx="3">
                  <c:v>Faults</c:v>
                </c:pt>
                <c:pt idx="4">
                  <c:v>Customer services complaints</c:v>
                </c:pt>
                <c:pt idx="5">
                  <c:v>Illicit energy consumption accrual</c:v>
                </c:pt>
                <c:pt idx="6">
                  <c:v>Voltage fluctuation</c:v>
                </c:pt>
                <c:pt idx="7">
                  <c:v>Displacement/Removal of installation</c:v>
                </c:pt>
                <c:pt idx="8">
                  <c:v>Investment/Connections</c:v>
                </c:pt>
                <c:pt idx="9">
                  <c:v>Disconnection</c:v>
                </c:pt>
              </c:strCache>
            </c:strRef>
          </c:cat>
          <c:val>
            <c:numRef>
              <c:f>Sayfa17!$B$1:$B$10</c:f>
              <c:numCache>
                <c:formatCode>0.00%</c:formatCode>
                <c:ptCount val="10"/>
                <c:pt idx="0">
                  <c:v>0.10198691255205235</c:v>
                </c:pt>
                <c:pt idx="1">
                  <c:v>1.6323616894705531E-2</c:v>
                </c:pt>
                <c:pt idx="2">
                  <c:v>2.957763236168947E-2</c:v>
                </c:pt>
                <c:pt idx="3">
                  <c:v>4.2070196311719217E-2</c:v>
                </c:pt>
                <c:pt idx="4">
                  <c:v>5.5252825698988699E-2</c:v>
                </c:pt>
                <c:pt idx="5">
                  <c:v>7.493158834027365E-2</c:v>
                </c:pt>
                <c:pt idx="6">
                  <c:v>7.5312314098750749E-2</c:v>
                </c:pt>
                <c:pt idx="7">
                  <c:v>0.10591314693634742</c:v>
                </c:pt>
                <c:pt idx="8">
                  <c:v>0.17201665675193337</c:v>
                </c:pt>
                <c:pt idx="9">
                  <c:v>0.32661511005353955</c:v>
                </c:pt>
              </c:numCache>
            </c:numRef>
          </c:val>
          <c:extLst xmlns:c16r2="http://schemas.microsoft.com/office/drawing/2015/06/chart">
            <c:ext xmlns:c16="http://schemas.microsoft.com/office/drawing/2014/chart" uri="{C3380CC4-5D6E-409C-BE32-E72D297353CC}">
              <c16:uniqueId val="{00000000-102B-4F1E-B164-1A311DBB9AE5}"/>
            </c:ext>
          </c:extLst>
        </c:ser>
        <c:dLbls>
          <c:showLegendKey val="0"/>
          <c:showVal val="0"/>
          <c:showCatName val="0"/>
          <c:showSerName val="0"/>
          <c:showPercent val="0"/>
          <c:showBubbleSize val="0"/>
        </c:dLbls>
        <c:gapWidth val="150"/>
        <c:axId val="331715712"/>
        <c:axId val="331717248"/>
      </c:barChart>
      <c:catAx>
        <c:axId val="331715712"/>
        <c:scaling>
          <c:orientation val="minMax"/>
        </c:scaling>
        <c:delete val="0"/>
        <c:axPos val="l"/>
        <c:numFmt formatCode="General" sourceLinked="0"/>
        <c:majorTickMark val="out"/>
        <c:minorTickMark val="none"/>
        <c:tickLblPos val="nextTo"/>
        <c:crossAx val="331717248"/>
        <c:crosses val="autoZero"/>
        <c:auto val="1"/>
        <c:lblAlgn val="ctr"/>
        <c:lblOffset val="100"/>
        <c:noMultiLvlLbl val="0"/>
      </c:catAx>
      <c:valAx>
        <c:axId val="331717248"/>
        <c:scaling>
          <c:orientation val="minMax"/>
        </c:scaling>
        <c:delete val="0"/>
        <c:axPos val="b"/>
        <c:majorGridlines>
          <c:spPr>
            <a:ln>
              <a:solidFill>
                <a:schemeClr val="tx1">
                  <a:lumMod val="15000"/>
                  <a:lumOff val="85000"/>
                </a:schemeClr>
              </a:solidFill>
            </a:ln>
          </c:spPr>
        </c:majorGridlines>
        <c:numFmt formatCode="0.00%" sourceLinked="1"/>
        <c:majorTickMark val="out"/>
        <c:minorTickMark val="none"/>
        <c:tickLblPos val="nextTo"/>
        <c:crossAx val="331715712"/>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Sayfa7!$A$1:$A$12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Sayfa7!$B$1:$B$12</c:f>
              <c:numCache>
                <c:formatCode>0.00%</c:formatCode>
                <c:ptCount val="12"/>
                <c:pt idx="0">
                  <c:v>0.11574146387179407</c:v>
                </c:pt>
                <c:pt idx="1">
                  <c:v>0.10005935459685733</c:v>
                </c:pt>
                <c:pt idx="2">
                  <c:v>8.8063478179375834E-2</c:v>
                </c:pt>
                <c:pt idx="3">
                  <c:v>6.1119615132298272E-2</c:v>
                </c:pt>
                <c:pt idx="4">
                  <c:v>7.2771859673237321E-2</c:v>
                </c:pt>
                <c:pt idx="5">
                  <c:v>5.1638499265877352E-2</c:v>
                </c:pt>
                <c:pt idx="6">
                  <c:v>7.2584424104214174E-2</c:v>
                </c:pt>
                <c:pt idx="7">
                  <c:v>7.080378619849427E-2</c:v>
                </c:pt>
                <c:pt idx="8">
                  <c:v>6.391552903689357E-2</c:v>
                </c:pt>
                <c:pt idx="9">
                  <c:v>8.1237699540782859E-2</c:v>
                </c:pt>
                <c:pt idx="10">
                  <c:v>5.6496204429727283E-2</c:v>
                </c:pt>
                <c:pt idx="11">
                  <c:v>0.16556808597044767</c:v>
                </c:pt>
              </c:numCache>
            </c:numRef>
          </c:val>
          <c:extLst xmlns:c16r2="http://schemas.microsoft.com/office/drawing/2015/06/chart">
            <c:ext xmlns:c16="http://schemas.microsoft.com/office/drawing/2014/chart" uri="{C3380CC4-5D6E-409C-BE32-E72D297353CC}">
              <c16:uniqueId val="{00000000-0619-4171-8434-AF16F8844721}"/>
            </c:ext>
          </c:extLst>
        </c:ser>
        <c:dLbls>
          <c:showLegendKey val="0"/>
          <c:showVal val="0"/>
          <c:showCatName val="0"/>
          <c:showSerName val="0"/>
          <c:showPercent val="0"/>
          <c:showBubbleSize val="0"/>
        </c:dLbls>
        <c:gapWidth val="150"/>
        <c:axId val="332085888"/>
        <c:axId val="332095872"/>
      </c:barChart>
      <c:catAx>
        <c:axId val="332085888"/>
        <c:scaling>
          <c:orientation val="minMax"/>
        </c:scaling>
        <c:delete val="0"/>
        <c:axPos val="b"/>
        <c:numFmt formatCode="General" sourceLinked="0"/>
        <c:majorTickMark val="out"/>
        <c:minorTickMark val="none"/>
        <c:tickLblPos val="nextTo"/>
        <c:crossAx val="332095872"/>
        <c:crosses val="autoZero"/>
        <c:auto val="1"/>
        <c:lblAlgn val="ctr"/>
        <c:lblOffset val="100"/>
        <c:noMultiLvlLbl val="0"/>
      </c:catAx>
      <c:valAx>
        <c:axId val="332095872"/>
        <c:scaling>
          <c:orientation val="minMax"/>
        </c:scaling>
        <c:delete val="0"/>
        <c:axPos val="l"/>
        <c:majorGridlines>
          <c:spPr>
            <a:ln>
              <a:solidFill>
                <a:schemeClr val="tx1">
                  <a:lumMod val="15000"/>
                  <a:lumOff val="85000"/>
                </a:schemeClr>
              </a:solidFill>
            </a:ln>
          </c:spPr>
        </c:majorGridlines>
        <c:numFmt formatCode="0.00%" sourceLinked="1"/>
        <c:majorTickMark val="out"/>
        <c:minorTickMark val="none"/>
        <c:tickLblPos val="nextTo"/>
        <c:crossAx val="332085888"/>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Sayfa8!$A$1:$A$10</c:f>
              <c:strCache>
                <c:ptCount val="10"/>
                <c:pt idx="0">
                  <c:v>Other*</c:v>
                </c:pt>
                <c:pt idx="1">
                  <c:v>Service interruption</c:v>
                </c:pt>
                <c:pt idx="2">
                  <c:v>Guarentee payment / repayment</c:v>
                </c:pt>
                <c:pt idx="3">
                  <c:v>Erroneous billing</c:v>
                </c:pt>
                <c:pt idx="4">
                  <c:v>Service box</c:v>
                </c:pt>
                <c:pt idx="5">
                  <c:v>Communication problems</c:v>
                </c:pt>
                <c:pt idx="6">
                  <c:v>In-door installation company work</c:v>
                </c:pt>
                <c:pt idx="7">
                  <c:v>Invoice objections</c:v>
                </c:pt>
                <c:pt idx="8">
                  <c:v>Metering instrument related costs</c:v>
                </c:pt>
                <c:pt idx="9">
                  <c:v>Connection / Services Line</c:v>
                </c:pt>
              </c:strCache>
            </c:strRef>
          </c:cat>
          <c:val>
            <c:numRef>
              <c:f>Sayfa8!$B$1:$B$10</c:f>
              <c:numCache>
                <c:formatCode>0.00%</c:formatCode>
                <c:ptCount val="10"/>
                <c:pt idx="0">
                  <c:v>0.32777021703316384</c:v>
                </c:pt>
                <c:pt idx="1">
                  <c:v>1.8480051572236946E-2</c:v>
                </c:pt>
                <c:pt idx="2">
                  <c:v>1.8838192106582621E-2</c:v>
                </c:pt>
                <c:pt idx="3">
                  <c:v>2.1989828808824583E-2</c:v>
                </c:pt>
                <c:pt idx="4">
                  <c:v>2.2276341236301126E-2</c:v>
                </c:pt>
                <c:pt idx="5">
                  <c:v>2.4854953083590002E-2</c:v>
                </c:pt>
                <c:pt idx="6">
                  <c:v>2.5427977938543084E-2</c:v>
                </c:pt>
                <c:pt idx="7">
                  <c:v>3.3808466442231934E-2</c:v>
                </c:pt>
                <c:pt idx="8">
                  <c:v>3.8607549602464007E-2</c:v>
                </c:pt>
                <c:pt idx="9">
                  <c:v>0.46794642217606203</c:v>
                </c:pt>
              </c:numCache>
            </c:numRef>
          </c:val>
          <c:extLst xmlns:c16r2="http://schemas.microsoft.com/office/drawing/2015/06/chart">
            <c:ext xmlns:c16="http://schemas.microsoft.com/office/drawing/2014/chart" uri="{C3380CC4-5D6E-409C-BE32-E72D297353CC}">
              <c16:uniqueId val="{00000000-B621-4C8D-9FEC-EE3CAEE928CA}"/>
            </c:ext>
          </c:extLst>
        </c:ser>
        <c:dLbls>
          <c:showLegendKey val="0"/>
          <c:showVal val="0"/>
          <c:showCatName val="0"/>
          <c:showSerName val="0"/>
          <c:showPercent val="0"/>
          <c:showBubbleSize val="0"/>
        </c:dLbls>
        <c:gapWidth val="150"/>
        <c:axId val="332108160"/>
        <c:axId val="332109696"/>
      </c:barChart>
      <c:catAx>
        <c:axId val="332108160"/>
        <c:scaling>
          <c:orientation val="minMax"/>
        </c:scaling>
        <c:delete val="0"/>
        <c:axPos val="l"/>
        <c:numFmt formatCode="General" sourceLinked="0"/>
        <c:majorTickMark val="out"/>
        <c:minorTickMark val="none"/>
        <c:tickLblPos val="nextTo"/>
        <c:crossAx val="332109696"/>
        <c:crosses val="autoZero"/>
        <c:auto val="1"/>
        <c:lblAlgn val="ctr"/>
        <c:lblOffset val="100"/>
        <c:noMultiLvlLbl val="0"/>
      </c:catAx>
      <c:valAx>
        <c:axId val="332109696"/>
        <c:scaling>
          <c:orientation val="minMax"/>
        </c:scaling>
        <c:delete val="0"/>
        <c:axPos val="b"/>
        <c:majorGridlines>
          <c:spPr>
            <a:ln>
              <a:solidFill>
                <a:schemeClr val="tx1">
                  <a:lumMod val="15000"/>
                  <a:lumOff val="85000"/>
                </a:schemeClr>
              </a:solidFill>
            </a:ln>
          </c:spPr>
        </c:majorGridlines>
        <c:numFmt formatCode="0.00%" sourceLinked="1"/>
        <c:majorTickMark val="out"/>
        <c:minorTickMark val="none"/>
        <c:tickLblPos val="nextTo"/>
        <c:crossAx val="332108160"/>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Sayfa9!$A$1:$A$12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Sayfa9!$B$1:$B$12</c:f>
              <c:numCache>
                <c:formatCode>0.00%</c:formatCode>
                <c:ptCount val="12"/>
                <c:pt idx="0">
                  <c:v>0.10896748838871026</c:v>
                </c:pt>
                <c:pt idx="1">
                  <c:v>8.7459807073954982E-2</c:v>
                </c:pt>
                <c:pt idx="2">
                  <c:v>8.202929617720614E-2</c:v>
                </c:pt>
                <c:pt idx="3">
                  <c:v>5.6520185780635938E-2</c:v>
                </c:pt>
                <c:pt idx="4">
                  <c:v>6.573776348695963E-2</c:v>
                </c:pt>
                <c:pt idx="5">
                  <c:v>3.9442658092175779E-2</c:v>
                </c:pt>
                <c:pt idx="6">
                  <c:v>5.3519113969274744E-2</c:v>
                </c:pt>
                <c:pt idx="7">
                  <c:v>6.087888531618435E-2</c:v>
                </c:pt>
                <c:pt idx="8">
                  <c:v>7.4312254376563053E-2</c:v>
                </c:pt>
                <c:pt idx="9">
                  <c:v>0.11339764201500536</c:v>
                </c:pt>
                <c:pt idx="10">
                  <c:v>9.6820292961772067E-2</c:v>
                </c:pt>
                <c:pt idx="11">
                  <c:v>0.16091461236155771</c:v>
                </c:pt>
              </c:numCache>
            </c:numRef>
          </c:val>
          <c:extLst xmlns:c16r2="http://schemas.microsoft.com/office/drawing/2015/06/chart">
            <c:ext xmlns:c16="http://schemas.microsoft.com/office/drawing/2014/chart" uri="{C3380CC4-5D6E-409C-BE32-E72D297353CC}">
              <c16:uniqueId val="{00000000-90F2-4887-A8AB-F24A6EA2668D}"/>
            </c:ext>
          </c:extLst>
        </c:ser>
        <c:dLbls>
          <c:showLegendKey val="0"/>
          <c:showVal val="0"/>
          <c:showCatName val="0"/>
          <c:showSerName val="0"/>
          <c:showPercent val="0"/>
          <c:showBubbleSize val="0"/>
        </c:dLbls>
        <c:gapWidth val="150"/>
        <c:axId val="332126080"/>
        <c:axId val="332127616"/>
      </c:barChart>
      <c:catAx>
        <c:axId val="332126080"/>
        <c:scaling>
          <c:orientation val="minMax"/>
        </c:scaling>
        <c:delete val="0"/>
        <c:axPos val="b"/>
        <c:numFmt formatCode="General" sourceLinked="0"/>
        <c:majorTickMark val="out"/>
        <c:minorTickMark val="none"/>
        <c:tickLblPos val="nextTo"/>
        <c:crossAx val="332127616"/>
        <c:crosses val="autoZero"/>
        <c:auto val="1"/>
        <c:lblAlgn val="ctr"/>
        <c:lblOffset val="100"/>
        <c:noMultiLvlLbl val="0"/>
      </c:catAx>
      <c:valAx>
        <c:axId val="332127616"/>
        <c:scaling>
          <c:orientation val="minMax"/>
        </c:scaling>
        <c:delete val="0"/>
        <c:axPos val="l"/>
        <c:majorGridlines>
          <c:spPr>
            <a:ln>
              <a:solidFill>
                <a:schemeClr val="tx1">
                  <a:lumMod val="15000"/>
                  <a:lumOff val="85000"/>
                </a:schemeClr>
              </a:solidFill>
            </a:ln>
          </c:spPr>
        </c:majorGridlines>
        <c:numFmt formatCode="0.00%" sourceLinked="1"/>
        <c:majorTickMark val="out"/>
        <c:minorTickMark val="none"/>
        <c:tickLblPos val="nextTo"/>
        <c:crossAx val="332126080"/>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Sayfa11!$A$1:$A$10</c:f>
              <c:strCache>
                <c:ptCount val="10"/>
                <c:pt idx="0">
                  <c:v>Other*</c:v>
                </c:pt>
                <c:pt idx="1">
                  <c:v>Smuggled fuel</c:v>
                </c:pt>
                <c:pt idx="2">
                  <c:v>Violation of competition</c:v>
                </c:pt>
                <c:pt idx="3">
                  <c:v>Issues beyond the EMRA</c:v>
                </c:pt>
                <c:pt idx="4">
                  <c:v>Legislation / Recommendation</c:v>
                </c:pt>
                <c:pt idx="5">
                  <c:v>Customer service and quality</c:v>
                </c:pt>
                <c:pt idx="6">
                  <c:v>Not implementing price increase and decrease in tim</c:v>
                </c:pt>
                <c:pt idx="7">
                  <c:v>Incomplete fuel replenishment</c:v>
                </c:pt>
                <c:pt idx="8">
                  <c:v>Fuel contrary to Technical Regulations</c:v>
                </c:pt>
                <c:pt idx="9">
                  <c:v>Fuel Price and Price Increases</c:v>
                </c:pt>
              </c:strCache>
            </c:strRef>
          </c:cat>
          <c:val>
            <c:numRef>
              <c:f>Sayfa11!$B$1:$B$10</c:f>
              <c:numCache>
                <c:formatCode>0.00%</c:formatCode>
                <c:ptCount val="10"/>
                <c:pt idx="0">
                  <c:v>0.25288376220053238</c:v>
                </c:pt>
                <c:pt idx="1">
                  <c:v>6.2111801242236021E-3</c:v>
                </c:pt>
                <c:pt idx="2">
                  <c:v>6.2111801242236021E-3</c:v>
                </c:pt>
                <c:pt idx="3">
                  <c:v>1.3309671694764862E-2</c:v>
                </c:pt>
                <c:pt idx="4">
                  <c:v>1.9520851818988466E-2</c:v>
                </c:pt>
                <c:pt idx="5">
                  <c:v>2.4E-2</c:v>
                </c:pt>
                <c:pt idx="6">
                  <c:v>3.1055900621118012E-2</c:v>
                </c:pt>
                <c:pt idx="7">
                  <c:v>4.3478260869565216E-2</c:v>
                </c:pt>
                <c:pt idx="8">
                  <c:v>7.5421472937000883E-2</c:v>
                </c:pt>
                <c:pt idx="9">
                  <c:v>0.52617568766637091</c:v>
                </c:pt>
              </c:numCache>
            </c:numRef>
          </c:val>
          <c:extLst xmlns:c16r2="http://schemas.microsoft.com/office/drawing/2015/06/chart">
            <c:ext xmlns:c16="http://schemas.microsoft.com/office/drawing/2014/chart" uri="{C3380CC4-5D6E-409C-BE32-E72D297353CC}">
              <c16:uniqueId val="{00000000-D84D-4621-9739-0ABEB4655DC8}"/>
            </c:ext>
          </c:extLst>
        </c:ser>
        <c:dLbls>
          <c:showLegendKey val="0"/>
          <c:showVal val="0"/>
          <c:showCatName val="0"/>
          <c:showSerName val="0"/>
          <c:showPercent val="0"/>
          <c:showBubbleSize val="0"/>
        </c:dLbls>
        <c:gapWidth val="150"/>
        <c:axId val="332012544"/>
        <c:axId val="332034816"/>
      </c:barChart>
      <c:catAx>
        <c:axId val="332012544"/>
        <c:scaling>
          <c:orientation val="minMax"/>
        </c:scaling>
        <c:delete val="0"/>
        <c:axPos val="l"/>
        <c:numFmt formatCode="General" sourceLinked="0"/>
        <c:majorTickMark val="out"/>
        <c:minorTickMark val="none"/>
        <c:tickLblPos val="nextTo"/>
        <c:crossAx val="332034816"/>
        <c:crosses val="autoZero"/>
        <c:auto val="1"/>
        <c:lblAlgn val="ctr"/>
        <c:lblOffset val="100"/>
        <c:noMultiLvlLbl val="0"/>
      </c:catAx>
      <c:valAx>
        <c:axId val="332034816"/>
        <c:scaling>
          <c:orientation val="minMax"/>
        </c:scaling>
        <c:delete val="0"/>
        <c:axPos val="b"/>
        <c:majorGridlines>
          <c:spPr>
            <a:ln>
              <a:solidFill>
                <a:schemeClr val="tx1">
                  <a:lumMod val="15000"/>
                  <a:lumOff val="85000"/>
                </a:schemeClr>
              </a:solidFill>
            </a:ln>
          </c:spPr>
        </c:majorGridlines>
        <c:numFmt formatCode="0.00%" sourceLinked="1"/>
        <c:majorTickMark val="out"/>
        <c:minorTickMark val="none"/>
        <c:tickLblPos val="nextTo"/>
        <c:crossAx val="332012544"/>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dLbl>
              <c:idx val="0"/>
              <c:tx>
                <c:rich>
                  <a:bodyPr/>
                  <a:lstStyle/>
                  <a:p>
                    <a:r>
                      <a:rPr lang="en-US"/>
                      <a:t>22%</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719F-4F28-B607-5C89E6D2B38D}"/>
                </c:ext>
              </c:extLst>
            </c:dLbl>
            <c:dLbl>
              <c:idx val="1"/>
              <c:tx>
                <c:rich>
                  <a:bodyPr/>
                  <a:lstStyle/>
                  <a:p>
                    <a:r>
                      <a:rPr lang="en-US"/>
                      <a:t>1%</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19F-4F28-B607-5C89E6D2B38D}"/>
                </c:ext>
              </c:extLst>
            </c:dLbl>
            <c:dLbl>
              <c:idx val="2"/>
              <c:tx>
                <c:rich>
                  <a:bodyPr/>
                  <a:lstStyle/>
                  <a:p>
                    <a:r>
                      <a:rPr lang="en-US"/>
                      <a:t>1%</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19F-4F28-B607-5C89E6D2B38D}"/>
                </c:ext>
              </c:extLst>
            </c:dLbl>
            <c:dLbl>
              <c:idx val="3"/>
              <c:tx>
                <c:rich>
                  <a:bodyPr/>
                  <a:lstStyle/>
                  <a:p>
                    <a:r>
                      <a:rPr lang="en-US"/>
                      <a:t>2%</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19F-4F28-B607-5C89E6D2B38D}"/>
                </c:ext>
              </c:extLst>
            </c:dLbl>
            <c:dLbl>
              <c:idx val="4"/>
              <c:tx>
                <c:rich>
                  <a:bodyPr/>
                  <a:lstStyle/>
                  <a:p>
                    <a:r>
                      <a:rPr lang="en-US"/>
                      <a:t>2%</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19F-4F28-B607-5C89E6D2B38D}"/>
                </c:ext>
              </c:extLst>
            </c:dLbl>
            <c:dLbl>
              <c:idx val="5"/>
              <c:tx>
                <c:rich>
                  <a:bodyPr/>
                  <a:lstStyle/>
                  <a:p>
                    <a:r>
                      <a:rPr lang="en-US"/>
                      <a:t>2%</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19F-4F28-B607-5C89E6D2B38D}"/>
                </c:ext>
              </c:extLst>
            </c:dLbl>
            <c:dLbl>
              <c:idx val="6"/>
              <c:tx>
                <c:rich>
                  <a:bodyPr/>
                  <a:lstStyle/>
                  <a:p>
                    <a:r>
                      <a:rPr lang="en-US"/>
                      <a:t>3%</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719F-4F28-B607-5C89E6D2B38D}"/>
                </c:ext>
              </c:extLst>
            </c:dLbl>
            <c:dLbl>
              <c:idx val="7"/>
              <c:tx>
                <c:rich>
                  <a:bodyPr/>
                  <a:lstStyle/>
                  <a:p>
                    <a:r>
                      <a:rPr lang="en-US"/>
                      <a:t>3%</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719F-4F28-B607-5C89E6D2B38D}"/>
                </c:ext>
              </c:extLst>
            </c:dLbl>
            <c:dLbl>
              <c:idx val="8"/>
              <c:tx>
                <c:rich>
                  <a:bodyPr/>
                  <a:lstStyle/>
                  <a:p>
                    <a:r>
                      <a:rPr lang="en-US"/>
                      <a:t>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719F-4F28-B607-5C89E6D2B38D}"/>
                </c:ext>
              </c:extLst>
            </c:dLbl>
            <c:dLbl>
              <c:idx val="9"/>
              <c:tx>
                <c:rich>
                  <a:bodyPr/>
                  <a:lstStyle/>
                  <a:p>
                    <a:r>
                      <a:rPr lang="en-US"/>
                      <a:t>58%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719F-4F28-B607-5C89E6D2B38D}"/>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Sayfa16!$A$1:$A$10</c:f>
              <c:strCache>
                <c:ptCount val="10"/>
                <c:pt idx="0">
                  <c:v>Other*</c:v>
                </c:pt>
                <c:pt idx="1">
                  <c:v>Pump and Sign Sub-categories such as Price Differences</c:v>
                </c:pt>
                <c:pt idx="2">
                  <c:v>Facility Security</c:v>
                </c:pt>
                <c:pt idx="3">
                  <c:v>Smuggled LPG</c:v>
                </c:pt>
                <c:pt idx="4">
                  <c:v>Issues beyond the EMRA</c:v>
                </c:pt>
                <c:pt idx="5">
                  <c:v>Violation of competition</c:v>
                </c:pt>
                <c:pt idx="6">
                  <c:v>Legislation / Recommendation</c:v>
                </c:pt>
                <c:pt idx="7">
                  <c:v>LPG in contradiction to Technical Regulations</c:v>
                </c:pt>
                <c:pt idx="8">
                  <c:v>Timely Implementation of Price Increases and Declines</c:v>
                </c:pt>
                <c:pt idx="9">
                  <c:v>LPG Price and Price Increases</c:v>
                </c:pt>
              </c:strCache>
            </c:strRef>
          </c:cat>
          <c:val>
            <c:numRef>
              <c:f>Sayfa16!$B$1:$B$10</c:f>
              <c:numCache>
                <c:formatCode>0.00%</c:formatCode>
                <c:ptCount val="10"/>
                <c:pt idx="0">
                  <c:v>0.22</c:v>
                </c:pt>
                <c:pt idx="1">
                  <c:v>0.01</c:v>
                </c:pt>
                <c:pt idx="2">
                  <c:v>0.01</c:v>
                </c:pt>
                <c:pt idx="3">
                  <c:v>0.02</c:v>
                </c:pt>
                <c:pt idx="4">
                  <c:v>0.02</c:v>
                </c:pt>
                <c:pt idx="5">
                  <c:v>0.02</c:v>
                </c:pt>
                <c:pt idx="6">
                  <c:v>0.03</c:v>
                </c:pt>
                <c:pt idx="7">
                  <c:v>0.03</c:v>
                </c:pt>
                <c:pt idx="8">
                  <c:v>0.06</c:v>
                </c:pt>
                <c:pt idx="9">
                  <c:v>0.57999999999999996</c:v>
                </c:pt>
              </c:numCache>
            </c:numRef>
          </c:val>
          <c:extLst xmlns:c16r2="http://schemas.microsoft.com/office/drawing/2015/06/chart">
            <c:ext xmlns:c16="http://schemas.microsoft.com/office/drawing/2014/chart" uri="{C3380CC4-5D6E-409C-BE32-E72D297353CC}">
              <c16:uniqueId val="{0000000A-719F-4F28-B607-5C89E6D2B38D}"/>
            </c:ext>
          </c:extLst>
        </c:ser>
        <c:dLbls>
          <c:showLegendKey val="0"/>
          <c:showVal val="0"/>
          <c:showCatName val="0"/>
          <c:showSerName val="0"/>
          <c:showPercent val="0"/>
          <c:showBubbleSize val="0"/>
        </c:dLbls>
        <c:gapWidth val="150"/>
        <c:axId val="332059392"/>
        <c:axId val="332060928"/>
      </c:barChart>
      <c:catAx>
        <c:axId val="332059392"/>
        <c:scaling>
          <c:orientation val="minMax"/>
        </c:scaling>
        <c:delete val="0"/>
        <c:axPos val="l"/>
        <c:numFmt formatCode="General" sourceLinked="0"/>
        <c:majorTickMark val="out"/>
        <c:minorTickMark val="none"/>
        <c:tickLblPos val="nextTo"/>
        <c:crossAx val="332060928"/>
        <c:crosses val="autoZero"/>
        <c:auto val="1"/>
        <c:lblAlgn val="ctr"/>
        <c:lblOffset val="100"/>
        <c:noMultiLvlLbl val="0"/>
      </c:catAx>
      <c:valAx>
        <c:axId val="332060928"/>
        <c:scaling>
          <c:orientation val="minMax"/>
        </c:scaling>
        <c:delete val="0"/>
        <c:axPos val="b"/>
        <c:majorGridlines>
          <c:spPr>
            <a:ln>
              <a:solidFill>
                <a:schemeClr val="tx1">
                  <a:lumMod val="15000"/>
                  <a:lumOff val="85000"/>
                </a:schemeClr>
              </a:solidFill>
            </a:ln>
          </c:spPr>
        </c:majorGridlines>
        <c:numFmt formatCode="0.00%" sourceLinked="1"/>
        <c:majorTickMark val="out"/>
        <c:minorTickMark val="none"/>
        <c:tickLblPos val="nextTo"/>
        <c:crossAx val="332059392"/>
        <c:crosses val="autoZero"/>
        <c:crossBetween val="between"/>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884-43E7-94F6-4C6B743EEB9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884-43E7-94F6-4C6B743EEB96}"/>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884-43E7-94F6-4C6B743EEB96}"/>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C884-43E7-94F6-4C6B743EEB96}"/>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C884-43E7-94F6-4C6B743EEB96}"/>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C884-43E7-94F6-4C6B743EEB96}"/>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C884-43E7-94F6-4C6B743EEB96}"/>
              </c:ext>
            </c:extLst>
          </c:dPt>
          <c:dLbls>
            <c:dLbl>
              <c:idx val="0"/>
              <c:layout>
                <c:manualLayout>
                  <c:x val="-7.2560148731408577E-2"/>
                  <c:y val="-3.0219742864554134E-2"/>
                </c:manualLayout>
              </c:layout>
              <c:tx>
                <c:rich>
                  <a:bodyPr/>
                  <a:lstStyle/>
                  <a:p>
                    <a:r>
                      <a:rPr lang="en-US"/>
                      <a:t>Electricity</a:t>
                    </a:r>
                    <a:r>
                      <a:rPr lang="en-US" baseline="0"/>
                      <a:t> Disconnections</a:t>
                    </a:r>
                    <a:r>
                      <a:rPr lang="en-US"/>
                      <a:t>; 27; 31%</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884-43E7-94F6-4C6B743EEB96}"/>
                </c:ext>
              </c:extLst>
            </c:dLbl>
            <c:dLbl>
              <c:idx val="1"/>
              <c:layout>
                <c:manualLayout>
                  <c:x val="0.11200437445319335"/>
                  <c:y val="-8.3586539507484792E-2"/>
                </c:manualLayout>
              </c:layout>
              <c:tx>
                <c:rich>
                  <a:bodyPr/>
                  <a:lstStyle/>
                  <a:p>
                    <a:r>
                      <a:rPr lang="en-US" sz="900" b="0" i="0" u="none" strike="noStrike" baseline="0"/>
                      <a:t>Tariff Regulations</a:t>
                    </a:r>
                    <a:r>
                      <a:rPr lang="en-US"/>
                      <a:t>; 25; 29%</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884-43E7-94F6-4C6B743EEB96}"/>
                </c:ext>
              </c:extLst>
            </c:dLbl>
            <c:dLbl>
              <c:idx val="2"/>
              <c:layout>
                <c:manualLayout>
                  <c:x val="8.4806873189294252E-3"/>
                  <c:y val="-4.2101954664502256E-3"/>
                </c:manualLayout>
              </c:layout>
              <c:tx>
                <c:rich>
                  <a:bodyPr/>
                  <a:lstStyle/>
                  <a:p>
                    <a:r>
                      <a:rPr lang="en-US"/>
                      <a:t>Loss-Leakage</a:t>
                    </a:r>
                    <a:r>
                      <a:rPr lang="en-US" baseline="0"/>
                      <a:t> and its effect on electricity tariff</a:t>
                    </a:r>
                    <a:r>
                      <a:rPr lang="en-US"/>
                      <a:t>; 6; 7%</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884-43E7-94F6-4C6B743EEB96}"/>
                </c:ext>
              </c:extLst>
            </c:dLbl>
            <c:dLbl>
              <c:idx val="3"/>
              <c:tx>
                <c:rich>
                  <a:bodyPr/>
                  <a:lstStyle/>
                  <a:p>
                    <a:r>
                      <a:rPr lang="en-US"/>
                      <a:t>Licensing</a:t>
                    </a:r>
                    <a:r>
                      <a:rPr lang="en-US" baseline="0"/>
                      <a:t> and license informations</a:t>
                    </a:r>
                    <a:r>
                      <a:rPr lang="en-US"/>
                      <a:t>; 4; 5%</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884-43E7-94F6-4C6B743EEB96}"/>
                </c:ext>
              </c:extLst>
            </c:dLbl>
            <c:dLbl>
              <c:idx val="4"/>
              <c:tx>
                <c:rich>
                  <a:bodyPr/>
                  <a:lstStyle/>
                  <a:p>
                    <a:r>
                      <a:rPr lang="en-US"/>
                      <a:t>Renewable</a:t>
                    </a:r>
                    <a:r>
                      <a:rPr lang="en-US" baseline="0"/>
                      <a:t> Energy</a:t>
                    </a:r>
                    <a:r>
                      <a:rPr lang="en-US"/>
                      <a:t>; 3; 3%</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884-43E7-94F6-4C6B743EEB96}"/>
                </c:ext>
              </c:extLst>
            </c:dLbl>
            <c:dLbl>
              <c:idx val="5"/>
              <c:tx>
                <c:rich>
                  <a:bodyPr/>
                  <a:lstStyle/>
                  <a:p>
                    <a:r>
                      <a:rPr lang="en-US"/>
                      <a:t>EMRA</a:t>
                    </a:r>
                    <a:r>
                      <a:rPr lang="en-US" baseline="0"/>
                      <a:t> Work and Operations</a:t>
                    </a:r>
                    <a:r>
                      <a:rPr lang="en-US"/>
                      <a:t>; 2; 2%</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C884-43E7-94F6-4C6B743EEB96}"/>
                </c:ext>
              </c:extLst>
            </c:dLbl>
            <c:dLbl>
              <c:idx val="6"/>
              <c:layout>
                <c:manualLayout>
                  <c:x val="2.4091972878390201E-2"/>
                  <c:y val="1.4214410630161746E-3"/>
                </c:manualLayout>
              </c:layout>
              <c:tx>
                <c:rich>
                  <a:bodyPr/>
                  <a:lstStyle/>
                  <a:p>
                    <a:r>
                      <a:rPr lang="en-US"/>
                      <a:t>Other ; 20; 23%</a:t>
                    </a:r>
                  </a:p>
                </c:rich>
              </c:tx>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C884-43E7-94F6-4C6B743EEB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'özel\2019 Yılı Faaliyet Raporu Dosyası\[soru önergesi.xlsx]Sayfa1'!$A$2:$A$8</c:f>
              <c:strCache>
                <c:ptCount val="7"/>
                <c:pt idx="0">
                  <c:v>Elektrik Kesintisi</c:v>
                </c:pt>
                <c:pt idx="1">
                  <c:v>Tarife Düzenlemeleri </c:v>
                </c:pt>
                <c:pt idx="2">
                  <c:v>Kayıp-Kaçak ve Elektrik Tarifesine Etkisi</c:v>
                </c:pt>
                <c:pt idx="3">
                  <c:v>Lisanslandırma ve lisans bilgileri</c:v>
                </c:pt>
                <c:pt idx="4">
                  <c:v>Yenilenebilir Enerji</c:v>
                </c:pt>
                <c:pt idx="5">
                  <c:v>EPDK İş ve İşlemleri</c:v>
                </c:pt>
                <c:pt idx="6">
                  <c:v>Diğer </c:v>
                </c:pt>
              </c:strCache>
            </c:strRef>
          </c:cat>
          <c:val>
            <c:numRef>
              <c:f>'özel\2019 Yılı Faaliyet Raporu Dosyası\[soru önergesi.xlsx]Sayfa1'!$B$2:$B$8</c:f>
              <c:numCache>
                <c:formatCode>General</c:formatCode>
                <c:ptCount val="7"/>
                <c:pt idx="0">
                  <c:v>27</c:v>
                </c:pt>
                <c:pt idx="1">
                  <c:v>25</c:v>
                </c:pt>
                <c:pt idx="2">
                  <c:v>6</c:v>
                </c:pt>
                <c:pt idx="3">
                  <c:v>4</c:v>
                </c:pt>
                <c:pt idx="4">
                  <c:v>3</c:v>
                </c:pt>
                <c:pt idx="5">
                  <c:v>2</c:v>
                </c:pt>
                <c:pt idx="6">
                  <c:v>20</c:v>
                </c:pt>
              </c:numCache>
            </c:numRef>
          </c:val>
          <c:extLst xmlns:c16r2="http://schemas.microsoft.com/office/drawing/2015/06/chart">
            <c:ext xmlns:c16="http://schemas.microsoft.com/office/drawing/2014/chart" uri="{C3380CC4-5D6E-409C-BE32-E72D297353CC}">
              <c16:uniqueId val="{0000000E-C884-43E7-94F6-4C6B743EEB96}"/>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80AB8-E98F-400E-906E-80A6272D0598}" type="doc">
      <dgm:prSet loTypeId="urn:microsoft.com/office/officeart/2005/8/layout/orgChart1" loCatId="hierarchy" qsTypeId="urn:microsoft.com/office/officeart/2005/8/quickstyle/simple2" qsCatId="simple" csTypeId="urn:microsoft.com/office/officeart/2005/8/colors/accent1_4" csCatId="accent1" phldr="1"/>
      <dgm:spPr/>
      <dgm:t>
        <a:bodyPr/>
        <a:lstStyle/>
        <a:p>
          <a:endParaRPr lang="tr-TR"/>
        </a:p>
      </dgm:t>
    </dgm:pt>
    <dgm:pt modelId="{10394310-CFAD-479A-A8E2-2E6737E8F278}">
      <dgm:prSet phldrT="[Metin]" custT="1"/>
      <dgm:spPr>
        <a:solidFill>
          <a:schemeClr val="accent2">
            <a:lumMod val="60000"/>
            <a:lumOff val="40000"/>
          </a:schemeClr>
        </a:solidFill>
      </dgm:spPr>
      <dgm:t>
        <a:bodyPr/>
        <a:lstStyle/>
        <a:p>
          <a:pPr algn="ctr"/>
          <a:r>
            <a:rPr lang="tr-TR" sz="900" b="1">
              <a:solidFill>
                <a:sysClr val="windowText" lastClr="000000"/>
              </a:solidFill>
            </a:rPr>
            <a:t>President</a:t>
          </a:r>
        </a:p>
      </dgm:t>
    </dgm:pt>
    <dgm:pt modelId="{20BD3997-EA8F-467C-86CF-57795518F7D0}" type="parTrans" cxnId="{C8FFDCFA-ECD1-4460-BC87-5D448CBC355C}">
      <dgm:prSet/>
      <dgm:spPr/>
      <dgm:t>
        <a:bodyPr/>
        <a:lstStyle/>
        <a:p>
          <a:pPr algn="ctr"/>
          <a:endParaRPr lang="tr-TR" sz="2400" b="0">
            <a:solidFill>
              <a:sysClr val="windowText" lastClr="000000"/>
            </a:solidFill>
          </a:endParaRPr>
        </a:p>
      </dgm:t>
    </dgm:pt>
    <dgm:pt modelId="{6ECC2712-D489-475C-876F-942D1B822956}" type="sibTrans" cxnId="{C8FFDCFA-ECD1-4460-BC87-5D448CBC355C}">
      <dgm:prSet/>
      <dgm:spPr/>
      <dgm:t>
        <a:bodyPr/>
        <a:lstStyle/>
        <a:p>
          <a:pPr algn="ctr"/>
          <a:endParaRPr lang="tr-TR" sz="2400" b="0">
            <a:solidFill>
              <a:sysClr val="windowText" lastClr="000000"/>
            </a:solidFill>
          </a:endParaRPr>
        </a:p>
      </dgm:t>
    </dgm:pt>
    <dgm:pt modelId="{0D844017-8824-4EE4-98B5-B8DF89884FBD}" type="asst">
      <dgm:prSet phldrT="[Metin]" custT="1"/>
      <dgm:spPr>
        <a:solidFill>
          <a:schemeClr val="accent2">
            <a:lumMod val="40000"/>
            <a:lumOff val="60000"/>
          </a:schemeClr>
        </a:solidFill>
      </dgm:spPr>
      <dgm:t>
        <a:bodyPr/>
        <a:lstStyle/>
        <a:p>
          <a:pPr algn="ctr"/>
          <a:r>
            <a:rPr lang="tr-TR" sz="700" b="0">
              <a:solidFill>
                <a:sysClr val="windowText" lastClr="000000"/>
              </a:solidFill>
            </a:rPr>
            <a:t>Private Secretary</a:t>
          </a:r>
        </a:p>
      </dgm:t>
    </dgm:pt>
    <dgm:pt modelId="{B25E239B-EBCF-48F4-9AEC-9D950501DA62}" type="parTrans" cxnId="{E0379F80-89CB-4A36-A690-CB41EC26AC98}">
      <dgm:prSet/>
      <dgm:spPr/>
      <dgm:t>
        <a:bodyPr/>
        <a:lstStyle/>
        <a:p>
          <a:pPr algn="ctr"/>
          <a:endParaRPr lang="tr-TR" sz="2400" b="0">
            <a:solidFill>
              <a:sysClr val="windowText" lastClr="000000"/>
            </a:solidFill>
          </a:endParaRPr>
        </a:p>
      </dgm:t>
    </dgm:pt>
    <dgm:pt modelId="{9FEC2810-6CA4-4F94-81A1-A41394B06F75}" type="sibTrans" cxnId="{E0379F80-89CB-4A36-A690-CB41EC26AC98}">
      <dgm:prSet/>
      <dgm:spPr/>
      <dgm:t>
        <a:bodyPr/>
        <a:lstStyle/>
        <a:p>
          <a:pPr algn="ctr"/>
          <a:endParaRPr lang="tr-TR" sz="2400" b="0">
            <a:solidFill>
              <a:sysClr val="windowText" lastClr="000000"/>
            </a:solidFill>
          </a:endParaRPr>
        </a:p>
      </dgm:t>
    </dgm:pt>
    <dgm:pt modelId="{99994473-2E43-49F1-82D3-29CD46A6613A}">
      <dgm:prSet phldrT="[Metin]" custT="1"/>
      <dgm:spPr>
        <a:solidFill>
          <a:schemeClr val="accent2">
            <a:lumMod val="40000"/>
            <a:lumOff val="60000"/>
          </a:schemeClr>
        </a:solidFill>
      </dgm:spPr>
      <dgm:t>
        <a:bodyPr/>
        <a:lstStyle/>
        <a:p>
          <a:pPr algn="ctr"/>
          <a:r>
            <a:rPr lang="tr-TR" sz="700" b="0">
              <a:solidFill>
                <a:sysClr val="windowText" lastClr="000000"/>
              </a:solidFill>
            </a:rPr>
            <a:t>Vice President</a:t>
          </a:r>
        </a:p>
      </dgm:t>
    </dgm:pt>
    <dgm:pt modelId="{58388CD6-C3F5-4D11-B568-44B60AC09654}" type="parTrans" cxnId="{20E63BA2-C06A-4824-8803-189EB087341F}">
      <dgm:prSet/>
      <dgm:spPr/>
      <dgm:t>
        <a:bodyPr/>
        <a:lstStyle/>
        <a:p>
          <a:pPr algn="ctr"/>
          <a:endParaRPr lang="tr-TR" sz="2400" b="0">
            <a:solidFill>
              <a:sysClr val="windowText" lastClr="000000"/>
            </a:solidFill>
          </a:endParaRPr>
        </a:p>
      </dgm:t>
    </dgm:pt>
    <dgm:pt modelId="{C11E04E8-42FD-48AE-97E7-C74883D6FFC0}" type="sibTrans" cxnId="{20E63BA2-C06A-4824-8803-189EB087341F}">
      <dgm:prSet/>
      <dgm:spPr/>
      <dgm:t>
        <a:bodyPr/>
        <a:lstStyle/>
        <a:p>
          <a:pPr algn="ctr"/>
          <a:endParaRPr lang="tr-TR" sz="2400" b="0">
            <a:solidFill>
              <a:sysClr val="windowText" lastClr="000000"/>
            </a:solidFill>
          </a:endParaRPr>
        </a:p>
      </dgm:t>
    </dgm:pt>
    <dgm:pt modelId="{C634C660-3F08-4737-983E-BC4E46730E60}" type="asst">
      <dgm:prSet phldrT="[Metin]" custT="1"/>
      <dgm:spPr>
        <a:solidFill>
          <a:schemeClr val="accent2">
            <a:lumMod val="40000"/>
            <a:lumOff val="60000"/>
          </a:schemeClr>
        </a:solidFill>
      </dgm:spPr>
      <dgm:t>
        <a:bodyPr/>
        <a:lstStyle/>
        <a:p>
          <a:pPr algn="ctr"/>
          <a:r>
            <a:rPr lang="tr-TR" sz="700" b="0">
              <a:solidFill>
                <a:sysClr val="windowText" lastClr="000000"/>
              </a:solidFill>
            </a:rPr>
            <a:t>Board Services</a:t>
          </a:r>
        </a:p>
      </dgm:t>
    </dgm:pt>
    <dgm:pt modelId="{9595A993-FCD5-4EE4-8382-52A69B09D264}" type="parTrans" cxnId="{88A16652-588C-4AC2-8AAA-EE6AEA5428A7}">
      <dgm:prSet/>
      <dgm:spPr/>
      <dgm:t>
        <a:bodyPr/>
        <a:lstStyle/>
        <a:p>
          <a:pPr algn="ctr"/>
          <a:endParaRPr lang="tr-TR" sz="2400" b="0">
            <a:solidFill>
              <a:sysClr val="windowText" lastClr="000000"/>
            </a:solidFill>
          </a:endParaRPr>
        </a:p>
      </dgm:t>
    </dgm:pt>
    <dgm:pt modelId="{E14D3238-9F8C-4E97-A29A-6817FA8240DF}" type="sibTrans" cxnId="{88A16652-588C-4AC2-8AAA-EE6AEA5428A7}">
      <dgm:prSet/>
      <dgm:spPr/>
      <dgm:t>
        <a:bodyPr/>
        <a:lstStyle/>
        <a:p>
          <a:pPr algn="ctr"/>
          <a:endParaRPr lang="tr-TR" sz="2400" b="0">
            <a:solidFill>
              <a:sysClr val="windowText" lastClr="000000"/>
            </a:solidFill>
          </a:endParaRPr>
        </a:p>
      </dgm:t>
    </dgm:pt>
    <dgm:pt modelId="{1C24A6BF-B111-4254-97C3-0F2E9D8101A0}" type="asst">
      <dgm:prSet phldrT="[Metin]" custT="1"/>
      <dgm:spPr>
        <a:solidFill>
          <a:schemeClr val="accent2">
            <a:lumMod val="40000"/>
            <a:lumOff val="60000"/>
          </a:schemeClr>
        </a:solidFill>
      </dgm:spPr>
      <dgm:t>
        <a:bodyPr/>
        <a:lstStyle/>
        <a:p>
          <a:pPr algn="ctr"/>
          <a:r>
            <a:rPr lang="en-US" sz="700">
              <a:solidFill>
                <a:sysClr val="windowText" lastClr="000000"/>
              </a:solidFill>
            </a:rPr>
            <a:t>Office of Press and Public Relations Counsellor </a:t>
          </a:r>
          <a:endParaRPr lang="tr-TR" sz="700" b="0">
            <a:solidFill>
              <a:sysClr val="windowText" lastClr="000000"/>
            </a:solidFill>
          </a:endParaRPr>
        </a:p>
      </dgm:t>
    </dgm:pt>
    <dgm:pt modelId="{F8AC3784-F07C-4A96-A8A3-7B4B570FCDCC}" type="parTrans" cxnId="{B7826CF4-87A1-42C3-A43D-379C2A86E49B}">
      <dgm:prSet/>
      <dgm:spPr/>
      <dgm:t>
        <a:bodyPr/>
        <a:lstStyle/>
        <a:p>
          <a:pPr algn="ctr"/>
          <a:endParaRPr lang="tr-TR" sz="2400" b="0">
            <a:solidFill>
              <a:sysClr val="windowText" lastClr="000000"/>
            </a:solidFill>
          </a:endParaRPr>
        </a:p>
      </dgm:t>
    </dgm:pt>
    <dgm:pt modelId="{5B3B82A7-747A-4259-837C-A0AB98DF0A27}" type="sibTrans" cxnId="{B7826CF4-87A1-42C3-A43D-379C2A86E49B}">
      <dgm:prSet/>
      <dgm:spPr/>
      <dgm:t>
        <a:bodyPr/>
        <a:lstStyle/>
        <a:p>
          <a:pPr algn="ctr"/>
          <a:endParaRPr lang="tr-TR" sz="2400" b="0">
            <a:solidFill>
              <a:sysClr val="windowText" lastClr="000000"/>
            </a:solidFill>
          </a:endParaRPr>
        </a:p>
      </dgm:t>
    </dgm:pt>
    <dgm:pt modelId="{600BE7BE-433F-4083-9E12-9F720D312717}" type="asst">
      <dgm:prSet phldrT="[Metin]" custT="1"/>
      <dgm:spPr>
        <a:solidFill>
          <a:schemeClr val="accent2">
            <a:lumMod val="40000"/>
            <a:lumOff val="60000"/>
          </a:schemeClr>
        </a:solidFill>
      </dgm:spPr>
      <dgm:t>
        <a:bodyPr/>
        <a:lstStyle/>
        <a:p>
          <a:pPr algn="ctr"/>
          <a:r>
            <a:rPr lang="tr-TR" sz="700" b="0">
              <a:solidFill>
                <a:sysClr val="windowText" lastClr="000000"/>
              </a:solidFill>
            </a:rPr>
            <a:t>Istanbul Liaison Office</a:t>
          </a:r>
        </a:p>
      </dgm:t>
    </dgm:pt>
    <dgm:pt modelId="{285498ED-C03F-4316-9879-9D648B6382C9}" type="parTrans" cxnId="{9DAB0B79-DD8C-4624-8240-297C603B724F}">
      <dgm:prSet/>
      <dgm:spPr/>
      <dgm:t>
        <a:bodyPr/>
        <a:lstStyle/>
        <a:p>
          <a:pPr algn="ctr"/>
          <a:endParaRPr lang="tr-TR" sz="2400" b="0">
            <a:solidFill>
              <a:sysClr val="windowText" lastClr="000000"/>
            </a:solidFill>
          </a:endParaRPr>
        </a:p>
      </dgm:t>
    </dgm:pt>
    <dgm:pt modelId="{CCE34A46-04F4-486B-84CD-56BA2D9818C5}" type="sibTrans" cxnId="{9DAB0B79-DD8C-4624-8240-297C603B724F}">
      <dgm:prSet/>
      <dgm:spPr/>
      <dgm:t>
        <a:bodyPr/>
        <a:lstStyle/>
        <a:p>
          <a:pPr algn="ctr"/>
          <a:endParaRPr lang="tr-TR" sz="2400" b="0">
            <a:solidFill>
              <a:sysClr val="windowText" lastClr="000000"/>
            </a:solidFill>
          </a:endParaRPr>
        </a:p>
      </dgm:t>
    </dgm:pt>
    <dgm:pt modelId="{470694A6-BF79-4A56-888A-D8DFAB6ED736}">
      <dgm:prSet phldrT="[Metin]" custT="1"/>
      <dgm:spPr>
        <a:solidFill>
          <a:schemeClr val="accent2">
            <a:lumMod val="40000"/>
            <a:lumOff val="60000"/>
          </a:schemeClr>
        </a:solidFill>
      </dgm:spPr>
      <dgm:t>
        <a:bodyPr/>
        <a:lstStyle/>
        <a:p>
          <a:pPr algn="ctr"/>
          <a:r>
            <a:rPr lang="tr-TR" sz="700" b="0">
              <a:solidFill>
                <a:sysClr val="windowText" lastClr="000000"/>
              </a:solidFill>
            </a:rPr>
            <a:t>Legal Affairs Dept.</a:t>
          </a:r>
        </a:p>
      </dgm:t>
    </dgm:pt>
    <dgm:pt modelId="{0AA80D02-3605-4092-B56E-6252947AB830}" type="parTrans" cxnId="{5148FAC0-7D75-4AEE-BBB3-6AB258C61739}">
      <dgm:prSet/>
      <dgm:spPr/>
      <dgm:t>
        <a:bodyPr/>
        <a:lstStyle/>
        <a:p>
          <a:pPr algn="ctr"/>
          <a:endParaRPr lang="tr-TR" sz="2400" b="0">
            <a:solidFill>
              <a:sysClr val="windowText" lastClr="000000"/>
            </a:solidFill>
          </a:endParaRPr>
        </a:p>
      </dgm:t>
    </dgm:pt>
    <dgm:pt modelId="{BBAD3EC1-ED8B-4200-95FC-9AFF0868374A}" type="sibTrans" cxnId="{5148FAC0-7D75-4AEE-BBB3-6AB258C61739}">
      <dgm:prSet/>
      <dgm:spPr/>
      <dgm:t>
        <a:bodyPr/>
        <a:lstStyle/>
        <a:p>
          <a:pPr algn="ctr"/>
          <a:endParaRPr lang="tr-TR" sz="2400" b="0">
            <a:solidFill>
              <a:sysClr val="windowText" lastClr="000000"/>
            </a:solidFill>
          </a:endParaRPr>
        </a:p>
      </dgm:t>
    </dgm:pt>
    <dgm:pt modelId="{77D444E7-07C1-4D5D-B9FF-896775508B7C}">
      <dgm:prSet phldrT="[Metin]" custT="1"/>
      <dgm:spPr>
        <a:solidFill>
          <a:schemeClr val="accent2">
            <a:lumMod val="40000"/>
            <a:lumOff val="60000"/>
          </a:schemeClr>
        </a:solidFill>
      </dgm:spPr>
      <dgm:t>
        <a:bodyPr/>
        <a:lstStyle/>
        <a:p>
          <a:pPr algn="ctr"/>
          <a:r>
            <a:rPr lang="tr-TR" sz="700" b="0">
              <a:solidFill>
                <a:sysClr val="windowText" lastClr="000000"/>
              </a:solidFill>
            </a:rPr>
            <a:t>LPG Market Dept.</a:t>
          </a:r>
        </a:p>
      </dgm:t>
    </dgm:pt>
    <dgm:pt modelId="{B50221CD-2E8A-4911-84E8-1E92B4A3F565}" type="parTrans" cxnId="{AC0FB222-6438-49A0-A499-75D40596179F}">
      <dgm:prSet/>
      <dgm:spPr/>
      <dgm:t>
        <a:bodyPr/>
        <a:lstStyle/>
        <a:p>
          <a:pPr algn="ctr"/>
          <a:endParaRPr lang="tr-TR" sz="2400" b="0">
            <a:solidFill>
              <a:sysClr val="windowText" lastClr="000000"/>
            </a:solidFill>
          </a:endParaRPr>
        </a:p>
      </dgm:t>
    </dgm:pt>
    <dgm:pt modelId="{BA7F4A90-153B-4996-A5D9-801991235E3B}" type="sibTrans" cxnId="{AC0FB222-6438-49A0-A499-75D40596179F}">
      <dgm:prSet/>
      <dgm:spPr/>
      <dgm:t>
        <a:bodyPr/>
        <a:lstStyle/>
        <a:p>
          <a:pPr algn="ctr"/>
          <a:endParaRPr lang="tr-TR" sz="2400" b="0">
            <a:solidFill>
              <a:sysClr val="windowText" lastClr="000000"/>
            </a:solidFill>
          </a:endParaRPr>
        </a:p>
      </dgm:t>
    </dgm:pt>
    <dgm:pt modelId="{4021D9B5-FA8D-4ED3-8E53-BB4D710B8311}">
      <dgm:prSet phldrT="[Metin]" custT="1"/>
      <dgm:spPr>
        <a:solidFill>
          <a:schemeClr val="accent2">
            <a:lumMod val="40000"/>
            <a:lumOff val="60000"/>
          </a:schemeClr>
        </a:solidFill>
      </dgm:spPr>
      <dgm:t>
        <a:bodyPr/>
        <a:lstStyle/>
        <a:p>
          <a:pPr algn="ctr"/>
          <a:r>
            <a:rPr lang="tr-TR" sz="700" b="0">
              <a:solidFill>
                <a:sysClr val="windowText" lastClr="000000"/>
              </a:solidFill>
            </a:rPr>
            <a:t>Auditing Dept.</a:t>
          </a:r>
        </a:p>
      </dgm:t>
    </dgm:pt>
    <dgm:pt modelId="{1A4DE9E6-2CF6-42BA-A762-C80819153459}" type="parTrans" cxnId="{D7F102A0-4A8A-4979-B8BC-26362EC73100}">
      <dgm:prSet/>
      <dgm:spPr/>
      <dgm:t>
        <a:bodyPr/>
        <a:lstStyle/>
        <a:p>
          <a:pPr algn="ctr"/>
          <a:endParaRPr lang="tr-TR" sz="2400" b="0">
            <a:solidFill>
              <a:sysClr val="windowText" lastClr="000000"/>
            </a:solidFill>
          </a:endParaRPr>
        </a:p>
      </dgm:t>
    </dgm:pt>
    <dgm:pt modelId="{CAAE7338-6585-4B0B-94E6-F21ECF433F68}" type="sibTrans" cxnId="{D7F102A0-4A8A-4979-B8BC-26362EC73100}">
      <dgm:prSet/>
      <dgm:spPr/>
      <dgm:t>
        <a:bodyPr/>
        <a:lstStyle/>
        <a:p>
          <a:pPr algn="ctr"/>
          <a:endParaRPr lang="tr-TR" sz="2400" b="0">
            <a:solidFill>
              <a:sysClr val="windowText" lastClr="000000"/>
            </a:solidFill>
          </a:endParaRPr>
        </a:p>
      </dgm:t>
    </dgm:pt>
    <dgm:pt modelId="{D789E4DF-56AB-4A72-B09E-DC74063487D6}">
      <dgm:prSet phldrT="[Metin]" custT="1"/>
      <dgm:spPr>
        <a:solidFill>
          <a:schemeClr val="accent2">
            <a:lumMod val="40000"/>
            <a:lumOff val="60000"/>
          </a:schemeClr>
        </a:solidFill>
      </dgm:spPr>
      <dgm:t>
        <a:bodyPr/>
        <a:lstStyle/>
        <a:p>
          <a:pPr algn="ctr"/>
          <a:r>
            <a:rPr lang="tr-TR" sz="700" b="0">
              <a:solidFill>
                <a:sysClr val="windowText" lastClr="000000"/>
              </a:solidFill>
            </a:rPr>
            <a:t>Humans Res. Dept.</a:t>
          </a:r>
        </a:p>
      </dgm:t>
    </dgm:pt>
    <dgm:pt modelId="{CD29FA23-2829-455D-9E82-3FBA303FE57C}" type="parTrans" cxnId="{50BB7B63-660F-474B-AA47-69915DE53CB2}">
      <dgm:prSet/>
      <dgm:spPr/>
      <dgm:t>
        <a:bodyPr/>
        <a:lstStyle/>
        <a:p>
          <a:pPr algn="ctr"/>
          <a:endParaRPr lang="tr-TR" sz="2400" b="0">
            <a:solidFill>
              <a:sysClr val="windowText" lastClr="000000"/>
            </a:solidFill>
          </a:endParaRPr>
        </a:p>
      </dgm:t>
    </dgm:pt>
    <dgm:pt modelId="{89C58416-E8F3-4B58-ABA0-3E3410342D1B}" type="sibTrans" cxnId="{50BB7B63-660F-474B-AA47-69915DE53CB2}">
      <dgm:prSet/>
      <dgm:spPr/>
      <dgm:t>
        <a:bodyPr/>
        <a:lstStyle/>
        <a:p>
          <a:pPr algn="ctr"/>
          <a:endParaRPr lang="tr-TR" sz="2400" b="0">
            <a:solidFill>
              <a:sysClr val="windowText" lastClr="000000"/>
            </a:solidFill>
          </a:endParaRPr>
        </a:p>
      </dgm:t>
    </dgm:pt>
    <dgm:pt modelId="{609C6040-D873-43D0-B8BA-EFF6D1934E09}">
      <dgm:prSet phldrT="[Metin]" custT="1"/>
      <dgm:spPr>
        <a:solidFill>
          <a:schemeClr val="accent2">
            <a:lumMod val="40000"/>
            <a:lumOff val="60000"/>
          </a:schemeClr>
        </a:solidFill>
      </dgm:spPr>
      <dgm:t>
        <a:bodyPr/>
        <a:lstStyle/>
        <a:p>
          <a:pPr algn="ctr"/>
          <a:r>
            <a:rPr lang="tr-TR" sz="700" b="0">
              <a:solidFill>
                <a:sysClr val="windowText" lastClr="000000"/>
              </a:solidFill>
            </a:rPr>
            <a:t>Vice President</a:t>
          </a:r>
        </a:p>
      </dgm:t>
    </dgm:pt>
    <dgm:pt modelId="{7AC4D0D6-AB30-4A16-B624-3CE5481BEFC0}" type="parTrans" cxnId="{46EFEF3A-F619-4D0E-A28A-4AF48FEF6F19}">
      <dgm:prSet/>
      <dgm:spPr/>
      <dgm:t>
        <a:bodyPr/>
        <a:lstStyle/>
        <a:p>
          <a:pPr algn="ctr"/>
          <a:endParaRPr lang="tr-TR" sz="2400" b="0">
            <a:solidFill>
              <a:sysClr val="windowText" lastClr="000000"/>
            </a:solidFill>
          </a:endParaRPr>
        </a:p>
      </dgm:t>
    </dgm:pt>
    <dgm:pt modelId="{CCA4A234-6D46-49F3-BE9F-CBCAB535F89F}" type="sibTrans" cxnId="{46EFEF3A-F619-4D0E-A28A-4AF48FEF6F19}">
      <dgm:prSet/>
      <dgm:spPr/>
      <dgm:t>
        <a:bodyPr/>
        <a:lstStyle/>
        <a:p>
          <a:pPr algn="ctr"/>
          <a:endParaRPr lang="tr-TR" sz="2400" b="0">
            <a:solidFill>
              <a:sysClr val="windowText" lastClr="000000"/>
            </a:solidFill>
          </a:endParaRPr>
        </a:p>
      </dgm:t>
    </dgm:pt>
    <dgm:pt modelId="{E883311A-58F1-43C0-BDF1-E905B14923D2}">
      <dgm:prSet phldrT="[Metin]" custT="1"/>
      <dgm:spPr>
        <a:solidFill>
          <a:schemeClr val="accent2">
            <a:lumMod val="40000"/>
            <a:lumOff val="60000"/>
          </a:schemeClr>
        </a:solidFill>
      </dgm:spPr>
      <dgm:t>
        <a:bodyPr/>
        <a:lstStyle/>
        <a:p>
          <a:pPr algn="ctr"/>
          <a:r>
            <a:rPr lang="tr-TR" sz="700" b="0">
              <a:solidFill>
                <a:sysClr val="windowText" lastClr="000000"/>
              </a:solidFill>
            </a:rPr>
            <a:t>Electiricty Market Dept.</a:t>
          </a:r>
        </a:p>
      </dgm:t>
    </dgm:pt>
    <dgm:pt modelId="{B42F5C02-9CB0-4140-B558-C42DB281761E}" type="parTrans" cxnId="{7530721B-22B9-4491-8D1F-D97115633E6F}">
      <dgm:prSet/>
      <dgm:spPr/>
      <dgm:t>
        <a:bodyPr/>
        <a:lstStyle/>
        <a:p>
          <a:pPr algn="ctr"/>
          <a:endParaRPr lang="tr-TR" sz="2400" b="0">
            <a:solidFill>
              <a:sysClr val="windowText" lastClr="000000"/>
            </a:solidFill>
          </a:endParaRPr>
        </a:p>
      </dgm:t>
    </dgm:pt>
    <dgm:pt modelId="{F41E292A-2F2A-4D39-92F0-13EF26E5F6E0}" type="sibTrans" cxnId="{7530721B-22B9-4491-8D1F-D97115633E6F}">
      <dgm:prSet/>
      <dgm:spPr/>
      <dgm:t>
        <a:bodyPr/>
        <a:lstStyle/>
        <a:p>
          <a:pPr algn="ctr"/>
          <a:endParaRPr lang="tr-TR" sz="2400" b="0">
            <a:solidFill>
              <a:sysClr val="windowText" lastClr="000000"/>
            </a:solidFill>
          </a:endParaRPr>
        </a:p>
      </dgm:t>
    </dgm:pt>
    <dgm:pt modelId="{CCCEBC92-6B10-4CED-9736-9F5D7B31A340}">
      <dgm:prSet phldrT="[Metin]" custT="1"/>
      <dgm:spPr>
        <a:solidFill>
          <a:schemeClr val="accent2">
            <a:lumMod val="40000"/>
            <a:lumOff val="60000"/>
          </a:schemeClr>
        </a:solidFill>
      </dgm:spPr>
      <dgm:t>
        <a:bodyPr/>
        <a:lstStyle/>
        <a:p>
          <a:pPr algn="ctr"/>
          <a:r>
            <a:rPr lang="tr-TR" sz="700" b="0">
              <a:solidFill>
                <a:sysClr val="windowText" lastClr="000000"/>
              </a:solidFill>
            </a:rPr>
            <a:t>Strategy Dept.</a:t>
          </a:r>
        </a:p>
      </dgm:t>
    </dgm:pt>
    <dgm:pt modelId="{4EC5D627-D879-438C-AA4B-57DFC9756C7B}" type="parTrans" cxnId="{05A6D5ED-FE10-4358-B528-6C868F4D444A}">
      <dgm:prSet/>
      <dgm:spPr/>
      <dgm:t>
        <a:bodyPr/>
        <a:lstStyle/>
        <a:p>
          <a:pPr algn="ctr"/>
          <a:endParaRPr lang="tr-TR" sz="2400" b="0">
            <a:solidFill>
              <a:sysClr val="windowText" lastClr="000000"/>
            </a:solidFill>
          </a:endParaRPr>
        </a:p>
      </dgm:t>
    </dgm:pt>
    <dgm:pt modelId="{DA0720E1-97FC-400F-A585-9B1AD566AB9F}" type="sibTrans" cxnId="{05A6D5ED-FE10-4358-B528-6C868F4D444A}">
      <dgm:prSet/>
      <dgm:spPr/>
      <dgm:t>
        <a:bodyPr/>
        <a:lstStyle/>
        <a:p>
          <a:pPr algn="ctr"/>
          <a:endParaRPr lang="tr-TR" sz="2400" b="0">
            <a:solidFill>
              <a:sysClr val="windowText" lastClr="000000"/>
            </a:solidFill>
          </a:endParaRPr>
        </a:p>
      </dgm:t>
    </dgm:pt>
    <dgm:pt modelId="{54CC455A-CD4A-4349-95F8-02650D357E8D}">
      <dgm:prSet phldrT="[Metin]" custT="1"/>
      <dgm:spPr>
        <a:solidFill>
          <a:schemeClr val="accent2">
            <a:lumMod val="40000"/>
            <a:lumOff val="60000"/>
          </a:schemeClr>
        </a:solidFill>
      </dgm:spPr>
      <dgm:t>
        <a:bodyPr/>
        <a:lstStyle/>
        <a:p>
          <a:pPr algn="ctr"/>
          <a:r>
            <a:rPr lang="tr-TR" sz="700" b="0">
              <a:solidFill>
                <a:sysClr val="windowText" lastClr="000000"/>
              </a:solidFill>
            </a:rPr>
            <a:t>Information Technologies Dept.</a:t>
          </a:r>
        </a:p>
      </dgm:t>
    </dgm:pt>
    <dgm:pt modelId="{B1DA9679-1914-47B0-BB69-F2B6D38B2113}" type="parTrans" cxnId="{7BD8D372-51CB-4180-AE03-04CAACF9F172}">
      <dgm:prSet/>
      <dgm:spPr/>
      <dgm:t>
        <a:bodyPr/>
        <a:lstStyle/>
        <a:p>
          <a:pPr algn="ctr"/>
          <a:endParaRPr lang="tr-TR" sz="2400" b="0">
            <a:solidFill>
              <a:sysClr val="windowText" lastClr="000000"/>
            </a:solidFill>
          </a:endParaRPr>
        </a:p>
      </dgm:t>
    </dgm:pt>
    <dgm:pt modelId="{9B12CA1B-3584-4DEC-B334-766CB125B0CC}" type="sibTrans" cxnId="{7BD8D372-51CB-4180-AE03-04CAACF9F172}">
      <dgm:prSet/>
      <dgm:spPr/>
      <dgm:t>
        <a:bodyPr/>
        <a:lstStyle/>
        <a:p>
          <a:pPr algn="ctr"/>
          <a:endParaRPr lang="tr-TR" sz="2400" b="0">
            <a:solidFill>
              <a:sysClr val="windowText" lastClr="000000"/>
            </a:solidFill>
          </a:endParaRPr>
        </a:p>
      </dgm:t>
    </dgm:pt>
    <dgm:pt modelId="{93BE8312-60FF-4A18-9EA6-AD54CFE90231}">
      <dgm:prSet phldrT="[Metin]" custT="1"/>
      <dgm:spPr>
        <a:solidFill>
          <a:schemeClr val="accent2">
            <a:lumMod val="40000"/>
            <a:lumOff val="60000"/>
          </a:schemeClr>
        </a:solidFill>
      </dgm:spPr>
      <dgm:t>
        <a:bodyPr/>
        <a:lstStyle/>
        <a:p>
          <a:pPr algn="ctr"/>
          <a:r>
            <a:rPr lang="tr-TR" sz="700" b="0">
              <a:solidFill>
                <a:sysClr val="windowText" lastClr="000000"/>
              </a:solidFill>
            </a:rPr>
            <a:t>Expropriation Dept.</a:t>
          </a:r>
        </a:p>
      </dgm:t>
    </dgm:pt>
    <dgm:pt modelId="{2E76A6D5-CB61-4892-8983-CED9A5406900}" type="parTrans" cxnId="{7DD11BBA-531C-4A85-A6F6-4A05093E1A8F}">
      <dgm:prSet/>
      <dgm:spPr/>
      <dgm:t>
        <a:bodyPr/>
        <a:lstStyle/>
        <a:p>
          <a:pPr algn="ctr"/>
          <a:endParaRPr lang="tr-TR" sz="2400" b="0">
            <a:solidFill>
              <a:sysClr val="windowText" lastClr="000000"/>
            </a:solidFill>
          </a:endParaRPr>
        </a:p>
      </dgm:t>
    </dgm:pt>
    <dgm:pt modelId="{6831DA52-D521-4032-B263-46510FE02C27}" type="sibTrans" cxnId="{7DD11BBA-531C-4A85-A6F6-4A05093E1A8F}">
      <dgm:prSet/>
      <dgm:spPr/>
      <dgm:t>
        <a:bodyPr/>
        <a:lstStyle/>
        <a:p>
          <a:pPr algn="ctr"/>
          <a:endParaRPr lang="tr-TR" sz="2400" b="0">
            <a:solidFill>
              <a:sysClr val="windowText" lastClr="000000"/>
            </a:solidFill>
          </a:endParaRPr>
        </a:p>
      </dgm:t>
    </dgm:pt>
    <dgm:pt modelId="{C558FDEB-193B-421E-81D3-EE6F32969F7E}">
      <dgm:prSet phldrT="[Metin]" custT="1"/>
      <dgm:spPr>
        <a:solidFill>
          <a:schemeClr val="accent2">
            <a:lumMod val="40000"/>
            <a:lumOff val="60000"/>
          </a:schemeClr>
        </a:solidFill>
      </dgm:spPr>
      <dgm:t>
        <a:bodyPr/>
        <a:lstStyle/>
        <a:p>
          <a:pPr algn="ctr"/>
          <a:r>
            <a:rPr lang="tr-TR" sz="700" b="0">
              <a:solidFill>
                <a:sysClr val="windowText" lastClr="000000"/>
              </a:solidFill>
            </a:rPr>
            <a:t>Tariffs Dept.</a:t>
          </a:r>
        </a:p>
      </dgm:t>
    </dgm:pt>
    <dgm:pt modelId="{0445846A-5234-4BCE-AB61-7CC5DF393F9A}" type="parTrans" cxnId="{49EDFF0C-4DA6-496D-9F0E-E8FFA6B2D59A}">
      <dgm:prSet/>
      <dgm:spPr/>
      <dgm:t>
        <a:bodyPr/>
        <a:lstStyle/>
        <a:p>
          <a:pPr algn="ctr"/>
          <a:endParaRPr lang="tr-TR" sz="2400" b="0">
            <a:solidFill>
              <a:sysClr val="windowText" lastClr="000000"/>
            </a:solidFill>
          </a:endParaRPr>
        </a:p>
      </dgm:t>
    </dgm:pt>
    <dgm:pt modelId="{EFADFA00-6BB7-4F70-9411-68C577508C09}" type="sibTrans" cxnId="{49EDFF0C-4DA6-496D-9F0E-E8FFA6B2D59A}">
      <dgm:prSet/>
      <dgm:spPr/>
      <dgm:t>
        <a:bodyPr/>
        <a:lstStyle/>
        <a:p>
          <a:pPr algn="ctr"/>
          <a:endParaRPr lang="tr-TR" sz="2400" b="0">
            <a:solidFill>
              <a:sysClr val="windowText" lastClr="000000"/>
            </a:solidFill>
          </a:endParaRPr>
        </a:p>
      </dgm:t>
    </dgm:pt>
    <dgm:pt modelId="{2BF82D41-1316-46CF-B20D-E32A5D7FC6AD}">
      <dgm:prSet phldrT="[Metin]" custT="1"/>
      <dgm:spPr>
        <a:solidFill>
          <a:schemeClr val="accent2">
            <a:lumMod val="20000"/>
            <a:lumOff val="80000"/>
          </a:schemeClr>
        </a:solidFill>
      </dgm:spPr>
      <dgm:t>
        <a:bodyPr/>
        <a:lstStyle/>
        <a:p>
          <a:pPr algn="ctr"/>
          <a:r>
            <a:rPr lang="tr-TR" sz="700" b="0">
              <a:solidFill>
                <a:sysClr val="windowText" lastClr="000000"/>
              </a:solidFill>
            </a:rPr>
            <a:t>1st Group</a:t>
          </a:r>
        </a:p>
      </dgm:t>
    </dgm:pt>
    <dgm:pt modelId="{A0F33815-6F71-4AAD-9638-CC2653B72A4D}" type="parTrans" cxnId="{8A2F543A-FF17-4C8A-9542-4774C9736BFB}">
      <dgm:prSet/>
      <dgm:spPr/>
      <dgm:t>
        <a:bodyPr/>
        <a:lstStyle/>
        <a:p>
          <a:pPr algn="ctr"/>
          <a:endParaRPr lang="tr-TR" sz="2400" b="0">
            <a:solidFill>
              <a:sysClr val="windowText" lastClr="000000"/>
            </a:solidFill>
          </a:endParaRPr>
        </a:p>
      </dgm:t>
    </dgm:pt>
    <dgm:pt modelId="{9A6750C6-3BFD-4F22-AF29-96BD4B392E03}" type="sibTrans" cxnId="{8A2F543A-FF17-4C8A-9542-4774C9736BFB}">
      <dgm:prSet/>
      <dgm:spPr/>
      <dgm:t>
        <a:bodyPr/>
        <a:lstStyle/>
        <a:p>
          <a:pPr algn="ctr"/>
          <a:endParaRPr lang="tr-TR" sz="2400" b="0">
            <a:solidFill>
              <a:sysClr val="windowText" lastClr="000000"/>
            </a:solidFill>
          </a:endParaRPr>
        </a:p>
      </dgm:t>
    </dgm:pt>
    <dgm:pt modelId="{919F2E1D-894E-4E9A-BA20-E45B5A341F6F}">
      <dgm:prSet phldrT="[Metin]" custT="1"/>
      <dgm:spPr>
        <a:solidFill>
          <a:schemeClr val="accent2">
            <a:lumMod val="20000"/>
            <a:lumOff val="80000"/>
          </a:schemeClr>
        </a:solidFill>
      </dgm:spPr>
      <dgm:t>
        <a:bodyPr/>
        <a:lstStyle/>
        <a:p>
          <a:pPr algn="ctr"/>
          <a:r>
            <a:rPr lang="tr-TR" sz="700" b="0">
              <a:solidFill>
                <a:sysClr val="windowText" lastClr="000000"/>
              </a:solidFill>
            </a:rPr>
            <a:t>2nd Group</a:t>
          </a:r>
        </a:p>
      </dgm:t>
    </dgm:pt>
    <dgm:pt modelId="{5354D1BC-871D-46CE-9E55-61B32086E443}" type="parTrans" cxnId="{0226CD62-C659-4057-8775-FBC623E505E0}">
      <dgm:prSet/>
      <dgm:spPr/>
      <dgm:t>
        <a:bodyPr/>
        <a:lstStyle/>
        <a:p>
          <a:pPr algn="ctr"/>
          <a:endParaRPr lang="tr-TR" sz="2400" b="0">
            <a:solidFill>
              <a:sysClr val="windowText" lastClr="000000"/>
            </a:solidFill>
          </a:endParaRPr>
        </a:p>
      </dgm:t>
    </dgm:pt>
    <dgm:pt modelId="{1911E903-2E24-4170-9C04-894721CEBD3C}" type="sibTrans" cxnId="{0226CD62-C659-4057-8775-FBC623E505E0}">
      <dgm:prSet/>
      <dgm:spPr/>
      <dgm:t>
        <a:bodyPr/>
        <a:lstStyle/>
        <a:p>
          <a:pPr algn="ctr"/>
          <a:endParaRPr lang="tr-TR" sz="2400" b="0">
            <a:solidFill>
              <a:sysClr val="windowText" lastClr="000000"/>
            </a:solidFill>
          </a:endParaRPr>
        </a:p>
      </dgm:t>
    </dgm:pt>
    <dgm:pt modelId="{AAAB5B1C-C8C3-42A3-A26A-1165856BF1D2}">
      <dgm:prSet phldrT="[Metin]" custT="1"/>
      <dgm:spPr>
        <a:solidFill>
          <a:schemeClr val="accent2">
            <a:lumMod val="20000"/>
            <a:lumOff val="80000"/>
          </a:schemeClr>
        </a:solidFill>
      </dgm:spPr>
      <dgm:t>
        <a:bodyPr/>
        <a:lstStyle/>
        <a:p>
          <a:pPr algn="ctr"/>
          <a:r>
            <a:rPr lang="tr-TR" sz="700" b="0">
              <a:solidFill>
                <a:sysClr val="windowText" lastClr="000000"/>
              </a:solidFill>
            </a:rPr>
            <a:t>3rd Group</a:t>
          </a:r>
        </a:p>
      </dgm:t>
    </dgm:pt>
    <dgm:pt modelId="{7CDD67F5-73F4-4524-9B19-66F2F798F9B3}" type="parTrans" cxnId="{5B8D2C95-1211-45D1-89A8-809D170024A6}">
      <dgm:prSet/>
      <dgm:spPr/>
      <dgm:t>
        <a:bodyPr/>
        <a:lstStyle/>
        <a:p>
          <a:pPr algn="ctr"/>
          <a:endParaRPr lang="tr-TR" sz="2400" b="0">
            <a:solidFill>
              <a:sysClr val="windowText" lastClr="000000"/>
            </a:solidFill>
          </a:endParaRPr>
        </a:p>
      </dgm:t>
    </dgm:pt>
    <dgm:pt modelId="{2541800C-9365-4FD2-AE81-40C8475E869B}" type="sibTrans" cxnId="{5B8D2C95-1211-45D1-89A8-809D170024A6}">
      <dgm:prSet/>
      <dgm:spPr/>
      <dgm:t>
        <a:bodyPr/>
        <a:lstStyle/>
        <a:p>
          <a:pPr algn="ctr"/>
          <a:endParaRPr lang="tr-TR" sz="2400" b="0">
            <a:solidFill>
              <a:sysClr val="windowText" lastClr="000000"/>
            </a:solidFill>
          </a:endParaRPr>
        </a:p>
      </dgm:t>
    </dgm:pt>
    <dgm:pt modelId="{1F3C928A-6392-4E9B-AFEF-420C0B9E33FE}">
      <dgm:prSet phldrT="[Metin]" custT="1"/>
      <dgm:spPr>
        <a:solidFill>
          <a:schemeClr val="accent2">
            <a:lumMod val="20000"/>
            <a:lumOff val="80000"/>
          </a:schemeClr>
        </a:solidFill>
      </dgm:spPr>
      <dgm:t>
        <a:bodyPr/>
        <a:lstStyle/>
        <a:p>
          <a:pPr algn="ctr"/>
          <a:r>
            <a:rPr lang="tr-TR" sz="700" b="0">
              <a:solidFill>
                <a:sysClr val="windowText" lastClr="000000"/>
              </a:solidFill>
            </a:rPr>
            <a:t>1st Retailer Licenses Group</a:t>
          </a:r>
        </a:p>
      </dgm:t>
    </dgm:pt>
    <dgm:pt modelId="{903B1069-A69A-4F1A-8163-B90D170730A4}" type="parTrans" cxnId="{B220FEFC-A601-4BF7-88F9-A5425983B41C}">
      <dgm:prSet/>
      <dgm:spPr/>
      <dgm:t>
        <a:bodyPr/>
        <a:lstStyle/>
        <a:p>
          <a:pPr algn="ctr"/>
          <a:endParaRPr lang="tr-TR" sz="2400" b="0">
            <a:solidFill>
              <a:sysClr val="windowText" lastClr="000000"/>
            </a:solidFill>
          </a:endParaRPr>
        </a:p>
      </dgm:t>
    </dgm:pt>
    <dgm:pt modelId="{1020D214-1CAA-421D-8A37-49DEECFA5FE4}" type="sibTrans" cxnId="{B220FEFC-A601-4BF7-88F9-A5425983B41C}">
      <dgm:prSet/>
      <dgm:spPr/>
      <dgm:t>
        <a:bodyPr/>
        <a:lstStyle/>
        <a:p>
          <a:pPr algn="ctr"/>
          <a:endParaRPr lang="tr-TR" sz="2400" b="0">
            <a:solidFill>
              <a:sysClr val="windowText" lastClr="000000"/>
            </a:solidFill>
          </a:endParaRPr>
        </a:p>
      </dgm:t>
    </dgm:pt>
    <dgm:pt modelId="{AA216E2F-9D77-432F-B0CB-5DDD80822F47}">
      <dgm:prSet phldrT="[Metin]" custT="1"/>
      <dgm:spPr>
        <a:solidFill>
          <a:schemeClr val="accent2">
            <a:lumMod val="20000"/>
            <a:lumOff val="80000"/>
          </a:schemeClr>
        </a:solidFill>
      </dgm:spPr>
      <dgm:t>
        <a:bodyPr/>
        <a:lstStyle/>
        <a:p>
          <a:pPr algn="ctr"/>
          <a:r>
            <a:rPr lang="tr-TR" sz="700" b="0">
              <a:solidFill>
                <a:sysClr val="windowText" lastClr="000000"/>
              </a:solidFill>
            </a:rPr>
            <a:t>2nd Retailer Licenses Group</a:t>
          </a:r>
        </a:p>
      </dgm:t>
    </dgm:pt>
    <dgm:pt modelId="{2AC9FCB1-0014-43B8-B0F3-608FD547881B}" type="parTrans" cxnId="{FE34DE95-784E-48DF-8F91-36433A02BAB0}">
      <dgm:prSet/>
      <dgm:spPr/>
      <dgm:t>
        <a:bodyPr/>
        <a:lstStyle/>
        <a:p>
          <a:pPr algn="ctr"/>
          <a:endParaRPr lang="tr-TR" sz="2400" b="0">
            <a:solidFill>
              <a:sysClr val="windowText" lastClr="000000"/>
            </a:solidFill>
          </a:endParaRPr>
        </a:p>
      </dgm:t>
    </dgm:pt>
    <dgm:pt modelId="{41B63C07-9C3C-4E71-AB47-DAD377C273A9}" type="sibTrans" cxnId="{FE34DE95-784E-48DF-8F91-36433A02BAB0}">
      <dgm:prSet/>
      <dgm:spPr/>
      <dgm:t>
        <a:bodyPr/>
        <a:lstStyle/>
        <a:p>
          <a:pPr algn="ctr"/>
          <a:endParaRPr lang="tr-TR" sz="2400" b="0">
            <a:solidFill>
              <a:sysClr val="windowText" lastClr="000000"/>
            </a:solidFill>
          </a:endParaRPr>
        </a:p>
      </dgm:t>
    </dgm:pt>
    <dgm:pt modelId="{A2F5D6BE-3A81-402E-895B-E39D44C7C85E}">
      <dgm:prSet phldrT="[Metin]" custT="1"/>
      <dgm:spPr>
        <a:solidFill>
          <a:schemeClr val="accent2">
            <a:lumMod val="20000"/>
            <a:lumOff val="80000"/>
          </a:schemeClr>
        </a:solidFill>
      </dgm:spPr>
      <dgm:t>
        <a:bodyPr/>
        <a:lstStyle/>
        <a:p>
          <a:pPr algn="ctr"/>
          <a:r>
            <a:rPr lang="tr-TR" sz="700" b="0">
              <a:solidFill>
                <a:sysClr val="windowText" lastClr="000000"/>
              </a:solidFill>
            </a:rPr>
            <a:t>Legistation, Tech., Reg. Consumer Group</a:t>
          </a:r>
        </a:p>
      </dgm:t>
    </dgm:pt>
    <dgm:pt modelId="{4AD44D94-CF89-4091-B5C7-66A91B5ADEB1}" type="parTrans" cxnId="{C5E700E6-978B-45A6-8925-92E4A39AC802}">
      <dgm:prSet/>
      <dgm:spPr/>
      <dgm:t>
        <a:bodyPr/>
        <a:lstStyle/>
        <a:p>
          <a:pPr algn="ctr"/>
          <a:endParaRPr lang="tr-TR" sz="2400" b="0">
            <a:solidFill>
              <a:sysClr val="windowText" lastClr="000000"/>
            </a:solidFill>
          </a:endParaRPr>
        </a:p>
      </dgm:t>
    </dgm:pt>
    <dgm:pt modelId="{DAD8B52A-63D6-46A6-B5B7-39DA7E576B6D}" type="sibTrans" cxnId="{C5E700E6-978B-45A6-8925-92E4A39AC802}">
      <dgm:prSet/>
      <dgm:spPr/>
      <dgm:t>
        <a:bodyPr/>
        <a:lstStyle/>
        <a:p>
          <a:pPr algn="ctr"/>
          <a:endParaRPr lang="tr-TR" sz="2400" b="0">
            <a:solidFill>
              <a:sysClr val="windowText" lastClr="000000"/>
            </a:solidFill>
          </a:endParaRPr>
        </a:p>
      </dgm:t>
    </dgm:pt>
    <dgm:pt modelId="{5D476914-D522-4474-89A0-458034F18A0C}">
      <dgm:prSet phldrT="[Metin]" custT="1"/>
      <dgm:spPr>
        <a:solidFill>
          <a:schemeClr val="accent2">
            <a:lumMod val="20000"/>
            <a:lumOff val="80000"/>
          </a:schemeClr>
        </a:solidFill>
      </dgm:spPr>
      <dgm:t>
        <a:bodyPr/>
        <a:lstStyle/>
        <a:p>
          <a:pPr algn="ctr"/>
          <a:r>
            <a:rPr lang="tr-TR" sz="700" b="0">
              <a:solidFill>
                <a:sysClr val="windowText" lastClr="000000"/>
              </a:solidFill>
            </a:rPr>
            <a:t>Orher Licenses Group</a:t>
          </a:r>
        </a:p>
      </dgm:t>
    </dgm:pt>
    <dgm:pt modelId="{8EA18A94-76CC-47E5-AEA5-653BBD44ED55}" type="parTrans" cxnId="{E18E49CF-2D0D-40B3-A910-1D4E0D715CCE}">
      <dgm:prSet/>
      <dgm:spPr/>
      <dgm:t>
        <a:bodyPr/>
        <a:lstStyle/>
        <a:p>
          <a:pPr algn="ctr"/>
          <a:endParaRPr lang="tr-TR" sz="2400" b="0">
            <a:solidFill>
              <a:sysClr val="windowText" lastClr="000000"/>
            </a:solidFill>
          </a:endParaRPr>
        </a:p>
      </dgm:t>
    </dgm:pt>
    <dgm:pt modelId="{C1C6B982-2487-4636-91D3-44C63333A583}" type="sibTrans" cxnId="{E18E49CF-2D0D-40B3-A910-1D4E0D715CCE}">
      <dgm:prSet/>
      <dgm:spPr/>
      <dgm:t>
        <a:bodyPr/>
        <a:lstStyle/>
        <a:p>
          <a:pPr algn="ctr"/>
          <a:endParaRPr lang="tr-TR" sz="2400" b="0">
            <a:solidFill>
              <a:sysClr val="windowText" lastClr="000000"/>
            </a:solidFill>
          </a:endParaRPr>
        </a:p>
      </dgm:t>
    </dgm:pt>
    <dgm:pt modelId="{2FAC4C30-2C72-4BC4-8C08-435F75075C30}">
      <dgm:prSet phldrT="[Metin]" custT="1"/>
      <dgm:spPr>
        <a:solidFill>
          <a:schemeClr val="accent2">
            <a:lumMod val="20000"/>
            <a:lumOff val="80000"/>
          </a:schemeClr>
        </a:solidFill>
      </dgm:spPr>
      <dgm:t>
        <a:bodyPr/>
        <a:lstStyle/>
        <a:p>
          <a:pPr algn="ctr"/>
          <a:r>
            <a:rPr lang="tr-TR" sz="700" b="0">
              <a:solidFill>
                <a:sysClr val="windowText" lastClr="000000"/>
              </a:solidFill>
            </a:rPr>
            <a:t>Monitoring Group</a:t>
          </a:r>
        </a:p>
      </dgm:t>
    </dgm:pt>
    <dgm:pt modelId="{F2D6EFAA-D89E-49BB-AC05-06DF800123CB}" type="parTrans" cxnId="{86882C55-55EF-4525-BA65-A1BB4A5949FA}">
      <dgm:prSet/>
      <dgm:spPr/>
      <dgm:t>
        <a:bodyPr/>
        <a:lstStyle/>
        <a:p>
          <a:pPr algn="ctr"/>
          <a:endParaRPr lang="tr-TR" sz="2400" b="0">
            <a:solidFill>
              <a:sysClr val="windowText" lastClr="000000"/>
            </a:solidFill>
          </a:endParaRPr>
        </a:p>
      </dgm:t>
    </dgm:pt>
    <dgm:pt modelId="{B63BF048-B4AA-4B98-95AF-CE88146BAE8E}" type="sibTrans" cxnId="{86882C55-55EF-4525-BA65-A1BB4A5949FA}">
      <dgm:prSet/>
      <dgm:spPr/>
      <dgm:t>
        <a:bodyPr/>
        <a:lstStyle/>
        <a:p>
          <a:pPr algn="ctr"/>
          <a:endParaRPr lang="tr-TR" sz="2400" b="0">
            <a:solidFill>
              <a:sysClr val="windowText" lastClr="000000"/>
            </a:solidFill>
          </a:endParaRPr>
        </a:p>
      </dgm:t>
    </dgm:pt>
    <dgm:pt modelId="{6FAA21FE-C43C-4B60-BF5B-937B2B27F49F}">
      <dgm:prSet phldrT="[Metin]" custT="1"/>
      <dgm:spPr>
        <a:solidFill>
          <a:schemeClr val="accent2">
            <a:lumMod val="20000"/>
            <a:lumOff val="80000"/>
          </a:schemeClr>
        </a:solidFill>
      </dgm:spPr>
      <dgm:t>
        <a:bodyPr/>
        <a:lstStyle/>
        <a:p>
          <a:pPr algn="ctr"/>
          <a:r>
            <a:rPr lang="tr-TR" sz="700" b="0">
              <a:solidFill>
                <a:sysClr val="windowText" lastClr="000000"/>
              </a:solidFill>
            </a:rPr>
            <a:t>1st Petroleum Group</a:t>
          </a:r>
        </a:p>
      </dgm:t>
    </dgm:pt>
    <dgm:pt modelId="{195A8A2D-F461-489A-BDAB-2B7FFD4BFB6C}" type="parTrans" cxnId="{1BB5FBA4-D4A7-43F6-A491-E93C0B5F3D50}">
      <dgm:prSet/>
      <dgm:spPr/>
      <dgm:t>
        <a:bodyPr/>
        <a:lstStyle/>
        <a:p>
          <a:pPr algn="ctr"/>
          <a:endParaRPr lang="tr-TR" sz="2400" b="0">
            <a:solidFill>
              <a:sysClr val="windowText" lastClr="000000"/>
            </a:solidFill>
          </a:endParaRPr>
        </a:p>
      </dgm:t>
    </dgm:pt>
    <dgm:pt modelId="{0A7C2DE2-4E40-4DBC-A686-551589BBE62A}" type="sibTrans" cxnId="{1BB5FBA4-D4A7-43F6-A491-E93C0B5F3D50}">
      <dgm:prSet/>
      <dgm:spPr/>
      <dgm:t>
        <a:bodyPr/>
        <a:lstStyle/>
        <a:p>
          <a:pPr algn="ctr"/>
          <a:endParaRPr lang="tr-TR" sz="2400" b="0">
            <a:solidFill>
              <a:sysClr val="windowText" lastClr="000000"/>
            </a:solidFill>
          </a:endParaRPr>
        </a:p>
      </dgm:t>
    </dgm:pt>
    <dgm:pt modelId="{F95E6CAF-03EE-4C7A-BF3F-AC220C7C66D2}">
      <dgm:prSet phldrT="[Metin]" custT="1"/>
      <dgm:spPr>
        <a:solidFill>
          <a:schemeClr val="accent2">
            <a:lumMod val="20000"/>
            <a:lumOff val="80000"/>
          </a:schemeClr>
        </a:solidFill>
      </dgm:spPr>
      <dgm:t>
        <a:bodyPr/>
        <a:lstStyle/>
        <a:p>
          <a:pPr algn="ctr"/>
          <a:r>
            <a:rPr lang="tr-TR" sz="700" b="0">
              <a:solidFill>
                <a:sysClr val="windowText" lastClr="000000"/>
              </a:solidFill>
            </a:rPr>
            <a:t>2nd Petroleum Group</a:t>
          </a:r>
        </a:p>
      </dgm:t>
    </dgm:pt>
    <dgm:pt modelId="{9E0FDE52-AD7F-4233-B586-F31B3AFCDA31}" type="parTrans" cxnId="{8A46B50A-4D37-41E6-A507-6A80089BD84E}">
      <dgm:prSet/>
      <dgm:spPr/>
      <dgm:t>
        <a:bodyPr/>
        <a:lstStyle/>
        <a:p>
          <a:pPr algn="ctr"/>
          <a:endParaRPr lang="tr-TR" sz="2400" b="0">
            <a:solidFill>
              <a:sysClr val="windowText" lastClr="000000"/>
            </a:solidFill>
          </a:endParaRPr>
        </a:p>
      </dgm:t>
    </dgm:pt>
    <dgm:pt modelId="{B06BE8CA-785E-4951-999F-E418D9A3CD5B}" type="sibTrans" cxnId="{8A46B50A-4D37-41E6-A507-6A80089BD84E}">
      <dgm:prSet/>
      <dgm:spPr/>
      <dgm:t>
        <a:bodyPr/>
        <a:lstStyle/>
        <a:p>
          <a:pPr algn="ctr"/>
          <a:endParaRPr lang="tr-TR" sz="2400" b="0">
            <a:solidFill>
              <a:sysClr val="windowText" lastClr="000000"/>
            </a:solidFill>
          </a:endParaRPr>
        </a:p>
      </dgm:t>
    </dgm:pt>
    <dgm:pt modelId="{420576DF-CE92-46FD-A90E-2563FABAA11C}">
      <dgm:prSet phldrT="[Metin]" custT="1"/>
      <dgm:spPr>
        <a:solidFill>
          <a:schemeClr val="accent2">
            <a:lumMod val="20000"/>
            <a:lumOff val="80000"/>
          </a:schemeClr>
        </a:solidFill>
      </dgm:spPr>
      <dgm:t>
        <a:bodyPr/>
        <a:lstStyle/>
        <a:p>
          <a:pPr algn="ctr"/>
          <a:r>
            <a:rPr lang="tr-TR" sz="700" b="0">
              <a:solidFill>
                <a:sysClr val="windowText" lastClr="000000"/>
              </a:solidFill>
            </a:rPr>
            <a:t>LPG Group</a:t>
          </a:r>
        </a:p>
      </dgm:t>
    </dgm:pt>
    <dgm:pt modelId="{66BEFFB4-38B4-415F-ADA4-06B62B3399D9}" type="parTrans" cxnId="{03CCFD2F-D89D-4886-83A2-F1B70C2F4654}">
      <dgm:prSet/>
      <dgm:spPr/>
      <dgm:t>
        <a:bodyPr/>
        <a:lstStyle/>
        <a:p>
          <a:pPr algn="ctr"/>
          <a:endParaRPr lang="tr-TR" sz="2400" b="0">
            <a:solidFill>
              <a:sysClr val="windowText" lastClr="000000"/>
            </a:solidFill>
          </a:endParaRPr>
        </a:p>
      </dgm:t>
    </dgm:pt>
    <dgm:pt modelId="{F422C88C-863E-4494-AA41-5F4815B10AF7}" type="sibTrans" cxnId="{03CCFD2F-D89D-4886-83A2-F1B70C2F4654}">
      <dgm:prSet/>
      <dgm:spPr/>
      <dgm:t>
        <a:bodyPr/>
        <a:lstStyle/>
        <a:p>
          <a:pPr algn="ctr"/>
          <a:endParaRPr lang="tr-TR" sz="2400" b="0">
            <a:solidFill>
              <a:sysClr val="windowText" lastClr="000000"/>
            </a:solidFill>
          </a:endParaRPr>
        </a:p>
      </dgm:t>
    </dgm:pt>
    <dgm:pt modelId="{A841C47F-EDD3-48DA-BD12-444C1AFF0DD1}">
      <dgm:prSet phldrT="[Metin]" custT="1"/>
      <dgm:spPr>
        <a:solidFill>
          <a:schemeClr val="accent2">
            <a:lumMod val="20000"/>
            <a:lumOff val="80000"/>
          </a:schemeClr>
        </a:solidFill>
      </dgm:spPr>
      <dgm:t>
        <a:bodyPr/>
        <a:lstStyle/>
        <a:p>
          <a:pPr algn="ctr"/>
          <a:r>
            <a:rPr lang="tr-TR" sz="700" b="0">
              <a:solidFill>
                <a:sysClr val="windowText" lastClr="000000"/>
              </a:solidFill>
            </a:rPr>
            <a:t>Electricit Group</a:t>
          </a:r>
        </a:p>
      </dgm:t>
    </dgm:pt>
    <dgm:pt modelId="{5DED8A2E-D04A-489D-9AAD-FEC76A9D4778}" type="parTrans" cxnId="{144E6ED1-5738-43A2-B498-0D45D95982D2}">
      <dgm:prSet/>
      <dgm:spPr/>
      <dgm:t>
        <a:bodyPr/>
        <a:lstStyle/>
        <a:p>
          <a:pPr algn="ctr"/>
          <a:endParaRPr lang="tr-TR" sz="2400" b="0">
            <a:solidFill>
              <a:sysClr val="windowText" lastClr="000000"/>
            </a:solidFill>
          </a:endParaRPr>
        </a:p>
      </dgm:t>
    </dgm:pt>
    <dgm:pt modelId="{C8ED8C9C-6241-458E-B267-BA0BE50E0786}" type="sibTrans" cxnId="{144E6ED1-5738-43A2-B498-0D45D95982D2}">
      <dgm:prSet/>
      <dgm:spPr/>
      <dgm:t>
        <a:bodyPr/>
        <a:lstStyle/>
        <a:p>
          <a:pPr algn="ctr"/>
          <a:endParaRPr lang="tr-TR" sz="2400" b="0">
            <a:solidFill>
              <a:sysClr val="windowText" lastClr="000000"/>
            </a:solidFill>
          </a:endParaRPr>
        </a:p>
      </dgm:t>
    </dgm:pt>
    <dgm:pt modelId="{AC13CD99-7BBB-43CB-BCF4-ABAB3EA7CBDD}">
      <dgm:prSet phldrT="[Metin]" custT="1"/>
      <dgm:spPr>
        <a:solidFill>
          <a:schemeClr val="accent2">
            <a:lumMod val="20000"/>
            <a:lumOff val="80000"/>
          </a:schemeClr>
        </a:solidFill>
      </dgm:spPr>
      <dgm:t>
        <a:bodyPr/>
        <a:lstStyle/>
        <a:p>
          <a:pPr algn="ctr"/>
          <a:r>
            <a:rPr lang="tr-TR" sz="700" b="0">
              <a:solidFill>
                <a:sysClr val="windowText" lastClr="000000"/>
              </a:solidFill>
            </a:rPr>
            <a:t>Natural Gas Group</a:t>
          </a:r>
        </a:p>
      </dgm:t>
    </dgm:pt>
    <dgm:pt modelId="{D5207719-DC6D-435E-82B9-A28209D4FF03}" type="parTrans" cxnId="{C3F8E5EB-B089-427F-AF94-E62093410A86}">
      <dgm:prSet/>
      <dgm:spPr/>
      <dgm:t>
        <a:bodyPr/>
        <a:lstStyle/>
        <a:p>
          <a:pPr algn="ctr"/>
          <a:endParaRPr lang="tr-TR" sz="2400" b="0">
            <a:solidFill>
              <a:sysClr val="windowText" lastClr="000000"/>
            </a:solidFill>
          </a:endParaRPr>
        </a:p>
      </dgm:t>
    </dgm:pt>
    <dgm:pt modelId="{5295E7A1-B7C5-4B3C-B0CF-EAF471FD54FA}" type="sibTrans" cxnId="{C3F8E5EB-B089-427F-AF94-E62093410A86}">
      <dgm:prSet/>
      <dgm:spPr/>
      <dgm:t>
        <a:bodyPr/>
        <a:lstStyle/>
        <a:p>
          <a:pPr algn="ctr"/>
          <a:endParaRPr lang="tr-TR" sz="2400" b="0">
            <a:solidFill>
              <a:sysClr val="windowText" lastClr="000000"/>
            </a:solidFill>
          </a:endParaRPr>
        </a:p>
      </dgm:t>
    </dgm:pt>
    <dgm:pt modelId="{E194F0CB-8638-4594-B4DA-BD3C1390D70E}">
      <dgm:prSet phldrT="[Metin]" custT="1"/>
      <dgm:spPr>
        <a:solidFill>
          <a:schemeClr val="accent2">
            <a:lumMod val="20000"/>
            <a:lumOff val="80000"/>
          </a:schemeClr>
        </a:solidFill>
      </dgm:spPr>
      <dgm:t>
        <a:bodyPr/>
        <a:lstStyle/>
        <a:p>
          <a:pPr algn="ctr"/>
          <a:r>
            <a:rPr lang="tr-TR" sz="700" b="0">
              <a:solidFill>
                <a:sysClr val="windowText" lastClr="000000"/>
              </a:solidFill>
            </a:rPr>
            <a:t>Personnel Affairs Group</a:t>
          </a:r>
        </a:p>
      </dgm:t>
    </dgm:pt>
    <dgm:pt modelId="{35233043-574C-425B-B4A4-9FD5AB7D4857}" type="parTrans" cxnId="{1EF398A3-3FB5-49D0-B03A-7F0CD20BDD42}">
      <dgm:prSet/>
      <dgm:spPr/>
      <dgm:t>
        <a:bodyPr/>
        <a:lstStyle/>
        <a:p>
          <a:pPr algn="ctr"/>
          <a:endParaRPr lang="tr-TR" sz="2400" b="0">
            <a:solidFill>
              <a:sysClr val="windowText" lastClr="000000"/>
            </a:solidFill>
          </a:endParaRPr>
        </a:p>
      </dgm:t>
    </dgm:pt>
    <dgm:pt modelId="{523F8BE7-E47F-4953-8B07-826E9AD92CBF}" type="sibTrans" cxnId="{1EF398A3-3FB5-49D0-B03A-7F0CD20BDD42}">
      <dgm:prSet/>
      <dgm:spPr/>
      <dgm:t>
        <a:bodyPr/>
        <a:lstStyle/>
        <a:p>
          <a:pPr algn="ctr"/>
          <a:endParaRPr lang="tr-TR" sz="2400" b="0">
            <a:solidFill>
              <a:sysClr val="windowText" lastClr="000000"/>
            </a:solidFill>
          </a:endParaRPr>
        </a:p>
      </dgm:t>
    </dgm:pt>
    <dgm:pt modelId="{EEFA96EB-88BB-4F3D-B239-D07A6DDE3188}">
      <dgm:prSet phldrT="[Metin]" custT="1"/>
      <dgm:spPr>
        <a:solidFill>
          <a:schemeClr val="accent2">
            <a:lumMod val="20000"/>
            <a:lumOff val="80000"/>
          </a:schemeClr>
        </a:solidFill>
      </dgm:spPr>
      <dgm:t>
        <a:bodyPr/>
        <a:lstStyle/>
        <a:p>
          <a:pPr algn="ctr"/>
          <a:r>
            <a:rPr lang="tr-TR" sz="700" b="0">
              <a:solidFill>
                <a:sysClr val="windowText" lastClr="000000"/>
              </a:solidFill>
            </a:rPr>
            <a:t>Purchasing Group</a:t>
          </a:r>
        </a:p>
      </dgm:t>
    </dgm:pt>
    <dgm:pt modelId="{5701DACE-2E21-4457-A288-7FD71FC763DD}" type="parTrans" cxnId="{E6E05D2E-C951-4025-B2E4-0DC658EA98F9}">
      <dgm:prSet/>
      <dgm:spPr/>
      <dgm:t>
        <a:bodyPr/>
        <a:lstStyle/>
        <a:p>
          <a:pPr algn="ctr"/>
          <a:endParaRPr lang="tr-TR" sz="2400" b="0">
            <a:solidFill>
              <a:sysClr val="windowText" lastClr="000000"/>
            </a:solidFill>
          </a:endParaRPr>
        </a:p>
      </dgm:t>
    </dgm:pt>
    <dgm:pt modelId="{DC091091-BE11-4911-BD21-F7CA34843308}" type="sibTrans" cxnId="{E6E05D2E-C951-4025-B2E4-0DC658EA98F9}">
      <dgm:prSet/>
      <dgm:spPr/>
      <dgm:t>
        <a:bodyPr/>
        <a:lstStyle/>
        <a:p>
          <a:pPr algn="ctr"/>
          <a:endParaRPr lang="tr-TR" sz="2400" b="0">
            <a:solidFill>
              <a:sysClr val="windowText" lastClr="000000"/>
            </a:solidFill>
          </a:endParaRPr>
        </a:p>
      </dgm:t>
    </dgm:pt>
    <dgm:pt modelId="{6627D280-CBD8-46BD-A7D7-43CCAF8573C5}">
      <dgm:prSet phldrT="[Metin]" custT="1"/>
      <dgm:spPr>
        <a:solidFill>
          <a:schemeClr val="accent2">
            <a:lumMod val="20000"/>
            <a:lumOff val="80000"/>
          </a:schemeClr>
        </a:solidFill>
      </dgm:spPr>
      <dgm:t>
        <a:bodyPr/>
        <a:lstStyle/>
        <a:p>
          <a:pPr algn="ctr"/>
          <a:r>
            <a:rPr lang="tr-TR" sz="700" b="0">
              <a:solidFill>
                <a:sysClr val="windowText" lastClr="000000"/>
              </a:solidFill>
            </a:rPr>
            <a:t>Education Group</a:t>
          </a:r>
        </a:p>
      </dgm:t>
    </dgm:pt>
    <dgm:pt modelId="{E0E50C77-5A0A-452B-BF09-379717C5226D}" type="parTrans" cxnId="{29CA3356-B330-4BE5-B055-9850D62FDA31}">
      <dgm:prSet/>
      <dgm:spPr/>
      <dgm:t>
        <a:bodyPr/>
        <a:lstStyle/>
        <a:p>
          <a:pPr algn="ctr"/>
          <a:endParaRPr lang="tr-TR" sz="2400" b="0">
            <a:solidFill>
              <a:sysClr val="windowText" lastClr="000000"/>
            </a:solidFill>
          </a:endParaRPr>
        </a:p>
      </dgm:t>
    </dgm:pt>
    <dgm:pt modelId="{25C163AA-359E-4E4C-B8C0-BA76DA7339CC}" type="sibTrans" cxnId="{29CA3356-B330-4BE5-B055-9850D62FDA31}">
      <dgm:prSet/>
      <dgm:spPr/>
      <dgm:t>
        <a:bodyPr/>
        <a:lstStyle/>
        <a:p>
          <a:pPr algn="ctr"/>
          <a:endParaRPr lang="tr-TR" sz="2400" b="0">
            <a:solidFill>
              <a:sysClr val="windowText" lastClr="000000"/>
            </a:solidFill>
          </a:endParaRPr>
        </a:p>
      </dgm:t>
    </dgm:pt>
    <dgm:pt modelId="{D01A2359-A22D-41DC-965E-463AAD6DEC4D}">
      <dgm:prSet phldrT="[Metin]" custT="1"/>
      <dgm:spPr>
        <a:solidFill>
          <a:schemeClr val="accent2">
            <a:lumMod val="20000"/>
            <a:lumOff val="80000"/>
          </a:schemeClr>
        </a:solidFill>
      </dgm:spPr>
      <dgm:t>
        <a:bodyPr/>
        <a:lstStyle/>
        <a:p>
          <a:pPr algn="ctr"/>
          <a:r>
            <a:rPr lang="tr-TR" sz="700" b="0">
              <a:solidFill>
                <a:sysClr val="windowText" lastClr="000000"/>
              </a:solidFill>
            </a:rPr>
            <a:t>Technical Services Group</a:t>
          </a:r>
        </a:p>
      </dgm:t>
    </dgm:pt>
    <dgm:pt modelId="{9D780BE8-05A7-422E-905A-9AB440AC70A4}" type="parTrans" cxnId="{516CAEDB-D5A9-48A1-9E8C-73ECD4840550}">
      <dgm:prSet/>
      <dgm:spPr/>
      <dgm:t>
        <a:bodyPr/>
        <a:lstStyle/>
        <a:p>
          <a:pPr algn="ctr"/>
          <a:endParaRPr lang="tr-TR" sz="2400" b="0">
            <a:solidFill>
              <a:sysClr val="windowText" lastClr="000000"/>
            </a:solidFill>
          </a:endParaRPr>
        </a:p>
      </dgm:t>
    </dgm:pt>
    <dgm:pt modelId="{C59973AF-5D98-4AD8-AB42-ED4770E7ECD3}" type="sibTrans" cxnId="{516CAEDB-D5A9-48A1-9E8C-73ECD4840550}">
      <dgm:prSet/>
      <dgm:spPr/>
      <dgm:t>
        <a:bodyPr/>
        <a:lstStyle/>
        <a:p>
          <a:pPr algn="ctr"/>
          <a:endParaRPr lang="tr-TR" sz="2400" b="0">
            <a:solidFill>
              <a:sysClr val="windowText" lastClr="000000"/>
            </a:solidFill>
          </a:endParaRPr>
        </a:p>
      </dgm:t>
    </dgm:pt>
    <dgm:pt modelId="{637F1051-3303-4721-91C5-5E0839D1BCA8}">
      <dgm:prSet phldrT="[Metin]" custT="1"/>
      <dgm:spPr>
        <a:solidFill>
          <a:schemeClr val="accent2">
            <a:lumMod val="20000"/>
            <a:lumOff val="80000"/>
          </a:schemeClr>
        </a:solidFill>
      </dgm:spPr>
      <dgm:t>
        <a:bodyPr/>
        <a:lstStyle/>
        <a:p>
          <a:pPr algn="ctr"/>
          <a:r>
            <a:rPr lang="tr-TR" sz="700" b="0">
              <a:solidFill>
                <a:sysClr val="windowText" lastClr="000000"/>
              </a:solidFill>
            </a:rPr>
            <a:t>Social Affairs Group</a:t>
          </a:r>
        </a:p>
      </dgm:t>
    </dgm:pt>
    <dgm:pt modelId="{1711F813-AFF9-41A5-89B6-53F3994C1A14}" type="parTrans" cxnId="{8C5FA09E-57DB-4072-AA79-18348211E4E2}">
      <dgm:prSet/>
      <dgm:spPr/>
      <dgm:t>
        <a:bodyPr/>
        <a:lstStyle/>
        <a:p>
          <a:pPr algn="ctr"/>
          <a:endParaRPr lang="tr-TR" sz="2400" b="0">
            <a:solidFill>
              <a:sysClr val="windowText" lastClr="000000"/>
            </a:solidFill>
          </a:endParaRPr>
        </a:p>
      </dgm:t>
    </dgm:pt>
    <dgm:pt modelId="{25B2C925-54EF-49BE-9A57-A20B8E9DF94C}" type="sibTrans" cxnId="{8C5FA09E-57DB-4072-AA79-18348211E4E2}">
      <dgm:prSet/>
      <dgm:spPr/>
      <dgm:t>
        <a:bodyPr/>
        <a:lstStyle/>
        <a:p>
          <a:pPr algn="ctr"/>
          <a:endParaRPr lang="tr-TR" sz="2400" b="0">
            <a:solidFill>
              <a:sysClr val="windowText" lastClr="000000"/>
            </a:solidFill>
          </a:endParaRPr>
        </a:p>
      </dgm:t>
    </dgm:pt>
    <dgm:pt modelId="{416CEC48-E214-4015-8C6E-69D4C8A45281}">
      <dgm:prSet phldrT="[Metin]" custT="1"/>
      <dgm:spPr>
        <a:solidFill>
          <a:schemeClr val="accent2">
            <a:lumMod val="20000"/>
            <a:lumOff val="80000"/>
          </a:schemeClr>
        </a:solidFill>
      </dgm:spPr>
      <dgm:t>
        <a:bodyPr/>
        <a:lstStyle/>
        <a:p>
          <a:pPr algn="ctr"/>
          <a:r>
            <a:rPr lang="tr-TR" sz="700" b="0">
              <a:solidFill>
                <a:sysClr val="windowText" lastClr="000000"/>
              </a:solidFill>
            </a:rPr>
            <a:t>Hydro Projects Group</a:t>
          </a:r>
        </a:p>
      </dgm:t>
    </dgm:pt>
    <dgm:pt modelId="{023389AF-EC88-40EC-8DB0-507EF04E3F3B}" type="parTrans" cxnId="{3115C25A-76D2-473F-B96B-608ADDE72C05}">
      <dgm:prSet/>
      <dgm:spPr/>
      <dgm:t>
        <a:bodyPr/>
        <a:lstStyle/>
        <a:p>
          <a:pPr algn="ctr"/>
          <a:endParaRPr lang="tr-TR" sz="2400" b="0">
            <a:solidFill>
              <a:sysClr val="windowText" lastClr="000000"/>
            </a:solidFill>
          </a:endParaRPr>
        </a:p>
      </dgm:t>
    </dgm:pt>
    <dgm:pt modelId="{3EF208E1-3E3F-4CCE-A8C7-464F2FEB74BF}" type="sibTrans" cxnId="{3115C25A-76D2-473F-B96B-608ADDE72C05}">
      <dgm:prSet/>
      <dgm:spPr/>
      <dgm:t>
        <a:bodyPr/>
        <a:lstStyle/>
        <a:p>
          <a:pPr algn="ctr"/>
          <a:endParaRPr lang="tr-TR" sz="2400" b="0">
            <a:solidFill>
              <a:sysClr val="windowText" lastClr="000000"/>
            </a:solidFill>
          </a:endParaRPr>
        </a:p>
      </dgm:t>
    </dgm:pt>
    <dgm:pt modelId="{5E9FE79E-DD27-41D9-AFED-0B3881CF9F67}">
      <dgm:prSet phldrT="[Metin]" custT="1"/>
      <dgm:spPr>
        <a:solidFill>
          <a:schemeClr val="accent2">
            <a:lumMod val="20000"/>
            <a:lumOff val="80000"/>
          </a:schemeClr>
        </a:solidFill>
      </dgm:spPr>
      <dgm:t>
        <a:bodyPr/>
        <a:lstStyle/>
        <a:p>
          <a:pPr algn="ctr"/>
          <a:r>
            <a:rPr lang="tr-TR" sz="700" b="0">
              <a:solidFill>
                <a:sysClr val="windowText" lastClr="000000"/>
              </a:solidFill>
            </a:rPr>
            <a:t>Win &amp; Solar Projects Group</a:t>
          </a:r>
        </a:p>
      </dgm:t>
    </dgm:pt>
    <dgm:pt modelId="{57A5474C-395F-4ED0-A994-7397954D1DF4}" type="parTrans" cxnId="{8945F6DF-2A58-4A85-A12F-A419CEFC2050}">
      <dgm:prSet/>
      <dgm:spPr/>
      <dgm:t>
        <a:bodyPr/>
        <a:lstStyle/>
        <a:p>
          <a:pPr algn="ctr"/>
          <a:endParaRPr lang="tr-TR" sz="2400" b="0">
            <a:solidFill>
              <a:sysClr val="windowText" lastClr="000000"/>
            </a:solidFill>
          </a:endParaRPr>
        </a:p>
      </dgm:t>
    </dgm:pt>
    <dgm:pt modelId="{00054E03-C219-4225-B544-A6C4AB9DD68F}" type="sibTrans" cxnId="{8945F6DF-2A58-4A85-A12F-A419CEFC2050}">
      <dgm:prSet/>
      <dgm:spPr/>
      <dgm:t>
        <a:bodyPr/>
        <a:lstStyle/>
        <a:p>
          <a:pPr algn="ctr"/>
          <a:endParaRPr lang="tr-TR" sz="2400" b="0">
            <a:solidFill>
              <a:sysClr val="windowText" lastClr="000000"/>
            </a:solidFill>
          </a:endParaRPr>
        </a:p>
      </dgm:t>
    </dgm:pt>
    <dgm:pt modelId="{64E3A6A4-24E0-4D6E-9A2A-F2CEFBAA3229}">
      <dgm:prSet phldrT="[Metin]" custT="1"/>
      <dgm:spPr>
        <a:solidFill>
          <a:schemeClr val="accent2">
            <a:lumMod val="20000"/>
            <a:lumOff val="80000"/>
          </a:schemeClr>
        </a:solidFill>
      </dgm:spPr>
      <dgm:t>
        <a:bodyPr/>
        <a:lstStyle/>
        <a:p>
          <a:pPr algn="ctr"/>
          <a:r>
            <a:rPr lang="tr-TR" sz="700" b="0">
              <a:solidFill>
                <a:sysClr val="windowText" lastClr="000000"/>
              </a:solidFill>
            </a:rPr>
            <a:t>Unlicenced Projects Group</a:t>
          </a:r>
        </a:p>
      </dgm:t>
    </dgm:pt>
    <dgm:pt modelId="{3FDDE85B-5464-405B-9FAA-B0570B931591}" type="parTrans" cxnId="{D8B7DCD6-4BE7-4003-BF7C-1B1DBF500A80}">
      <dgm:prSet/>
      <dgm:spPr/>
      <dgm:t>
        <a:bodyPr/>
        <a:lstStyle/>
        <a:p>
          <a:pPr algn="ctr"/>
          <a:endParaRPr lang="tr-TR" sz="2400" b="0">
            <a:solidFill>
              <a:sysClr val="windowText" lastClr="000000"/>
            </a:solidFill>
          </a:endParaRPr>
        </a:p>
      </dgm:t>
    </dgm:pt>
    <dgm:pt modelId="{60ECC79E-C0FC-4F0E-A81C-45BA6D46E638}" type="sibTrans" cxnId="{D8B7DCD6-4BE7-4003-BF7C-1B1DBF500A80}">
      <dgm:prSet/>
      <dgm:spPr/>
      <dgm:t>
        <a:bodyPr/>
        <a:lstStyle/>
        <a:p>
          <a:pPr algn="ctr"/>
          <a:endParaRPr lang="tr-TR" sz="2400" b="0">
            <a:solidFill>
              <a:sysClr val="windowText" lastClr="000000"/>
            </a:solidFill>
          </a:endParaRPr>
        </a:p>
      </dgm:t>
    </dgm:pt>
    <dgm:pt modelId="{6E2AD882-9368-4C80-AA17-CFCD80DFD9CF}">
      <dgm:prSet phldrT="[Metin]" custT="1"/>
      <dgm:spPr>
        <a:solidFill>
          <a:schemeClr val="accent2">
            <a:lumMod val="20000"/>
            <a:lumOff val="80000"/>
          </a:schemeClr>
        </a:solidFill>
      </dgm:spPr>
      <dgm:t>
        <a:bodyPr/>
        <a:lstStyle/>
        <a:p>
          <a:pPr algn="ctr"/>
          <a:r>
            <a:rPr lang="tr-TR" sz="700" b="0">
              <a:solidFill>
                <a:sysClr val="windowText" lastClr="000000"/>
              </a:solidFill>
            </a:rPr>
            <a:t>Thermal Projects Group</a:t>
          </a:r>
        </a:p>
      </dgm:t>
    </dgm:pt>
    <dgm:pt modelId="{9C56425A-81B8-425A-AF83-4A80643AEB1C}" type="parTrans" cxnId="{42A0B036-A9E8-4658-9585-32A694C273EA}">
      <dgm:prSet/>
      <dgm:spPr/>
      <dgm:t>
        <a:bodyPr/>
        <a:lstStyle/>
        <a:p>
          <a:pPr algn="ctr"/>
          <a:endParaRPr lang="tr-TR" sz="2400" b="0">
            <a:solidFill>
              <a:sysClr val="windowText" lastClr="000000"/>
            </a:solidFill>
          </a:endParaRPr>
        </a:p>
      </dgm:t>
    </dgm:pt>
    <dgm:pt modelId="{170E1BFC-2EF5-4C78-827C-8B6EE5003449}" type="sibTrans" cxnId="{42A0B036-A9E8-4658-9585-32A694C273EA}">
      <dgm:prSet/>
      <dgm:spPr/>
      <dgm:t>
        <a:bodyPr/>
        <a:lstStyle/>
        <a:p>
          <a:pPr algn="ctr"/>
          <a:endParaRPr lang="tr-TR" sz="2400" b="0">
            <a:solidFill>
              <a:sysClr val="windowText" lastClr="000000"/>
            </a:solidFill>
          </a:endParaRPr>
        </a:p>
      </dgm:t>
    </dgm:pt>
    <dgm:pt modelId="{E653F506-E5FC-4360-BBFE-696A4FC7CFFC}">
      <dgm:prSet phldrT="[Metin]" custT="1"/>
      <dgm:spPr>
        <a:solidFill>
          <a:schemeClr val="accent2">
            <a:lumMod val="20000"/>
            <a:lumOff val="80000"/>
          </a:schemeClr>
        </a:solidFill>
      </dgm:spPr>
      <dgm:t>
        <a:bodyPr/>
        <a:lstStyle/>
        <a:p>
          <a:pPr algn="ctr"/>
          <a:r>
            <a:rPr lang="tr-TR" sz="700" b="0">
              <a:solidFill>
                <a:sysClr val="windowText" lastClr="000000"/>
              </a:solidFill>
            </a:rPr>
            <a:t>Distribution &amp; Retail Group</a:t>
          </a:r>
        </a:p>
      </dgm:t>
    </dgm:pt>
    <dgm:pt modelId="{996AE2C3-6531-4C8C-85DA-E37EB0AE6AE7}" type="parTrans" cxnId="{5D5B4AD0-5B13-4F30-87BA-0C603ACFCC0A}">
      <dgm:prSet/>
      <dgm:spPr/>
      <dgm:t>
        <a:bodyPr/>
        <a:lstStyle/>
        <a:p>
          <a:pPr algn="ctr"/>
          <a:endParaRPr lang="tr-TR" sz="2400" b="0">
            <a:solidFill>
              <a:sysClr val="windowText" lastClr="000000"/>
            </a:solidFill>
          </a:endParaRPr>
        </a:p>
      </dgm:t>
    </dgm:pt>
    <dgm:pt modelId="{CEAA0B1D-580C-4BD0-A0AF-266CA3118420}" type="sibTrans" cxnId="{5D5B4AD0-5B13-4F30-87BA-0C603ACFCC0A}">
      <dgm:prSet/>
      <dgm:spPr/>
      <dgm:t>
        <a:bodyPr/>
        <a:lstStyle/>
        <a:p>
          <a:pPr algn="ctr"/>
          <a:endParaRPr lang="tr-TR" sz="2400" b="0">
            <a:solidFill>
              <a:sysClr val="windowText" lastClr="000000"/>
            </a:solidFill>
          </a:endParaRPr>
        </a:p>
      </dgm:t>
    </dgm:pt>
    <dgm:pt modelId="{F6EFFE1F-6B48-402C-B01B-3B8B61825B18}">
      <dgm:prSet phldrT="[Metin]" custT="1"/>
      <dgm:spPr>
        <a:solidFill>
          <a:schemeClr val="accent2">
            <a:lumMod val="20000"/>
            <a:lumOff val="80000"/>
          </a:schemeClr>
        </a:solidFill>
      </dgm:spPr>
      <dgm:t>
        <a:bodyPr/>
        <a:lstStyle/>
        <a:p>
          <a:pPr algn="ctr"/>
          <a:r>
            <a:rPr lang="tr-TR" sz="700" b="0">
              <a:solidFill>
                <a:sysClr val="windowText" lastClr="000000"/>
              </a:solidFill>
            </a:rPr>
            <a:t>Transmission &amp; OIZ Group</a:t>
          </a:r>
        </a:p>
      </dgm:t>
    </dgm:pt>
    <dgm:pt modelId="{8F6D8954-BE24-43F8-A72B-5483EE5258F5}" type="parTrans" cxnId="{AD48F9EF-7CE4-4840-BAF7-366682C45CD1}">
      <dgm:prSet/>
      <dgm:spPr/>
      <dgm:t>
        <a:bodyPr/>
        <a:lstStyle/>
        <a:p>
          <a:pPr algn="ctr"/>
          <a:endParaRPr lang="tr-TR" sz="2400" b="0">
            <a:solidFill>
              <a:sysClr val="windowText" lastClr="000000"/>
            </a:solidFill>
          </a:endParaRPr>
        </a:p>
      </dgm:t>
    </dgm:pt>
    <dgm:pt modelId="{824C87D2-C617-4126-962F-D5037D0C668E}" type="sibTrans" cxnId="{AD48F9EF-7CE4-4840-BAF7-366682C45CD1}">
      <dgm:prSet/>
      <dgm:spPr/>
      <dgm:t>
        <a:bodyPr/>
        <a:lstStyle/>
        <a:p>
          <a:pPr algn="ctr"/>
          <a:endParaRPr lang="tr-TR" sz="2400" b="0">
            <a:solidFill>
              <a:sysClr val="windowText" lastClr="000000"/>
            </a:solidFill>
          </a:endParaRPr>
        </a:p>
      </dgm:t>
    </dgm:pt>
    <dgm:pt modelId="{2F47CD97-FF8C-444E-8DFB-D5358D61D23F}">
      <dgm:prSet phldrT="[Metin]" custT="1"/>
      <dgm:spPr>
        <a:solidFill>
          <a:schemeClr val="accent2">
            <a:lumMod val="20000"/>
            <a:lumOff val="80000"/>
          </a:schemeClr>
        </a:solidFill>
      </dgm:spPr>
      <dgm:t>
        <a:bodyPr/>
        <a:lstStyle/>
        <a:p>
          <a:pPr algn="ctr"/>
          <a:r>
            <a:rPr lang="tr-TR" sz="700" b="0">
              <a:solidFill>
                <a:sysClr val="windowText" lastClr="000000"/>
              </a:solidFill>
            </a:rPr>
            <a:t>Organized Markets Group</a:t>
          </a:r>
        </a:p>
      </dgm:t>
    </dgm:pt>
    <dgm:pt modelId="{29DCAB08-F9B3-4704-8EC8-F9AF479E2FAC}" type="parTrans" cxnId="{98AF4DE9-E211-486C-8F6D-25EB8740E710}">
      <dgm:prSet/>
      <dgm:spPr/>
      <dgm:t>
        <a:bodyPr/>
        <a:lstStyle/>
        <a:p>
          <a:pPr algn="ctr"/>
          <a:endParaRPr lang="tr-TR" sz="2400" b="0">
            <a:solidFill>
              <a:sysClr val="windowText" lastClr="000000"/>
            </a:solidFill>
          </a:endParaRPr>
        </a:p>
      </dgm:t>
    </dgm:pt>
    <dgm:pt modelId="{E555968A-F3FE-4A90-8FD6-B1D855BD0F5C}" type="sibTrans" cxnId="{98AF4DE9-E211-486C-8F6D-25EB8740E710}">
      <dgm:prSet/>
      <dgm:spPr/>
      <dgm:t>
        <a:bodyPr/>
        <a:lstStyle/>
        <a:p>
          <a:pPr algn="ctr"/>
          <a:endParaRPr lang="tr-TR" sz="2400" b="0">
            <a:solidFill>
              <a:sysClr val="windowText" lastClr="000000"/>
            </a:solidFill>
          </a:endParaRPr>
        </a:p>
      </dgm:t>
    </dgm:pt>
    <dgm:pt modelId="{EC9C8504-0E3F-4B20-BC18-3CFA5365716C}">
      <dgm:prSet phldrT="[Metin]" custT="1"/>
      <dgm:spPr>
        <a:solidFill>
          <a:schemeClr val="accent2">
            <a:lumMod val="20000"/>
            <a:lumOff val="80000"/>
          </a:schemeClr>
        </a:solidFill>
      </dgm:spPr>
      <dgm:t>
        <a:bodyPr/>
        <a:lstStyle/>
        <a:p>
          <a:pPr algn="ctr"/>
          <a:r>
            <a:rPr lang="tr-TR" sz="700" b="0">
              <a:solidFill>
                <a:sysClr val="windowText" lastClr="000000"/>
              </a:solidFill>
            </a:rPr>
            <a:t>Consumers Group</a:t>
          </a:r>
        </a:p>
      </dgm:t>
    </dgm:pt>
    <dgm:pt modelId="{D9346E01-3975-4CD4-BC3C-B2E92864AF3F}" type="parTrans" cxnId="{56AF3436-132C-4EBD-A78D-5EFBDFE11E8A}">
      <dgm:prSet/>
      <dgm:spPr/>
      <dgm:t>
        <a:bodyPr/>
        <a:lstStyle/>
        <a:p>
          <a:pPr algn="ctr"/>
          <a:endParaRPr lang="tr-TR" sz="2400" b="0">
            <a:solidFill>
              <a:sysClr val="windowText" lastClr="000000"/>
            </a:solidFill>
          </a:endParaRPr>
        </a:p>
      </dgm:t>
    </dgm:pt>
    <dgm:pt modelId="{34832685-2827-4598-BEE4-340095A06817}" type="sibTrans" cxnId="{56AF3436-132C-4EBD-A78D-5EFBDFE11E8A}">
      <dgm:prSet/>
      <dgm:spPr/>
      <dgm:t>
        <a:bodyPr/>
        <a:lstStyle/>
        <a:p>
          <a:pPr algn="ctr"/>
          <a:endParaRPr lang="tr-TR" sz="2400" b="0">
            <a:solidFill>
              <a:sysClr val="windowText" lastClr="000000"/>
            </a:solidFill>
          </a:endParaRPr>
        </a:p>
      </dgm:t>
    </dgm:pt>
    <dgm:pt modelId="{0EDEAA2A-B0B2-4E07-A2C0-0B4D53BDC496}">
      <dgm:prSet phldrT="[Metin]" custT="1"/>
      <dgm:spPr>
        <a:solidFill>
          <a:schemeClr val="accent2">
            <a:lumMod val="20000"/>
            <a:lumOff val="80000"/>
          </a:schemeClr>
        </a:solidFill>
      </dgm:spPr>
      <dgm:t>
        <a:bodyPr/>
        <a:lstStyle/>
        <a:p>
          <a:pPr algn="ctr"/>
          <a:r>
            <a:rPr lang="tr-TR" sz="700" b="0">
              <a:solidFill>
                <a:sysClr val="windowText" lastClr="000000"/>
              </a:solidFill>
            </a:rPr>
            <a:t>Monitoring &amp; Legislation Group</a:t>
          </a:r>
        </a:p>
      </dgm:t>
    </dgm:pt>
    <dgm:pt modelId="{91B769E1-6CD7-446D-BCCC-D97A7958972F}" type="parTrans" cxnId="{CC3125FB-E8F5-42F4-A60A-C66E6937AB2C}">
      <dgm:prSet/>
      <dgm:spPr/>
      <dgm:t>
        <a:bodyPr/>
        <a:lstStyle/>
        <a:p>
          <a:pPr algn="ctr"/>
          <a:endParaRPr lang="tr-TR" sz="2400" b="0">
            <a:solidFill>
              <a:sysClr val="windowText" lastClr="000000"/>
            </a:solidFill>
          </a:endParaRPr>
        </a:p>
      </dgm:t>
    </dgm:pt>
    <dgm:pt modelId="{E676578F-AFA1-4909-9978-8E7FED4EFF91}" type="sibTrans" cxnId="{CC3125FB-E8F5-42F4-A60A-C66E6937AB2C}">
      <dgm:prSet/>
      <dgm:spPr/>
      <dgm:t>
        <a:bodyPr/>
        <a:lstStyle/>
        <a:p>
          <a:pPr algn="ctr"/>
          <a:endParaRPr lang="tr-TR" sz="2400" b="0">
            <a:solidFill>
              <a:sysClr val="windowText" lastClr="000000"/>
            </a:solidFill>
          </a:endParaRPr>
        </a:p>
      </dgm:t>
    </dgm:pt>
    <dgm:pt modelId="{088C8172-BF48-47A3-92C9-BAA3B5B80DC0}">
      <dgm:prSet phldrT="[Metin]" custT="1"/>
      <dgm:spPr>
        <a:solidFill>
          <a:schemeClr val="accent2">
            <a:lumMod val="40000"/>
            <a:lumOff val="60000"/>
          </a:schemeClr>
        </a:solidFill>
      </dgm:spPr>
      <dgm:t>
        <a:bodyPr/>
        <a:lstStyle/>
        <a:p>
          <a:pPr algn="ctr"/>
          <a:r>
            <a:rPr lang="tr-TR" sz="700" b="0">
              <a:solidFill>
                <a:sysClr val="windowText" lastClr="000000"/>
              </a:solidFill>
            </a:rPr>
            <a:t>Petroleum Market Dept.</a:t>
          </a:r>
        </a:p>
      </dgm:t>
    </dgm:pt>
    <dgm:pt modelId="{FA6ED975-55E0-4A0B-B457-29D9BFB2DA34}" type="parTrans" cxnId="{405DE566-F982-4743-AB1F-C4877DF921E6}">
      <dgm:prSet/>
      <dgm:spPr/>
      <dgm:t>
        <a:bodyPr/>
        <a:lstStyle/>
        <a:p>
          <a:pPr algn="ctr"/>
          <a:endParaRPr lang="tr-TR" sz="2400" b="0">
            <a:solidFill>
              <a:sysClr val="windowText" lastClr="000000"/>
            </a:solidFill>
          </a:endParaRPr>
        </a:p>
      </dgm:t>
    </dgm:pt>
    <dgm:pt modelId="{168F96D0-3703-4A2C-BDBD-C46F0539D5CA}" type="sibTrans" cxnId="{405DE566-F982-4743-AB1F-C4877DF921E6}">
      <dgm:prSet/>
      <dgm:spPr/>
      <dgm:t>
        <a:bodyPr/>
        <a:lstStyle/>
        <a:p>
          <a:pPr algn="ctr"/>
          <a:endParaRPr lang="tr-TR" sz="2400" b="0">
            <a:solidFill>
              <a:sysClr val="windowText" lastClr="000000"/>
            </a:solidFill>
          </a:endParaRPr>
        </a:p>
      </dgm:t>
    </dgm:pt>
    <dgm:pt modelId="{A8581A17-7EE2-472D-ACFC-71398985F795}">
      <dgm:prSet phldrT="[Metin]" custT="1"/>
      <dgm:spPr>
        <a:solidFill>
          <a:schemeClr val="accent2">
            <a:lumMod val="20000"/>
            <a:lumOff val="80000"/>
          </a:schemeClr>
        </a:solidFill>
      </dgm:spPr>
      <dgm:t>
        <a:bodyPr/>
        <a:lstStyle/>
        <a:p>
          <a:pPr algn="ctr"/>
          <a:r>
            <a:rPr lang="tr-TR" sz="700" b="0">
              <a:solidFill>
                <a:sysClr val="windowText" lastClr="000000"/>
              </a:solidFill>
            </a:rPr>
            <a:t>1st Retailer Licenses Group</a:t>
          </a:r>
        </a:p>
      </dgm:t>
    </dgm:pt>
    <dgm:pt modelId="{5F86DD40-FA6A-47A3-B0E1-60B7BF7644EF}" type="parTrans" cxnId="{EBFCB3DF-DFEB-4D1D-BBBF-9F2A94DEBA62}">
      <dgm:prSet/>
      <dgm:spPr/>
      <dgm:t>
        <a:bodyPr/>
        <a:lstStyle/>
        <a:p>
          <a:pPr algn="ctr"/>
          <a:endParaRPr lang="tr-TR" sz="2400" b="0">
            <a:solidFill>
              <a:sysClr val="windowText" lastClr="000000"/>
            </a:solidFill>
          </a:endParaRPr>
        </a:p>
      </dgm:t>
    </dgm:pt>
    <dgm:pt modelId="{0743DF40-21CC-4C6E-AAAD-800558BB0EFA}" type="sibTrans" cxnId="{EBFCB3DF-DFEB-4D1D-BBBF-9F2A94DEBA62}">
      <dgm:prSet/>
      <dgm:spPr/>
      <dgm:t>
        <a:bodyPr/>
        <a:lstStyle/>
        <a:p>
          <a:pPr algn="ctr"/>
          <a:endParaRPr lang="tr-TR" sz="2400" b="0">
            <a:solidFill>
              <a:sysClr val="windowText" lastClr="000000"/>
            </a:solidFill>
          </a:endParaRPr>
        </a:p>
      </dgm:t>
    </dgm:pt>
    <dgm:pt modelId="{20301F7D-90B0-4457-8ED8-8F22D3187F5C}">
      <dgm:prSet phldrT="[Metin]" custT="1"/>
      <dgm:spPr>
        <a:solidFill>
          <a:schemeClr val="accent2">
            <a:lumMod val="20000"/>
            <a:lumOff val="80000"/>
          </a:schemeClr>
        </a:solidFill>
      </dgm:spPr>
      <dgm:t>
        <a:bodyPr/>
        <a:lstStyle/>
        <a:p>
          <a:pPr algn="ctr"/>
          <a:r>
            <a:rPr lang="tr-TR" sz="700" b="0">
              <a:solidFill>
                <a:sysClr val="windowText" lastClr="000000"/>
              </a:solidFill>
            </a:rPr>
            <a:t>2nd Retailer Licenses Group</a:t>
          </a:r>
        </a:p>
      </dgm:t>
    </dgm:pt>
    <dgm:pt modelId="{2117ACDE-7891-4B38-9EA3-C93324D003CE}" type="parTrans" cxnId="{DE116BE3-38AF-4DE1-BC4E-DD590BAB37CC}">
      <dgm:prSet/>
      <dgm:spPr/>
      <dgm:t>
        <a:bodyPr/>
        <a:lstStyle/>
        <a:p>
          <a:pPr algn="ctr"/>
          <a:endParaRPr lang="tr-TR" sz="2400" b="0">
            <a:solidFill>
              <a:sysClr val="windowText" lastClr="000000"/>
            </a:solidFill>
          </a:endParaRPr>
        </a:p>
      </dgm:t>
    </dgm:pt>
    <dgm:pt modelId="{719D8BB0-4679-4B52-A9E7-339C1A501243}" type="sibTrans" cxnId="{DE116BE3-38AF-4DE1-BC4E-DD590BAB37CC}">
      <dgm:prSet/>
      <dgm:spPr/>
      <dgm:t>
        <a:bodyPr/>
        <a:lstStyle/>
        <a:p>
          <a:pPr algn="ctr"/>
          <a:endParaRPr lang="tr-TR" sz="2400" b="0">
            <a:solidFill>
              <a:sysClr val="windowText" lastClr="000000"/>
            </a:solidFill>
          </a:endParaRPr>
        </a:p>
      </dgm:t>
    </dgm:pt>
    <dgm:pt modelId="{751E95A1-683A-400B-8717-2724C4C0C1E4}">
      <dgm:prSet phldrT="[Metin]" custT="1"/>
      <dgm:spPr>
        <a:solidFill>
          <a:schemeClr val="accent2">
            <a:lumMod val="20000"/>
            <a:lumOff val="80000"/>
          </a:schemeClr>
        </a:solidFill>
      </dgm:spPr>
      <dgm:t>
        <a:bodyPr/>
        <a:lstStyle/>
        <a:p>
          <a:pPr algn="ctr"/>
          <a:r>
            <a:rPr lang="tr-TR" sz="700" b="0">
              <a:solidFill>
                <a:sysClr val="windowText" lastClr="000000"/>
              </a:solidFill>
            </a:rPr>
            <a:t>Other Licences Group</a:t>
          </a:r>
        </a:p>
      </dgm:t>
    </dgm:pt>
    <dgm:pt modelId="{561CEB80-AED2-42CF-A923-53106865C9C8}" type="parTrans" cxnId="{45D917A2-70F4-429E-9812-4688ABE65F87}">
      <dgm:prSet/>
      <dgm:spPr/>
      <dgm:t>
        <a:bodyPr/>
        <a:lstStyle/>
        <a:p>
          <a:pPr algn="ctr"/>
          <a:endParaRPr lang="tr-TR" sz="2400" b="0">
            <a:solidFill>
              <a:sysClr val="windowText" lastClr="000000"/>
            </a:solidFill>
          </a:endParaRPr>
        </a:p>
      </dgm:t>
    </dgm:pt>
    <dgm:pt modelId="{1F7946AF-DFB5-40BF-9E41-1018C6EA02D8}" type="sibTrans" cxnId="{45D917A2-70F4-429E-9812-4688ABE65F87}">
      <dgm:prSet/>
      <dgm:spPr/>
      <dgm:t>
        <a:bodyPr/>
        <a:lstStyle/>
        <a:p>
          <a:pPr algn="ctr"/>
          <a:endParaRPr lang="tr-TR" sz="2400" b="0">
            <a:solidFill>
              <a:sysClr val="windowText" lastClr="000000"/>
            </a:solidFill>
          </a:endParaRPr>
        </a:p>
      </dgm:t>
    </dgm:pt>
    <dgm:pt modelId="{12EA064A-8CC3-4619-9FD5-0082419B6074}">
      <dgm:prSet phldrT="[Metin]" custT="1"/>
      <dgm:spPr>
        <a:solidFill>
          <a:schemeClr val="accent2">
            <a:lumMod val="20000"/>
            <a:lumOff val="80000"/>
          </a:schemeClr>
        </a:solidFill>
      </dgm:spPr>
      <dgm:t>
        <a:bodyPr/>
        <a:lstStyle/>
        <a:p>
          <a:pPr algn="ctr"/>
          <a:r>
            <a:rPr lang="tr-TR" sz="700" b="0">
              <a:solidFill>
                <a:sysClr val="windowText" lastClr="000000"/>
              </a:solidFill>
            </a:rPr>
            <a:t>Legislation, Tech. Reg. Consumer Group</a:t>
          </a:r>
        </a:p>
      </dgm:t>
    </dgm:pt>
    <dgm:pt modelId="{36C0EEEA-326B-4A9E-8862-50DE28E35879}" type="parTrans" cxnId="{7EE0246D-FF61-4BCC-B54E-FA28640BB0E5}">
      <dgm:prSet/>
      <dgm:spPr/>
      <dgm:t>
        <a:bodyPr/>
        <a:lstStyle/>
        <a:p>
          <a:pPr algn="ctr"/>
          <a:endParaRPr lang="tr-TR" sz="2400" b="0">
            <a:solidFill>
              <a:sysClr val="windowText" lastClr="000000"/>
            </a:solidFill>
          </a:endParaRPr>
        </a:p>
      </dgm:t>
    </dgm:pt>
    <dgm:pt modelId="{AC2E5193-1FA5-423C-A6F7-04066A6BD505}" type="sibTrans" cxnId="{7EE0246D-FF61-4BCC-B54E-FA28640BB0E5}">
      <dgm:prSet/>
      <dgm:spPr/>
      <dgm:t>
        <a:bodyPr/>
        <a:lstStyle/>
        <a:p>
          <a:pPr algn="ctr"/>
          <a:endParaRPr lang="tr-TR" sz="2400" b="0">
            <a:solidFill>
              <a:sysClr val="windowText" lastClr="000000"/>
            </a:solidFill>
          </a:endParaRPr>
        </a:p>
      </dgm:t>
    </dgm:pt>
    <dgm:pt modelId="{674D51A2-CB06-43D4-8FC5-66580E735D8D}">
      <dgm:prSet phldrT="[Metin]" custT="1"/>
      <dgm:spPr>
        <a:solidFill>
          <a:schemeClr val="accent2">
            <a:lumMod val="20000"/>
            <a:lumOff val="80000"/>
          </a:schemeClr>
        </a:solidFill>
      </dgm:spPr>
      <dgm:t>
        <a:bodyPr/>
        <a:lstStyle/>
        <a:p>
          <a:pPr algn="ctr"/>
          <a:r>
            <a:rPr lang="tr-TR" sz="700" b="0">
              <a:solidFill>
                <a:sysClr val="windowText" lastClr="000000"/>
              </a:solidFill>
            </a:rPr>
            <a:t>Supervision &amp; Automation Group</a:t>
          </a:r>
        </a:p>
      </dgm:t>
    </dgm:pt>
    <dgm:pt modelId="{40227270-05DB-4E37-9E95-C5FFAEE344AA}" type="parTrans" cxnId="{F28BE8BF-BF44-48D1-9003-D6DBA72E9538}">
      <dgm:prSet/>
      <dgm:spPr/>
      <dgm:t>
        <a:bodyPr/>
        <a:lstStyle/>
        <a:p>
          <a:pPr algn="ctr"/>
          <a:endParaRPr lang="tr-TR" sz="2400" b="0">
            <a:solidFill>
              <a:sysClr val="windowText" lastClr="000000"/>
            </a:solidFill>
          </a:endParaRPr>
        </a:p>
      </dgm:t>
    </dgm:pt>
    <dgm:pt modelId="{03D97BBB-B445-4DEF-9801-59A4B09E9E22}" type="sibTrans" cxnId="{F28BE8BF-BF44-48D1-9003-D6DBA72E9538}">
      <dgm:prSet/>
      <dgm:spPr/>
      <dgm:t>
        <a:bodyPr/>
        <a:lstStyle/>
        <a:p>
          <a:pPr algn="ctr"/>
          <a:endParaRPr lang="tr-TR" sz="2400" b="0">
            <a:solidFill>
              <a:sysClr val="windowText" lastClr="000000"/>
            </a:solidFill>
          </a:endParaRPr>
        </a:p>
      </dgm:t>
    </dgm:pt>
    <dgm:pt modelId="{1A751770-9562-4B1B-9B27-DF6D1894FC48}">
      <dgm:prSet phldrT="[Metin]" custT="1"/>
      <dgm:spPr>
        <a:solidFill>
          <a:schemeClr val="accent2">
            <a:lumMod val="20000"/>
            <a:lumOff val="80000"/>
          </a:schemeClr>
        </a:solidFill>
      </dgm:spPr>
      <dgm:t>
        <a:bodyPr/>
        <a:lstStyle/>
        <a:p>
          <a:pPr algn="ctr"/>
          <a:r>
            <a:rPr lang="tr-TR" sz="700" b="0">
              <a:solidFill>
                <a:sysClr val="windowText" lastClr="000000"/>
              </a:solidFill>
            </a:rPr>
            <a:t>Marker &amp; Other Products Group</a:t>
          </a:r>
        </a:p>
      </dgm:t>
    </dgm:pt>
    <dgm:pt modelId="{C05A8A67-B5D4-4F20-AB4E-13EB59936CE6}" type="parTrans" cxnId="{6A146441-9153-4B74-A6D4-9B78B7DAE00E}">
      <dgm:prSet/>
      <dgm:spPr/>
      <dgm:t>
        <a:bodyPr/>
        <a:lstStyle/>
        <a:p>
          <a:pPr algn="ctr"/>
          <a:endParaRPr lang="tr-TR" sz="2400" b="0">
            <a:solidFill>
              <a:sysClr val="windowText" lastClr="000000"/>
            </a:solidFill>
          </a:endParaRPr>
        </a:p>
      </dgm:t>
    </dgm:pt>
    <dgm:pt modelId="{EF96BAC6-58A6-4676-89E8-E05E40CCC524}" type="sibTrans" cxnId="{6A146441-9153-4B74-A6D4-9B78B7DAE00E}">
      <dgm:prSet/>
      <dgm:spPr/>
      <dgm:t>
        <a:bodyPr/>
        <a:lstStyle/>
        <a:p>
          <a:pPr algn="ctr"/>
          <a:endParaRPr lang="tr-TR" sz="2400" b="0">
            <a:solidFill>
              <a:sysClr val="windowText" lastClr="000000"/>
            </a:solidFill>
          </a:endParaRPr>
        </a:p>
      </dgm:t>
    </dgm:pt>
    <dgm:pt modelId="{E6250F32-89B8-425F-9636-D037E17AE1E4}">
      <dgm:prSet phldrT="[Metin]" custT="1"/>
      <dgm:spPr>
        <a:solidFill>
          <a:schemeClr val="accent2">
            <a:lumMod val="20000"/>
            <a:lumOff val="80000"/>
          </a:schemeClr>
        </a:solidFill>
      </dgm:spPr>
      <dgm:t>
        <a:bodyPr/>
        <a:lstStyle/>
        <a:p>
          <a:pPr algn="ctr"/>
          <a:r>
            <a:rPr lang="tr-TR" sz="700" b="0">
              <a:solidFill>
                <a:sysClr val="windowText" lastClr="000000"/>
              </a:solidFill>
            </a:rPr>
            <a:t>Statistics &amp; Reporting Group</a:t>
          </a:r>
        </a:p>
      </dgm:t>
    </dgm:pt>
    <dgm:pt modelId="{6B627D02-C49E-4A30-A3FE-C951C018343E}" type="parTrans" cxnId="{ED724631-6076-40A5-B2F4-1DA287960558}">
      <dgm:prSet/>
      <dgm:spPr/>
      <dgm:t>
        <a:bodyPr/>
        <a:lstStyle/>
        <a:p>
          <a:pPr algn="ctr"/>
          <a:endParaRPr lang="tr-TR" sz="2400" b="0">
            <a:solidFill>
              <a:sysClr val="windowText" lastClr="000000"/>
            </a:solidFill>
          </a:endParaRPr>
        </a:p>
      </dgm:t>
    </dgm:pt>
    <dgm:pt modelId="{34541039-8C0C-4A19-94B9-BF24300837B4}" type="sibTrans" cxnId="{ED724631-6076-40A5-B2F4-1DA287960558}">
      <dgm:prSet/>
      <dgm:spPr/>
      <dgm:t>
        <a:bodyPr/>
        <a:lstStyle/>
        <a:p>
          <a:pPr algn="ctr"/>
          <a:endParaRPr lang="tr-TR" sz="2400" b="0">
            <a:solidFill>
              <a:sysClr val="windowText" lastClr="000000"/>
            </a:solidFill>
          </a:endParaRPr>
        </a:p>
      </dgm:t>
    </dgm:pt>
    <dgm:pt modelId="{F747D21D-3E89-40ED-9905-436EEBA4FF02}">
      <dgm:prSet phldrT="[Metin]" custT="1"/>
      <dgm:spPr>
        <a:solidFill>
          <a:schemeClr val="accent2">
            <a:lumMod val="20000"/>
            <a:lumOff val="80000"/>
          </a:schemeClr>
        </a:solidFill>
      </dgm:spPr>
      <dgm:t>
        <a:bodyPr/>
        <a:lstStyle/>
        <a:p>
          <a:pPr algn="ctr"/>
          <a:r>
            <a:rPr lang="tr-TR" sz="700" b="0">
              <a:solidFill>
                <a:sysClr val="windowText" lastClr="000000"/>
              </a:solidFill>
            </a:rPr>
            <a:t>Foreign Relations Group</a:t>
          </a:r>
        </a:p>
      </dgm:t>
    </dgm:pt>
    <dgm:pt modelId="{41E9FD98-6A5D-45FD-A598-5F484169A273}" type="parTrans" cxnId="{2A5D5003-9793-4688-8533-74C8CD974EAF}">
      <dgm:prSet/>
      <dgm:spPr/>
      <dgm:t>
        <a:bodyPr/>
        <a:lstStyle/>
        <a:p>
          <a:pPr algn="ctr"/>
          <a:endParaRPr lang="tr-TR" sz="2400" b="0">
            <a:solidFill>
              <a:sysClr val="windowText" lastClr="000000"/>
            </a:solidFill>
          </a:endParaRPr>
        </a:p>
      </dgm:t>
    </dgm:pt>
    <dgm:pt modelId="{62DAE2DE-3B43-4784-9C0C-A0F28595E5C3}" type="sibTrans" cxnId="{2A5D5003-9793-4688-8533-74C8CD974EAF}">
      <dgm:prSet/>
      <dgm:spPr/>
      <dgm:t>
        <a:bodyPr/>
        <a:lstStyle/>
        <a:p>
          <a:pPr algn="ctr"/>
          <a:endParaRPr lang="tr-TR" sz="2400" b="0">
            <a:solidFill>
              <a:sysClr val="windowText" lastClr="000000"/>
            </a:solidFill>
          </a:endParaRPr>
        </a:p>
      </dgm:t>
    </dgm:pt>
    <dgm:pt modelId="{D3366BC1-931F-4350-854B-0F8E25DAF2CA}">
      <dgm:prSet phldrT="[Metin]" custT="1"/>
      <dgm:spPr>
        <a:solidFill>
          <a:schemeClr val="accent2">
            <a:lumMod val="20000"/>
            <a:lumOff val="80000"/>
          </a:schemeClr>
        </a:solidFill>
      </dgm:spPr>
      <dgm:t>
        <a:bodyPr/>
        <a:lstStyle/>
        <a:p>
          <a:pPr algn="ctr"/>
          <a:r>
            <a:rPr lang="tr-TR" sz="700" b="0">
              <a:solidFill>
                <a:sysClr val="windowText" lastClr="000000"/>
              </a:solidFill>
            </a:rPr>
            <a:t>Consumer Rights Group</a:t>
          </a:r>
        </a:p>
      </dgm:t>
    </dgm:pt>
    <dgm:pt modelId="{985D120A-8E02-4703-94E4-3A27D854F190}" type="parTrans" cxnId="{A2023B3E-66D5-4765-B384-33DE5218CB99}">
      <dgm:prSet/>
      <dgm:spPr/>
      <dgm:t>
        <a:bodyPr/>
        <a:lstStyle/>
        <a:p>
          <a:pPr algn="ctr"/>
          <a:endParaRPr lang="tr-TR" sz="2400" b="0">
            <a:solidFill>
              <a:sysClr val="windowText" lastClr="000000"/>
            </a:solidFill>
          </a:endParaRPr>
        </a:p>
      </dgm:t>
    </dgm:pt>
    <dgm:pt modelId="{BCE17909-7E60-47D7-8825-A687C471B559}" type="sibTrans" cxnId="{A2023B3E-66D5-4765-B384-33DE5218CB99}">
      <dgm:prSet/>
      <dgm:spPr/>
      <dgm:t>
        <a:bodyPr/>
        <a:lstStyle/>
        <a:p>
          <a:pPr algn="ctr"/>
          <a:endParaRPr lang="tr-TR" sz="2400" b="0">
            <a:solidFill>
              <a:sysClr val="windowText" lastClr="000000"/>
            </a:solidFill>
          </a:endParaRPr>
        </a:p>
      </dgm:t>
    </dgm:pt>
    <dgm:pt modelId="{BECE1405-0B35-41B9-8289-BC1CA6105C9D}">
      <dgm:prSet phldrT="[Metin]" custT="1"/>
      <dgm:spPr>
        <a:solidFill>
          <a:schemeClr val="accent2">
            <a:lumMod val="20000"/>
            <a:lumOff val="80000"/>
          </a:schemeClr>
        </a:solidFill>
      </dgm:spPr>
      <dgm:t>
        <a:bodyPr/>
        <a:lstStyle/>
        <a:p>
          <a:pPr algn="ctr"/>
          <a:r>
            <a:rPr lang="tr-TR" sz="700" b="0">
              <a:solidFill>
                <a:sysClr val="windowText" lastClr="000000"/>
              </a:solidFill>
            </a:rPr>
            <a:t>Strategy &amp; Policy Group</a:t>
          </a:r>
        </a:p>
      </dgm:t>
    </dgm:pt>
    <dgm:pt modelId="{8E3EAD9D-8F11-401D-B09A-61EC06E05C1B}" type="parTrans" cxnId="{40C50704-0B89-43CF-95BC-B8199139C92B}">
      <dgm:prSet/>
      <dgm:spPr/>
      <dgm:t>
        <a:bodyPr/>
        <a:lstStyle/>
        <a:p>
          <a:pPr algn="ctr"/>
          <a:endParaRPr lang="tr-TR" sz="2400" b="0">
            <a:solidFill>
              <a:sysClr val="windowText" lastClr="000000"/>
            </a:solidFill>
          </a:endParaRPr>
        </a:p>
      </dgm:t>
    </dgm:pt>
    <dgm:pt modelId="{367AC05D-E3A4-4FA8-96EE-E174524FBC39}" type="sibTrans" cxnId="{40C50704-0B89-43CF-95BC-B8199139C92B}">
      <dgm:prSet/>
      <dgm:spPr/>
      <dgm:t>
        <a:bodyPr/>
        <a:lstStyle/>
        <a:p>
          <a:pPr algn="ctr"/>
          <a:endParaRPr lang="tr-TR" sz="2400" b="0">
            <a:solidFill>
              <a:sysClr val="windowText" lastClr="000000"/>
            </a:solidFill>
          </a:endParaRPr>
        </a:p>
      </dgm:t>
    </dgm:pt>
    <dgm:pt modelId="{6D0759E6-9956-4AA9-8BB5-D985789D4D12}">
      <dgm:prSet phldrT="[Metin]" custT="1"/>
      <dgm:spPr>
        <a:solidFill>
          <a:schemeClr val="accent2">
            <a:lumMod val="20000"/>
            <a:lumOff val="80000"/>
          </a:schemeClr>
        </a:solidFill>
      </dgm:spPr>
      <dgm:t>
        <a:bodyPr/>
        <a:lstStyle/>
        <a:p>
          <a:pPr algn="ctr"/>
          <a:r>
            <a:rPr lang="tr-TR" sz="700" b="0">
              <a:solidFill>
                <a:sysClr val="windowText" lastClr="000000"/>
              </a:solidFill>
            </a:rPr>
            <a:t>Budget &amp; Fiscal Services Group</a:t>
          </a:r>
        </a:p>
      </dgm:t>
    </dgm:pt>
    <dgm:pt modelId="{50B3BE46-7E20-49B9-86BC-B7715C89BC7A}" type="parTrans" cxnId="{865E65B9-16B0-4A55-9D14-C743005A4839}">
      <dgm:prSet/>
      <dgm:spPr/>
      <dgm:t>
        <a:bodyPr/>
        <a:lstStyle/>
        <a:p>
          <a:pPr algn="ctr"/>
          <a:endParaRPr lang="tr-TR" sz="2400" b="0">
            <a:solidFill>
              <a:sysClr val="windowText" lastClr="000000"/>
            </a:solidFill>
          </a:endParaRPr>
        </a:p>
      </dgm:t>
    </dgm:pt>
    <dgm:pt modelId="{7AE5594B-40EA-4D8B-AD55-5018072C6437}" type="sibTrans" cxnId="{865E65B9-16B0-4A55-9D14-C743005A4839}">
      <dgm:prSet/>
      <dgm:spPr/>
      <dgm:t>
        <a:bodyPr/>
        <a:lstStyle/>
        <a:p>
          <a:pPr algn="ctr"/>
          <a:endParaRPr lang="tr-TR" sz="2400" b="0">
            <a:solidFill>
              <a:sysClr val="windowText" lastClr="000000"/>
            </a:solidFill>
          </a:endParaRPr>
        </a:p>
      </dgm:t>
    </dgm:pt>
    <dgm:pt modelId="{BC0F4616-A76F-4CE0-AA05-914486AC797B}">
      <dgm:prSet phldrT="[Metin]" custT="1"/>
      <dgm:spPr>
        <a:solidFill>
          <a:schemeClr val="accent2">
            <a:lumMod val="20000"/>
            <a:lumOff val="80000"/>
          </a:schemeClr>
        </a:solidFill>
      </dgm:spPr>
      <dgm:t>
        <a:bodyPr/>
        <a:lstStyle/>
        <a:p>
          <a:pPr algn="ctr"/>
          <a:r>
            <a:rPr lang="tr-TR" sz="700" b="0">
              <a:solidFill>
                <a:sysClr val="windowText" lastClr="000000"/>
              </a:solidFill>
            </a:rPr>
            <a:t>Accounting Group</a:t>
          </a:r>
        </a:p>
      </dgm:t>
    </dgm:pt>
    <dgm:pt modelId="{CEF34BF9-F30A-4138-A615-4375800ED320}" type="parTrans" cxnId="{15DC5DF0-D243-438A-8B45-A2AD482A7917}">
      <dgm:prSet/>
      <dgm:spPr/>
      <dgm:t>
        <a:bodyPr/>
        <a:lstStyle/>
        <a:p>
          <a:pPr algn="ctr"/>
          <a:endParaRPr lang="tr-TR" sz="2400" b="0">
            <a:solidFill>
              <a:sysClr val="windowText" lastClr="000000"/>
            </a:solidFill>
          </a:endParaRPr>
        </a:p>
      </dgm:t>
    </dgm:pt>
    <dgm:pt modelId="{DE98A915-7AC6-47F6-87FD-BA77AB48EBD6}" type="sibTrans" cxnId="{15DC5DF0-D243-438A-8B45-A2AD482A7917}">
      <dgm:prSet/>
      <dgm:spPr/>
      <dgm:t>
        <a:bodyPr/>
        <a:lstStyle/>
        <a:p>
          <a:pPr algn="ctr"/>
          <a:endParaRPr lang="tr-TR" sz="2400" b="0">
            <a:solidFill>
              <a:sysClr val="windowText" lastClr="000000"/>
            </a:solidFill>
          </a:endParaRPr>
        </a:p>
      </dgm:t>
    </dgm:pt>
    <dgm:pt modelId="{B107D9BC-9C76-4760-A670-AD8307DB4A8B}">
      <dgm:prSet phldrT="[Metin]" custT="1"/>
      <dgm:spPr>
        <a:solidFill>
          <a:schemeClr val="accent2">
            <a:lumMod val="20000"/>
            <a:lumOff val="80000"/>
          </a:schemeClr>
        </a:solidFill>
      </dgm:spPr>
      <dgm:t>
        <a:bodyPr/>
        <a:lstStyle/>
        <a:p>
          <a:pPr algn="ctr"/>
          <a:r>
            <a:rPr lang="tr-TR" sz="700" b="0">
              <a:solidFill>
                <a:sysClr val="windowText" lastClr="000000"/>
              </a:solidFill>
            </a:rPr>
            <a:t>Administrative Fines Group</a:t>
          </a:r>
        </a:p>
      </dgm:t>
    </dgm:pt>
    <dgm:pt modelId="{BBCF47EF-287E-4B13-8F0F-F3BE0B6928B5}" type="parTrans" cxnId="{CDB97E6F-7D93-4DA3-BE4D-9FB9B6D778BF}">
      <dgm:prSet/>
      <dgm:spPr/>
      <dgm:t>
        <a:bodyPr/>
        <a:lstStyle/>
        <a:p>
          <a:pPr algn="ctr"/>
          <a:endParaRPr lang="tr-TR" sz="2400" b="0">
            <a:solidFill>
              <a:sysClr val="windowText" lastClr="000000"/>
            </a:solidFill>
          </a:endParaRPr>
        </a:p>
      </dgm:t>
    </dgm:pt>
    <dgm:pt modelId="{7709D1D7-25C0-421C-A69C-B0D34DAD9738}" type="sibTrans" cxnId="{CDB97E6F-7D93-4DA3-BE4D-9FB9B6D778BF}">
      <dgm:prSet/>
      <dgm:spPr/>
      <dgm:t>
        <a:bodyPr/>
        <a:lstStyle/>
        <a:p>
          <a:pPr algn="ctr"/>
          <a:endParaRPr lang="tr-TR" sz="2400" b="0">
            <a:solidFill>
              <a:sysClr val="windowText" lastClr="000000"/>
            </a:solidFill>
          </a:endParaRPr>
        </a:p>
      </dgm:t>
    </dgm:pt>
    <dgm:pt modelId="{32CFE678-BE5F-43B5-9009-F499067AB237}">
      <dgm:prSet phldrT="[Metin]" custT="1"/>
      <dgm:spPr>
        <a:solidFill>
          <a:schemeClr val="accent2">
            <a:lumMod val="20000"/>
            <a:lumOff val="80000"/>
          </a:schemeClr>
        </a:solidFill>
      </dgm:spPr>
      <dgm:t>
        <a:bodyPr/>
        <a:lstStyle/>
        <a:p>
          <a:pPr algn="ctr"/>
          <a:r>
            <a:rPr lang="tr-TR" sz="700" b="0">
              <a:solidFill>
                <a:sysClr val="windowText" lastClr="000000"/>
              </a:solidFill>
            </a:rPr>
            <a:t>Software Development Services Group</a:t>
          </a:r>
        </a:p>
      </dgm:t>
    </dgm:pt>
    <dgm:pt modelId="{44E5886B-7784-4A4D-BC7C-14062AB7B94C}" type="parTrans" cxnId="{4158D5B0-1F93-4D36-919B-4B4EAC2AA305}">
      <dgm:prSet/>
      <dgm:spPr/>
      <dgm:t>
        <a:bodyPr/>
        <a:lstStyle/>
        <a:p>
          <a:pPr algn="ctr"/>
          <a:endParaRPr lang="tr-TR" sz="2400" b="0">
            <a:solidFill>
              <a:sysClr val="windowText" lastClr="000000"/>
            </a:solidFill>
          </a:endParaRPr>
        </a:p>
      </dgm:t>
    </dgm:pt>
    <dgm:pt modelId="{2866C8D4-235E-4F28-A8D5-04A3DE8E485E}" type="sibTrans" cxnId="{4158D5B0-1F93-4D36-919B-4B4EAC2AA305}">
      <dgm:prSet/>
      <dgm:spPr/>
      <dgm:t>
        <a:bodyPr/>
        <a:lstStyle/>
        <a:p>
          <a:pPr algn="ctr"/>
          <a:endParaRPr lang="tr-TR" sz="2400" b="0">
            <a:solidFill>
              <a:sysClr val="windowText" lastClr="000000"/>
            </a:solidFill>
          </a:endParaRPr>
        </a:p>
      </dgm:t>
    </dgm:pt>
    <dgm:pt modelId="{CF42453B-5DB4-4105-AF1E-3E374F3C19B2}">
      <dgm:prSet phldrT="[Metin]" custT="1"/>
      <dgm:spPr>
        <a:solidFill>
          <a:schemeClr val="accent2">
            <a:lumMod val="20000"/>
            <a:lumOff val="80000"/>
          </a:schemeClr>
        </a:solidFill>
      </dgm:spPr>
      <dgm:t>
        <a:bodyPr/>
        <a:lstStyle/>
        <a:p>
          <a:pPr algn="ctr"/>
          <a:r>
            <a:rPr lang="tr-TR" sz="700" b="0">
              <a:solidFill>
                <a:sysClr val="windowText" lastClr="000000"/>
              </a:solidFill>
            </a:rPr>
            <a:t>Data Management and Business Intelligence Group</a:t>
          </a:r>
        </a:p>
      </dgm:t>
    </dgm:pt>
    <dgm:pt modelId="{C664C9FB-4132-4E40-A457-D0B5372423DE}" type="parTrans" cxnId="{AA572367-D265-49A7-929E-D6211F4889F5}">
      <dgm:prSet/>
      <dgm:spPr/>
      <dgm:t>
        <a:bodyPr/>
        <a:lstStyle/>
        <a:p>
          <a:pPr algn="ctr"/>
          <a:endParaRPr lang="tr-TR" sz="2400" b="0">
            <a:solidFill>
              <a:sysClr val="windowText" lastClr="000000"/>
            </a:solidFill>
          </a:endParaRPr>
        </a:p>
      </dgm:t>
    </dgm:pt>
    <dgm:pt modelId="{2077B1B3-F0E2-4152-A8A6-A76B243B8F3D}" type="sibTrans" cxnId="{AA572367-D265-49A7-929E-D6211F4889F5}">
      <dgm:prSet/>
      <dgm:spPr/>
      <dgm:t>
        <a:bodyPr/>
        <a:lstStyle/>
        <a:p>
          <a:pPr algn="ctr"/>
          <a:endParaRPr lang="tr-TR" sz="2400" b="0">
            <a:solidFill>
              <a:sysClr val="windowText" lastClr="000000"/>
            </a:solidFill>
          </a:endParaRPr>
        </a:p>
      </dgm:t>
    </dgm:pt>
    <dgm:pt modelId="{C4545C85-7843-421E-8A7F-4EE41F1FB453}">
      <dgm:prSet phldrT="[Metin]" custT="1"/>
      <dgm:spPr>
        <a:solidFill>
          <a:schemeClr val="accent2">
            <a:lumMod val="20000"/>
            <a:lumOff val="80000"/>
          </a:schemeClr>
        </a:solidFill>
      </dgm:spPr>
      <dgm:t>
        <a:bodyPr/>
        <a:lstStyle/>
        <a:p>
          <a:pPr algn="ctr"/>
          <a:r>
            <a:rPr lang="tr-TR" sz="700" b="0">
              <a:solidFill>
                <a:sysClr val="windowText" lastClr="000000"/>
              </a:solidFill>
            </a:rPr>
            <a:t>Information Security and Management Group</a:t>
          </a:r>
        </a:p>
      </dgm:t>
    </dgm:pt>
    <dgm:pt modelId="{F4AC34F0-D735-40EA-89B3-95BDAF7741B5}" type="parTrans" cxnId="{9A3E698A-03D2-49A5-8CA7-F46C355B815B}">
      <dgm:prSet/>
      <dgm:spPr/>
      <dgm:t>
        <a:bodyPr/>
        <a:lstStyle/>
        <a:p>
          <a:pPr algn="ctr"/>
          <a:endParaRPr lang="tr-TR" sz="2400" b="0">
            <a:solidFill>
              <a:sysClr val="windowText" lastClr="000000"/>
            </a:solidFill>
          </a:endParaRPr>
        </a:p>
      </dgm:t>
    </dgm:pt>
    <dgm:pt modelId="{DBA12774-FBD4-4B86-BC84-E7F70BBC1B2B}" type="sibTrans" cxnId="{9A3E698A-03D2-49A5-8CA7-F46C355B815B}">
      <dgm:prSet/>
      <dgm:spPr/>
      <dgm:t>
        <a:bodyPr/>
        <a:lstStyle/>
        <a:p>
          <a:pPr algn="ctr"/>
          <a:endParaRPr lang="tr-TR" sz="2400" b="0">
            <a:solidFill>
              <a:sysClr val="windowText" lastClr="000000"/>
            </a:solidFill>
          </a:endParaRPr>
        </a:p>
      </dgm:t>
    </dgm:pt>
    <dgm:pt modelId="{697C9D58-D68D-4C33-9F13-6015B00EEF9A}">
      <dgm:prSet phldrT="[Metin]" custT="1"/>
      <dgm:spPr>
        <a:solidFill>
          <a:schemeClr val="accent2">
            <a:lumMod val="20000"/>
            <a:lumOff val="80000"/>
          </a:schemeClr>
        </a:solidFill>
      </dgm:spPr>
      <dgm:t>
        <a:bodyPr/>
        <a:lstStyle/>
        <a:p>
          <a:pPr algn="ctr"/>
          <a:r>
            <a:rPr lang="tr-TR" sz="700" b="0">
              <a:solidFill>
                <a:sysClr val="windowText" lastClr="000000"/>
              </a:solidFill>
            </a:rPr>
            <a:t>IT Infrastructure Systems and Support Services Group</a:t>
          </a:r>
        </a:p>
      </dgm:t>
    </dgm:pt>
    <dgm:pt modelId="{E8A26CFC-F4FD-439C-B1A4-B323BB97B201}" type="parTrans" cxnId="{69030A38-7B34-42FE-AD86-D7A6754BEA02}">
      <dgm:prSet/>
      <dgm:spPr/>
      <dgm:t>
        <a:bodyPr/>
        <a:lstStyle/>
        <a:p>
          <a:pPr algn="ctr"/>
          <a:endParaRPr lang="tr-TR" sz="2400" b="0">
            <a:solidFill>
              <a:sysClr val="windowText" lastClr="000000"/>
            </a:solidFill>
          </a:endParaRPr>
        </a:p>
      </dgm:t>
    </dgm:pt>
    <dgm:pt modelId="{6F46F183-7226-43FA-A8C9-A3AC97BA414A}" type="sibTrans" cxnId="{69030A38-7B34-42FE-AD86-D7A6754BEA02}">
      <dgm:prSet/>
      <dgm:spPr/>
      <dgm:t>
        <a:bodyPr/>
        <a:lstStyle/>
        <a:p>
          <a:pPr algn="ctr"/>
          <a:endParaRPr lang="tr-TR" sz="2400" b="0">
            <a:solidFill>
              <a:sysClr val="windowText" lastClr="000000"/>
            </a:solidFill>
          </a:endParaRPr>
        </a:p>
      </dgm:t>
    </dgm:pt>
    <dgm:pt modelId="{94A7FF32-3129-4C7F-8F40-839B6A4688CB}">
      <dgm:prSet phldrT="[Metin]" custT="1"/>
      <dgm:spPr>
        <a:solidFill>
          <a:schemeClr val="accent2">
            <a:lumMod val="20000"/>
            <a:lumOff val="80000"/>
          </a:schemeClr>
        </a:solidFill>
      </dgm:spPr>
      <dgm:t>
        <a:bodyPr/>
        <a:lstStyle/>
        <a:p>
          <a:pPr algn="ctr"/>
          <a:r>
            <a:rPr lang="tr-TR" sz="700" b="0">
              <a:solidFill>
                <a:sysClr val="windowText" lastClr="000000"/>
              </a:solidFill>
            </a:rPr>
            <a:t>1st Group</a:t>
          </a:r>
        </a:p>
      </dgm:t>
    </dgm:pt>
    <dgm:pt modelId="{75834D1C-3C9F-4088-A4C8-9B3C9DEB1291}" type="parTrans" cxnId="{F8D383B3-B3F3-4A34-9A3E-C980EB4F2F46}">
      <dgm:prSet/>
      <dgm:spPr/>
      <dgm:t>
        <a:bodyPr/>
        <a:lstStyle/>
        <a:p>
          <a:pPr algn="ctr"/>
          <a:endParaRPr lang="tr-TR" sz="2400" b="0">
            <a:solidFill>
              <a:sysClr val="windowText" lastClr="000000"/>
            </a:solidFill>
          </a:endParaRPr>
        </a:p>
      </dgm:t>
    </dgm:pt>
    <dgm:pt modelId="{1D6FFF38-D437-4DAB-B883-1F071D893715}" type="sibTrans" cxnId="{F8D383B3-B3F3-4A34-9A3E-C980EB4F2F46}">
      <dgm:prSet/>
      <dgm:spPr/>
      <dgm:t>
        <a:bodyPr/>
        <a:lstStyle/>
        <a:p>
          <a:pPr algn="ctr"/>
          <a:endParaRPr lang="tr-TR" sz="2400" b="0">
            <a:solidFill>
              <a:sysClr val="windowText" lastClr="000000"/>
            </a:solidFill>
          </a:endParaRPr>
        </a:p>
      </dgm:t>
    </dgm:pt>
    <dgm:pt modelId="{843CC71B-BE4A-4148-814F-DE65779C755C}">
      <dgm:prSet phldrT="[Metin]" custT="1"/>
      <dgm:spPr>
        <a:solidFill>
          <a:schemeClr val="accent2">
            <a:lumMod val="20000"/>
            <a:lumOff val="80000"/>
          </a:schemeClr>
        </a:solidFill>
      </dgm:spPr>
      <dgm:t>
        <a:bodyPr/>
        <a:lstStyle/>
        <a:p>
          <a:pPr algn="ctr"/>
          <a:r>
            <a:rPr lang="tr-TR" sz="700" b="0">
              <a:solidFill>
                <a:sysClr val="windowText" lastClr="000000"/>
              </a:solidFill>
            </a:rPr>
            <a:t>2nd Group</a:t>
          </a:r>
        </a:p>
      </dgm:t>
    </dgm:pt>
    <dgm:pt modelId="{B9503C49-581A-41E5-9CDE-2CBF0D336334}" type="parTrans" cxnId="{61BDDA9C-18BB-4986-8B55-6A88F6D84C8C}">
      <dgm:prSet/>
      <dgm:spPr/>
      <dgm:t>
        <a:bodyPr/>
        <a:lstStyle/>
        <a:p>
          <a:pPr algn="ctr"/>
          <a:endParaRPr lang="tr-TR" sz="2400" b="0">
            <a:solidFill>
              <a:sysClr val="windowText" lastClr="000000"/>
            </a:solidFill>
          </a:endParaRPr>
        </a:p>
      </dgm:t>
    </dgm:pt>
    <dgm:pt modelId="{C3F5EB12-7F73-4931-9FED-DEABBDFD6933}" type="sibTrans" cxnId="{61BDDA9C-18BB-4986-8B55-6A88F6D84C8C}">
      <dgm:prSet/>
      <dgm:spPr/>
      <dgm:t>
        <a:bodyPr/>
        <a:lstStyle/>
        <a:p>
          <a:pPr algn="ctr"/>
          <a:endParaRPr lang="tr-TR" sz="2400" b="0">
            <a:solidFill>
              <a:sysClr val="windowText" lastClr="000000"/>
            </a:solidFill>
          </a:endParaRPr>
        </a:p>
      </dgm:t>
    </dgm:pt>
    <dgm:pt modelId="{A997670A-5350-409D-8533-3CA5F38EC263}">
      <dgm:prSet phldrT="[Metin]" custT="1"/>
      <dgm:spPr>
        <a:solidFill>
          <a:schemeClr val="accent2">
            <a:lumMod val="20000"/>
            <a:lumOff val="80000"/>
          </a:schemeClr>
        </a:solidFill>
      </dgm:spPr>
      <dgm:t>
        <a:bodyPr/>
        <a:lstStyle/>
        <a:p>
          <a:pPr algn="ctr"/>
          <a:r>
            <a:rPr lang="tr-TR" sz="700" b="0">
              <a:solidFill>
                <a:sysClr val="windowText" lastClr="000000"/>
              </a:solidFill>
            </a:rPr>
            <a:t>3rd Group</a:t>
          </a:r>
        </a:p>
      </dgm:t>
    </dgm:pt>
    <dgm:pt modelId="{D7925904-502A-4706-B505-E2CB35487CEE}" type="parTrans" cxnId="{5E86F4E9-B2ED-45E7-B458-462FB26A582C}">
      <dgm:prSet/>
      <dgm:spPr/>
      <dgm:t>
        <a:bodyPr/>
        <a:lstStyle/>
        <a:p>
          <a:pPr algn="ctr"/>
          <a:endParaRPr lang="tr-TR" sz="2400" b="0">
            <a:solidFill>
              <a:sysClr val="windowText" lastClr="000000"/>
            </a:solidFill>
          </a:endParaRPr>
        </a:p>
      </dgm:t>
    </dgm:pt>
    <dgm:pt modelId="{DC7B0D0A-4E7E-4241-922A-1A2BF97A571A}" type="sibTrans" cxnId="{5E86F4E9-B2ED-45E7-B458-462FB26A582C}">
      <dgm:prSet/>
      <dgm:spPr/>
      <dgm:t>
        <a:bodyPr/>
        <a:lstStyle/>
        <a:p>
          <a:pPr algn="ctr"/>
          <a:endParaRPr lang="tr-TR" sz="2400" b="0">
            <a:solidFill>
              <a:sysClr val="windowText" lastClr="000000"/>
            </a:solidFill>
          </a:endParaRPr>
        </a:p>
      </dgm:t>
    </dgm:pt>
    <dgm:pt modelId="{B839EB4A-CA43-4A89-A1E1-FD91031A0E3D}">
      <dgm:prSet phldrT="[Metin]" custT="1"/>
      <dgm:spPr>
        <a:solidFill>
          <a:schemeClr val="accent2">
            <a:lumMod val="20000"/>
            <a:lumOff val="80000"/>
          </a:schemeClr>
        </a:solidFill>
      </dgm:spPr>
      <dgm:t>
        <a:bodyPr/>
        <a:lstStyle/>
        <a:p>
          <a:pPr algn="ctr"/>
          <a:r>
            <a:rPr lang="tr-TR" sz="700" b="0">
              <a:solidFill>
                <a:sysClr val="windowText" lastClr="000000"/>
              </a:solidFill>
            </a:rPr>
            <a:t>4rd Group</a:t>
          </a:r>
        </a:p>
      </dgm:t>
    </dgm:pt>
    <dgm:pt modelId="{853E637C-1194-4BAD-A6A1-3690D1B97DE2}" type="parTrans" cxnId="{768464CD-6BAB-4DBA-98EC-6E3D72CE98BC}">
      <dgm:prSet/>
      <dgm:spPr/>
      <dgm:t>
        <a:bodyPr/>
        <a:lstStyle/>
        <a:p>
          <a:pPr algn="ctr"/>
          <a:endParaRPr lang="tr-TR" sz="2400" b="0">
            <a:solidFill>
              <a:sysClr val="windowText" lastClr="000000"/>
            </a:solidFill>
          </a:endParaRPr>
        </a:p>
      </dgm:t>
    </dgm:pt>
    <dgm:pt modelId="{C3153417-86DE-4943-857A-4AC77D4438EF}" type="sibTrans" cxnId="{768464CD-6BAB-4DBA-98EC-6E3D72CE98BC}">
      <dgm:prSet/>
      <dgm:spPr/>
      <dgm:t>
        <a:bodyPr/>
        <a:lstStyle/>
        <a:p>
          <a:pPr algn="ctr"/>
          <a:endParaRPr lang="tr-TR" sz="2400" b="0">
            <a:solidFill>
              <a:sysClr val="windowText" lastClr="000000"/>
            </a:solidFill>
          </a:endParaRPr>
        </a:p>
      </dgm:t>
    </dgm:pt>
    <dgm:pt modelId="{C3357074-9C8C-40BA-A836-5CA61323EB1A}">
      <dgm:prSet phldrT="[Metin]" custT="1"/>
      <dgm:spPr>
        <a:solidFill>
          <a:schemeClr val="accent2">
            <a:lumMod val="40000"/>
            <a:lumOff val="60000"/>
          </a:schemeClr>
        </a:solidFill>
      </dgm:spPr>
      <dgm:t>
        <a:bodyPr/>
        <a:lstStyle/>
        <a:p>
          <a:pPr algn="ctr"/>
          <a:r>
            <a:rPr lang="tr-TR" sz="700" b="0">
              <a:solidFill>
                <a:sysClr val="windowText" lastClr="000000"/>
              </a:solidFill>
            </a:rPr>
            <a:t>Natural Gas Market Dept.</a:t>
          </a:r>
        </a:p>
      </dgm:t>
    </dgm:pt>
    <dgm:pt modelId="{56328005-7EE0-431F-BDB6-C9BBD4535452}" type="parTrans" cxnId="{C5AACCE9-10B0-4FE7-AF3A-3ADB1D2B8009}">
      <dgm:prSet/>
      <dgm:spPr/>
      <dgm:t>
        <a:bodyPr/>
        <a:lstStyle/>
        <a:p>
          <a:pPr algn="ctr"/>
          <a:endParaRPr lang="tr-TR" sz="2400" b="0">
            <a:solidFill>
              <a:sysClr val="windowText" lastClr="000000"/>
            </a:solidFill>
          </a:endParaRPr>
        </a:p>
      </dgm:t>
    </dgm:pt>
    <dgm:pt modelId="{2944513D-C8E6-4007-AB6E-ABC5E4F6536A}" type="sibTrans" cxnId="{C5AACCE9-10B0-4FE7-AF3A-3ADB1D2B8009}">
      <dgm:prSet/>
      <dgm:spPr/>
      <dgm:t>
        <a:bodyPr/>
        <a:lstStyle/>
        <a:p>
          <a:pPr algn="ctr"/>
          <a:endParaRPr lang="tr-TR" sz="2400" b="0">
            <a:solidFill>
              <a:sysClr val="windowText" lastClr="000000"/>
            </a:solidFill>
          </a:endParaRPr>
        </a:p>
      </dgm:t>
    </dgm:pt>
    <dgm:pt modelId="{4E72ACA5-18AA-4764-B7FA-41E766E34B23}">
      <dgm:prSet phldrT="[Metin]" custT="1"/>
      <dgm:spPr>
        <a:solidFill>
          <a:schemeClr val="accent2">
            <a:lumMod val="20000"/>
            <a:lumOff val="80000"/>
          </a:schemeClr>
        </a:solidFill>
      </dgm:spPr>
      <dgm:t>
        <a:bodyPr/>
        <a:lstStyle/>
        <a:p>
          <a:pPr algn="ctr"/>
          <a:r>
            <a:rPr lang="tr-TR" sz="700" b="0">
              <a:solidFill>
                <a:sysClr val="windowText" lastClr="000000"/>
              </a:solidFill>
            </a:rPr>
            <a:t>Network Operation Group</a:t>
          </a:r>
        </a:p>
      </dgm:t>
    </dgm:pt>
    <dgm:pt modelId="{FAB385CE-74C9-4D4F-A1A5-15C2AC9D18E0}" type="parTrans" cxnId="{5BF1E03A-EBB4-4848-B287-C2422DAC23E4}">
      <dgm:prSet/>
      <dgm:spPr/>
      <dgm:t>
        <a:bodyPr/>
        <a:lstStyle/>
        <a:p>
          <a:pPr algn="ctr"/>
          <a:endParaRPr lang="tr-TR" sz="2400" b="0">
            <a:solidFill>
              <a:sysClr val="windowText" lastClr="000000"/>
            </a:solidFill>
          </a:endParaRPr>
        </a:p>
      </dgm:t>
    </dgm:pt>
    <dgm:pt modelId="{73C4B363-BCF3-4E11-B2BB-24517019322E}" type="sibTrans" cxnId="{5BF1E03A-EBB4-4848-B287-C2422DAC23E4}">
      <dgm:prSet/>
      <dgm:spPr/>
      <dgm:t>
        <a:bodyPr/>
        <a:lstStyle/>
        <a:p>
          <a:pPr algn="ctr"/>
          <a:endParaRPr lang="tr-TR" sz="2400" b="0">
            <a:solidFill>
              <a:sysClr val="windowText" lastClr="000000"/>
            </a:solidFill>
          </a:endParaRPr>
        </a:p>
      </dgm:t>
    </dgm:pt>
    <dgm:pt modelId="{DD936D03-697C-4B91-9797-9EF02B29DE1C}">
      <dgm:prSet phldrT="[Metin]" custT="1"/>
      <dgm:spPr>
        <a:solidFill>
          <a:schemeClr val="accent2">
            <a:lumMod val="20000"/>
            <a:lumOff val="80000"/>
          </a:schemeClr>
        </a:solidFill>
      </dgm:spPr>
      <dgm:t>
        <a:bodyPr/>
        <a:lstStyle/>
        <a:p>
          <a:pPr algn="ctr"/>
          <a:r>
            <a:rPr lang="tr-TR" sz="700" b="0">
              <a:solidFill>
                <a:sysClr val="windowText" lastClr="000000"/>
              </a:solidFill>
            </a:rPr>
            <a:t>Consumers Group</a:t>
          </a:r>
        </a:p>
      </dgm:t>
    </dgm:pt>
    <dgm:pt modelId="{06B86893-C170-4D83-8279-EAA21D0E124E}" type="parTrans" cxnId="{88947E25-D253-401E-97EA-86BF9ADC6168}">
      <dgm:prSet/>
      <dgm:spPr/>
      <dgm:t>
        <a:bodyPr/>
        <a:lstStyle/>
        <a:p>
          <a:pPr algn="ctr"/>
          <a:endParaRPr lang="tr-TR" sz="2400" b="0">
            <a:solidFill>
              <a:sysClr val="windowText" lastClr="000000"/>
            </a:solidFill>
          </a:endParaRPr>
        </a:p>
      </dgm:t>
    </dgm:pt>
    <dgm:pt modelId="{D795EDC1-D7DD-445A-81F6-1BD031F7E31C}" type="sibTrans" cxnId="{88947E25-D253-401E-97EA-86BF9ADC6168}">
      <dgm:prSet/>
      <dgm:spPr/>
      <dgm:t>
        <a:bodyPr/>
        <a:lstStyle/>
        <a:p>
          <a:pPr algn="ctr"/>
          <a:endParaRPr lang="tr-TR" sz="2400" b="0">
            <a:solidFill>
              <a:sysClr val="windowText" lastClr="000000"/>
            </a:solidFill>
          </a:endParaRPr>
        </a:p>
      </dgm:t>
    </dgm:pt>
    <dgm:pt modelId="{6782BA31-732A-4DA1-A008-FDB28C3F0D2A}">
      <dgm:prSet phldrT="[Metin]" custT="1"/>
      <dgm:spPr>
        <a:solidFill>
          <a:schemeClr val="accent2">
            <a:lumMod val="20000"/>
            <a:lumOff val="80000"/>
          </a:schemeClr>
        </a:solidFill>
      </dgm:spPr>
      <dgm:t>
        <a:bodyPr/>
        <a:lstStyle/>
        <a:p>
          <a:pPr algn="ctr"/>
          <a:r>
            <a:rPr lang="tr-TR" sz="700" b="0">
              <a:solidFill>
                <a:sysClr val="windowText" lastClr="000000"/>
              </a:solidFill>
            </a:rPr>
            <a:t>Distribution Group</a:t>
          </a:r>
        </a:p>
      </dgm:t>
    </dgm:pt>
    <dgm:pt modelId="{D1F13672-FC22-44CC-B962-0EECE9438117}" type="parTrans" cxnId="{2A1195B4-E957-45B9-A057-A730490F376F}">
      <dgm:prSet/>
      <dgm:spPr/>
      <dgm:t>
        <a:bodyPr/>
        <a:lstStyle/>
        <a:p>
          <a:pPr algn="ctr"/>
          <a:endParaRPr lang="tr-TR" sz="2400" b="0">
            <a:solidFill>
              <a:sysClr val="windowText" lastClr="000000"/>
            </a:solidFill>
          </a:endParaRPr>
        </a:p>
      </dgm:t>
    </dgm:pt>
    <dgm:pt modelId="{3C1680EA-E4D6-40E5-853E-6FE14C99AA6F}" type="sibTrans" cxnId="{2A1195B4-E957-45B9-A057-A730490F376F}">
      <dgm:prSet/>
      <dgm:spPr/>
      <dgm:t>
        <a:bodyPr/>
        <a:lstStyle/>
        <a:p>
          <a:pPr algn="ctr"/>
          <a:endParaRPr lang="tr-TR" sz="2400" b="0">
            <a:solidFill>
              <a:sysClr val="windowText" lastClr="000000"/>
            </a:solidFill>
          </a:endParaRPr>
        </a:p>
      </dgm:t>
    </dgm:pt>
    <dgm:pt modelId="{BF259CE3-6941-408D-87E7-78F4D66A856B}">
      <dgm:prSet phldrT="[Metin]" custT="1"/>
      <dgm:spPr>
        <a:solidFill>
          <a:schemeClr val="accent2">
            <a:lumMod val="20000"/>
            <a:lumOff val="80000"/>
          </a:schemeClr>
        </a:solidFill>
      </dgm:spPr>
      <dgm:t>
        <a:bodyPr/>
        <a:lstStyle/>
        <a:p>
          <a:pPr algn="ctr"/>
          <a:r>
            <a:rPr lang="tr-TR" sz="700" b="0">
              <a:solidFill>
                <a:sysClr val="windowText" lastClr="000000"/>
              </a:solidFill>
            </a:rPr>
            <a:t>License Group</a:t>
          </a:r>
        </a:p>
      </dgm:t>
    </dgm:pt>
    <dgm:pt modelId="{330C76B0-866D-4337-992D-9D5BBE999A9C}" type="parTrans" cxnId="{31633119-0AC8-412E-8415-0851053A4658}">
      <dgm:prSet/>
      <dgm:spPr/>
      <dgm:t>
        <a:bodyPr/>
        <a:lstStyle/>
        <a:p>
          <a:pPr algn="ctr"/>
          <a:endParaRPr lang="tr-TR" sz="2400" b="0">
            <a:solidFill>
              <a:sysClr val="windowText" lastClr="000000"/>
            </a:solidFill>
          </a:endParaRPr>
        </a:p>
      </dgm:t>
    </dgm:pt>
    <dgm:pt modelId="{3E941D10-6E2B-4B56-82EE-F25A07DBC265}" type="sibTrans" cxnId="{31633119-0AC8-412E-8415-0851053A4658}">
      <dgm:prSet/>
      <dgm:spPr/>
      <dgm:t>
        <a:bodyPr/>
        <a:lstStyle/>
        <a:p>
          <a:pPr algn="ctr"/>
          <a:endParaRPr lang="tr-TR" sz="2400" b="0">
            <a:solidFill>
              <a:sysClr val="windowText" lastClr="000000"/>
            </a:solidFill>
          </a:endParaRPr>
        </a:p>
      </dgm:t>
    </dgm:pt>
    <dgm:pt modelId="{865FD127-6124-4550-8491-6B3005B96C45}">
      <dgm:prSet phldrT="[Metin]" custT="1"/>
      <dgm:spPr>
        <a:solidFill>
          <a:schemeClr val="accent2">
            <a:lumMod val="20000"/>
            <a:lumOff val="80000"/>
          </a:schemeClr>
        </a:solidFill>
      </dgm:spPr>
      <dgm:t>
        <a:bodyPr/>
        <a:lstStyle/>
        <a:p>
          <a:pPr algn="ctr"/>
          <a:r>
            <a:rPr lang="tr-TR" sz="700" b="0">
              <a:solidFill>
                <a:sysClr val="windowText" lastClr="000000"/>
              </a:solidFill>
            </a:rPr>
            <a:t>Electricity Tariffs Group</a:t>
          </a:r>
        </a:p>
      </dgm:t>
    </dgm:pt>
    <dgm:pt modelId="{1EAD86CA-8034-4511-84A9-FAE7ECFA05BC}" type="parTrans" cxnId="{2C2E33B3-83F8-4C33-84F3-23A66061CCA1}">
      <dgm:prSet/>
      <dgm:spPr/>
      <dgm:t>
        <a:bodyPr/>
        <a:lstStyle/>
        <a:p>
          <a:pPr algn="ctr"/>
          <a:endParaRPr lang="tr-TR" sz="2400" b="0">
            <a:solidFill>
              <a:sysClr val="windowText" lastClr="000000"/>
            </a:solidFill>
          </a:endParaRPr>
        </a:p>
      </dgm:t>
    </dgm:pt>
    <dgm:pt modelId="{20C34976-A7A2-4EB2-8067-C0CFD7002D27}" type="sibTrans" cxnId="{2C2E33B3-83F8-4C33-84F3-23A66061CCA1}">
      <dgm:prSet/>
      <dgm:spPr/>
      <dgm:t>
        <a:bodyPr/>
        <a:lstStyle/>
        <a:p>
          <a:pPr algn="ctr"/>
          <a:endParaRPr lang="tr-TR" sz="2400" b="0">
            <a:solidFill>
              <a:sysClr val="windowText" lastClr="000000"/>
            </a:solidFill>
          </a:endParaRPr>
        </a:p>
      </dgm:t>
    </dgm:pt>
    <dgm:pt modelId="{3527C0C3-1727-4877-92E1-269D9506FDBA}">
      <dgm:prSet phldrT="[Metin]" custT="1"/>
      <dgm:spPr>
        <a:solidFill>
          <a:schemeClr val="accent2">
            <a:lumMod val="20000"/>
            <a:lumOff val="80000"/>
          </a:schemeClr>
        </a:solidFill>
      </dgm:spPr>
      <dgm:t>
        <a:bodyPr/>
        <a:lstStyle/>
        <a:p>
          <a:pPr algn="ctr"/>
          <a:r>
            <a:rPr lang="tr-TR" sz="700" b="0">
              <a:solidFill>
                <a:sysClr val="windowText" lastClr="000000"/>
              </a:solidFill>
            </a:rPr>
            <a:t>Electricity Investments Group</a:t>
          </a:r>
        </a:p>
      </dgm:t>
    </dgm:pt>
    <dgm:pt modelId="{2635F4F7-DADC-4954-94F1-BCDA22A84EA2}" type="parTrans" cxnId="{17392ACE-8327-4945-9B0E-4858A356B47A}">
      <dgm:prSet/>
      <dgm:spPr/>
      <dgm:t>
        <a:bodyPr/>
        <a:lstStyle/>
        <a:p>
          <a:pPr algn="ctr"/>
          <a:endParaRPr lang="tr-TR" sz="2400" b="0">
            <a:solidFill>
              <a:sysClr val="windowText" lastClr="000000"/>
            </a:solidFill>
          </a:endParaRPr>
        </a:p>
      </dgm:t>
    </dgm:pt>
    <dgm:pt modelId="{51ABA808-0A9C-4815-B506-2AF966CA01B2}" type="sibTrans" cxnId="{17392ACE-8327-4945-9B0E-4858A356B47A}">
      <dgm:prSet/>
      <dgm:spPr/>
      <dgm:t>
        <a:bodyPr/>
        <a:lstStyle/>
        <a:p>
          <a:pPr algn="ctr"/>
          <a:endParaRPr lang="tr-TR" sz="2400" b="0">
            <a:solidFill>
              <a:sysClr val="windowText" lastClr="000000"/>
            </a:solidFill>
          </a:endParaRPr>
        </a:p>
      </dgm:t>
    </dgm:pt>
    <dgm:pt modelId="{24C6315B-E5F4-4752-8027-35AE4FE423EA}">
      <dgm:prSet phldrT="[Metin]" custT="1"/>
      <dgm:spPr>
        <a:solidFill>
          <a:schemeClr val="accent2">
            <a:lumMod val="20000"/>
            <a:lumOff val="80000"/>
          </a:schemeClr>
        </a:solidFill>
      </dgm:spPr>
      <dgm:t>
        <a:bodyPr/>
        <a:lstStyle/>
        <a:p>
          <a:pPr algn="ctr"/>
          <a:r>
            <a:rPr lang="tr-TR" sz="700" b="0">
              <a:solidFill>
                <a:sysClr val="windowText" lastClr="000000"/>
              </a:solidFill>
            </a:rPr>
            <a:t>Hydrocarbons Tariffs Group</a:t>
          </a:r>
        </a:p>
      </dgm:t>
    </dgm:pt>
    <dgm:pt modelId="{D0CD4AA3-9FCF-416F-BD1A-BE1C5F6A3D2E}" type="parTrans" cxnId="{973FEAB9-362A-4AC8-B9BE-1C9152FDA936}">
      <dgm:prSet/>
      <dgm:spPr/>
      <dgm:t>
        <a:bodyPr/>
        <a:lstStyle/>
        <a:p>
          <a:pPr algn="ctr"/>
          <a:endParaRPr lang="tr-TR" sz="2400" b="0">
            <a:solidFill>
              <a:sysClr val="windowText" lastClr="000000"/>
            </a:solidFill>
          </a:endParaRPr>
        </a:p>
      </dgm:t>
    </dgm:pt>
    <dgm:pt modelId="{2F888FFC-D006-4E47-A3AE-EFF255FA8771}" type="sibTrans" cxnId="{973FEAB9-362A-4AC8-B9BE-1C9152FDA936}">
      <dgm:prSet/>
      <dgm:spPr/>
      <dgm:t>
        <a:bodyPr/>
        <a:lstStyle/>
        <a:p>
          <a:pPr algn="ctr"/>
          <a:endParaRPr lang="tr-TR" sz="2400" b="0">
            <a:solidFill>
              <a:sysClr val="windowText" lastClr="000000"/>
            </a:solidFill>
          </a:endParaRPr>
        </a:p>
      </dgm:t>
    </dgm:pt>
    <dgm:pt modelId="{664CF63C-E4CE-4C3F-9ABB-D36B13A4AFEB}">
      <dgm:prSet phldrT="[Metin]" custT="1"/>
      <dgm:spPr>
        <a:solidFill>
          <a:schemeClr val="accent2">
            <a:lumMod val="20000"/>
            <a:lumOff val="80000"/>
          </a:schemeClr>
        </a:solidFill>
      </dgm:spPr>
      <dgm:t>
        <a:bodyPr/>
        <a:lstStyle/>
        <a:p>
          <a:pPr algn="ctr"/>
          <a:r>
            <a:rPr lang="tr-TR" sz="700" b="0">
              <a:solidFill>
                <a:sysClr val="windowText" lastClr="000000"/>
              </a:solidFill>
            </a:rPr>
            <a:t>Risk Monitoring Group</a:t>
          </a:r>
        </a:p>
      </dgm:t>
    </dgm:pt>
    <dgm:pt modelId="{A2F070F8-452E-4470-8EA2-B23532FF8D96}" type="parTrans" cxnId="{EF1CBDB1-728E-4706-99CB-0E3500BC5755}">
      <dgm:prSet/>
      <dgm:spPr/>
      <dgm:t>
        <a:bodyPr/>
        <a:lstStyle/>
        <a:p>
          <a:pPr algn="ctr"/>
          <a:endParaRPr lang="tr-TR" sz="2400" b="0">
            <a:solidFill>
              <a:sysClr val="windowText" lastClr="000000"/>
            </a:solidFill>
          </a:endParaRPr>
        </a:p>
      </dgm:t>
    </dgm:pt>
    <dgm:pt modelId="{5F92CB57-4678-4D92-AB88-9AE09A601E8B}" type="sibTrans" cxnId="{EF1CBDB1-728E-4706-99CB-0E3500BC5755}">
      <dgm:prSet/>
      <dgm:spPr/>
      <dgm:t>
        <a:bodyPr/>
        <a:lstStyle/>
        <a:p>
          <a:pPr algn="ctr"/>
          <a:endParaRPr lang="tr-TR" sz="2400" b="0">
            <a:solidFill>
              <a:sysClr val="windowText" lastClr="000000"/>
            </a:solidFill>
          </a:endParaRPr>
        </a:p>
      </dgm:t>
    </dgm:pt>
    <dgm:pt modelId="{B5E76273-5770-45CA-8169-8CDDCB05C222}" type="pres">
      <dgm:prSet presAssocID="{29380AB8-E98F-400E-906E-80A6272D0598}" presName="hierChild1" presStyleCnt="0">
        <dgm:presLayoutVars>
          <dgm:orgChart val="1"/>
          <dgm:chPref val="1"/>
          <dgm:dir/>
          <dgm:animOne val="branch"/>
          <dgm:animLvl val="lvl"/>
          <dgm:resizeHandles/>
        </dgm:presLayoutVars>
      </dgm:prSet>
      <dgm:spPr/>
      <dgm:t>
        <a:bodyPr/>
        <a:lstStyle/>
        <a:p>
          <a:endParaRPr lang="tr-TR"/>
        </a:p>
      </dgm:t>
    </dgm:pt>
    <dgm:pt modelId="{962D660D-D381-49DC-8379-3CD40D6A2CC9}" type="pres">
      <dgm:prSet presAssocID="{10394310-CFAD-479A-A8E2-2E6737E8F278}" presName="hierRoot1" presStyleCnt="0">
        <dgm:presLayoutVars>
          <dgm:hierBranch val="init"/>
        </dgm:presLayoutVars>
      </dgm:prSet>
      <dgm:spPr/>
    </dgm:pt>
    <dgm:pt modelId="{109E6C33-CB93-4E1B-8E99-B383C7E351B1}" type="pres">
      <dgm:prSet presAssocID="{10394310-CFAD-479A-A8E2-2E6737E8F278}" presName="rootComposite1" presStyleCnt="0"/>
      <dgm:spPr/>
    </dgm:pt>
    <dgm:pt modelId="{542196DF-03CB-4E02-93DC-9F79A3BA2708}" type="pres">
      <dgm:prSet presAssocID="{10394310-CFAD-479A-A8E2-2E6737E8F278}" presName="rootText1" presStyleLbl="node0" presStyleIdx="0" presStyleCnt="1" custScaleX="349190">
        <dgm:presLayoutVars>
          <dgm:chPref val="3"/>
        </dgm:presLayoutVars>
      </dgm:prSet>
      <dgm:spPr/>
      <dgm:t>
        <a:bodyPr/>
        <a:lstStyle/>
        <a:p>
          <a:endParaRPr lang="tr-TR"/>
        </a:p>
      </dgm:t>
    </dgm:pt>
    <dgm:pt modelId="{53CDB580-C8CC-4882-B176-A4E35EB81F16}" type="pres">
      <dgm:prSet presAssocID="{10394310-CFAD-479A-A8E2-2E6737E8F278}" presName="rootConnector1" presStyleLbl="node1" presStyleIdx="0" presStyleCnt="0"/>
      <dgm:spPr/>
      <dgm:t>
        <a:bodyPr/>
        <a:lstStyle/>
        <a:p>
          <a:endParaRPr lang="tr-TR"/>
        </a:p>
      </dgm:t>
    </dgm:pt>
    <dgm:pt modelId="{FE8C6CF0-BDA9-428A-A613-CEE5BC518FB1}" type="pres">
      <dgm:prSet presAssocID="{10394310-CFAD-479A-A8E2-2E6737E8F278}" presName="hierChild2" presStyleCnt="0"/>
      <dgm:spPr/>
    </dgm:pt>
    <dgm:pt modelId="{85900511-924E-40DB-B0C0-0616F90A164B}" type="pres">
      <dgm:prSet presAssocID="{58388CD6-C3F5-4D11-B568-44B60AC09654}" presName="Name37" presStyleLbl="parChTrans1D2" presStyleIdx="0" presStyleCnt="6"/>
      <dgm:spPr/>
      <dgm:t>
        <a:bodyPr/>
        <a:lstStyle/>
        <a:p>
          <a:endParaRPr lang="tr-TR"/>
        </a:p>
      </dgm:t>
    </dgm:pt>
    <dgm:pt modelId="{5BBBE78A-8070-4D2A-8E5E-1DB5A78016C0}" type="pres">
      <dgm:prSet presAssocID="{99994473-2E43-49F1-82D3-29CD46A6613A}" presName="hierRoot2" presStyleCnt="0">
        <dgm:presLayoutVars>
          <dgm:hierBranch val="init"/>
        </dgm:presLayoutVars>
      </dgm:prSet>
      <dgm:spPr/>
    </dgm:pt>
    <dgm:pt modelId="{ED0B5395-2B84-4C90-B6E5-4B28AD97916F}" type="pres">
      <dgm:prSet presAssocID="{99994473-2E43-49F1-82D3-29CD46A6613A}" presName="rootComposite" presStyleCnt="0"/>
      <dgm:spPr/>
    </dgm:pt>
    <dgm:pt modelId="{66FB4634-2010-48B1-8044-06A89C92E9B5}" type="pres">
      <dgm:prSet presAssocID="{99994473-2E43-49F1-82D3-29CD46A6613A}" presName="rootText" presStyleLbl="node2" presStyleIdx="0" presStyleCnt="2" custScaleX="244433">
        <dgm:presLayoutVars>
          <dgm:chPref val="3"/>
        </dgm:presLayoutVars>
      </dgm:prSet>
      <dgm:spPr/>
      <dgm:t>
        <a:bodyPr/>
        <a:lstStyle/>
        <a:p>
          <a:endParaRPr lang="tr-TR"/>
        </a:p>
      </dgm:t>
    </dgm:pt>
    <dgm:pt modelId="{E933F100-10A7-476D-AD16-D3B10E59D873}" type="pres">
      <dgm:prSet presAssocID="{99994473-2E43-49F1-82D3-29CD46A6613A}" presName="rootConnector" presStyleLbl="node2" presStyleIdx="0" presStyleCnt="2"/>
      <dgm:spPr/>
      <dgm:t>
        <a:bodyPr/>
        <a:lstStyle/>
        <a:p>
          <a:endParaRPr lang="tr-TR"/>
        </a:p>
      </dgm:t>
    </dgm:pt>
    <dgm:pt modelId="{7B8CE450-27F6-4FD2-B0E6-0EEBEB904928}" type="pres">
      <dgm:prSet presAssocID="{99994473-2E43-49F1-82D3-29CD46A6613A}" presName="hierChild4" presStyleCnt="0"/>
      <dgm:spPr/>
    </dgm:pt>
    <dgm:pt modelId="{90B4D687-72B2-4C0A-B548-A7E6A0F84389}" type="pres">
      <dgm:prSet presAssocID="{0AA80D02-3605-4092-B56E-6252947AB830}" presName="Name37" presStyleLbl="parChTrans1D3" presStyleIdx="0" presStyleCnt="11"/>
      <dgm:spPr/>
      <dgm:t>
        <a:bodyPr/>
        <a:lstStyle/>
        <a:p>
          <a:endParaRPr lang="tr-TR"/>
        </a:p>
      </dgm:t>
    </dgm:pt>
    <dgm:pt modelId="{1BBABA54-D3B2-4F20-80D2-69D7D5B8FC6B}" type="pres">
      <dgm:prSet presAssocID="{470694A6-BF79-4A56-888A-D8DFAB6ED736}" presName="hierRoot2" presStyleCnt="0">
        <dgm:presLayoutVars>
          <dgm:hierBranch val="init"/>
        </dgm:presLayoutVars>
      </dgm:prSet>
      <dgm:spPr/>
    </dgm:pt>
    <dgm:pt modelId="{9D98DF86-50E1-41F7-B0D3-AA113B3E01F9}" type="pres">
      <dgm:prSet presAssocID="{470694A6-BF79-4A56-888A-D8DFAB6ED736}" presName="rootComposite" presStyleCnt="0"/>
      <dgm:spPr/>
    </dgm:pt>
    <dgm:pt modelId="{D14AEFF4-B081-4238-9582-6374609AA8E8}" type="pres">
      <dgm:prSet presAssocID="{470694A6-BF79-4A56-888A-D8DFAB6ED736}" presName="rootText" presStyleLbl="node3" presStyleIdx="0" presStyleCnt="11" custScaleX="122030">
        <dgm:presLayoutVars>
          <dgm:chPref val="3"/>
        </dgm:presLayoutVars>
      </dgm:prSet>
      <dgm:spPr/>
      <dgm:t>
        <a:bodyPr/>
        <a:lstStyle/>
        <a:p>
          <a:endParaRPr lang="tr-TR"/>
        </a:p>
      </dgm:t>
    </dgm:pt>
    <dgm:pt modelId="{06F6BBC4-1087-4AEF-B23C-996B4FA56069}" type="pres">
      <dgm:prSet presAssocID="{470694A6-BF79-4A56-888A-D8DFAB6ED736}" presName="rootConnector" presStyleLbl="node3" presStyleIdx="0" presStyleCnt="11"/>
      <dgm:spPr/>
      <dgm:t>
        <a:bodyPr/>
        <a:lstStyle/>
        <a:p>
          <a:endParaRPr lang="tr-TR"/>
        </a:p>
      </dgm:t>
    </dgm:pt>
    <dgm:pt modelId="{1C4DD6E5-4D8E-45D6-9952-151857D4A268}" type="pres">
      <dgm:prSet presAssocID="{470694A6-BF79-4A56-888A-D8DFAB6ED736}" presName="hierChild4" presStyleCnt="0"/>
      <dgm:spPr/>
    </dgm:pt>
    <dgm:pt modelId="{D5A30A55-0924-49C1-977D-33103C630CD6}" type="pres">
      <dgm:prSet presAssocID="{A0F33815-6F71-4AAD-9638-CC2653B72A4D}" presName="Name37" presStyleLbl="parChTrans1D4" presStyleIdx="0" presStyleCnt="56"/>
      <dgm:spPr/>
      <dgm:t>
        <a:bodyPr/>
        <a:lstStyle/>
        <a:p>
          <a:endParaRPr lang="tr-TR"/>
        </a:p>
      </dgm:t>
    </dgm:pt>
    <dgm:pt modelId="{2D09347F-4A30-4676-BF9B-7CE0C007CD8C}" type="pres">
      <dgm:prSet presAssocID="{2BF82D41-1316-46CF-B20D-E32A5D7FC6AD}" presName="hierRoot2" presStyleCnt="0">
        <dgm:presLayoutVars>
          <dgm:hierBranch val="init"/>
        </dgm:presLayoutVars>
      </dgm:prSet>
      <dgm:spPr/>
    </dgm:pt>
    <dgm:pt modelId="{A7CB438B-55E0-44C9-8FC5-653757A58CAD}" type="pres">
      <dgm:prSet presAssocID="{2BF82D41-1316-46CF-B20D-E32A5D7FC6AD}" presName="rootComposite" presStyleCnt="0"/>
      <dgm:spPr/>
    </dgm:pt>
    <dgm:pt modelId="{27E36F6E-E10D-42D9-B66D-BC6DA1644262}" type="pres">
      <dgm:prSet presAssocID="{2BF82D41-1316-46CF-B20D-E32A5D7FC6AD}" presName="rootText" presStyleLbl="node4" presStyleIdx="0" presStyleCnt="56" custScaleX="117429">
        <dgm:presLayoutVars>
          <dgm:chPref val="3"/>
        </dgm:presLayoutVars>
      </dgm:prSet>
      <dgm:spPr/>
      <dgm:t>
        <a:bodyPr/>
        <a:lstStyle/>
        <a:p>
          <a:endParaRPr lang="tr-TR"/>
        </a:p>
      </dgm:t>
    </dgm:pt>
    <dgm:pt modelId="{7892E3CB-6E13-4368-B71B-6E8D7443DC88}" type="pres">
      <dgm:prSet presAssocID="{2BF82D41-1316-46CF-B20D-E32A5D7FC6AD}" presName="rootConnector" presStyleLbl="node4" presStyleIdx="0" presStyleCnt="56"/>
      <dgm:spPr/>
      <dgm:t>
        <a:bodyPr/>
        <a:lstStyle/>
        <a:p>
          <a:endParaRPr lang="tr-TR"/>
        </a:p>
      </dgm:t>
    </dgm:pt>
    <dgm:pt modelId="{C786051D-0E32-4929-AB1E-B33C625CC1DA}" type="pres">
      <dgm:prSet presAssocID="{2BF82D41-1316-46CF-B20D-E32A5D7FC6AD}" presName="hierChild4" presStyleCnt="0"/>
      <dgm:spPr/>
    </dgm:pt>
    <dgm:pt modelId="{65B9E692-6D13-48BC-A063-0BAE4C7C4C63}" type="pres">
      <dgm:prSet presAssocID="{2BF82D41-1316-46CF-B20D-E32A5D7FC6AD}" presName="hierChild5" presStyleCnt="0"/>
      <dgm:spPr/>
    </dgm:pt>
    <dgm:pt modelId="{DF6FB5F2-3803-43D9-99A9-6E812902D34E}" type="pres">
      <dgm:prSet presAssocID="{5354D1BC-871D-46CE-9E55-61B32086E443}" presName="Name37" presStyleLbl="parChTrans1D4" presStyleIdx="1" presStyleCnt="56"/>
      <dgm:spPr/>
      <dgm:t>
        <a:bodyPr/>
        <a:lstStyle/>
        <a:p>
          <a:endParaRPr lang="tr-TR"/>
        </a:p>
      </dgm:t>
    </dgm:pt>
    <dgm:pt modelId="{FFB79ED2-4570-4128-B43F-DC08F0B189A8}" type="pres">
      <dgm:prSet presAssocID="{919F2E1D-894E-4E9A-BA20-E45B5A341F6F}" presName="hierRoot2" presStyleCnt="0">
        <dgm:presLayoutVars>
          <dgm:hierBranch val="init"/>
        </dgm:presLayoutVars>
      </dgm:prSet>
      <dgm:spPr/>
    </dgm:pt>
    <dgm:pt modelId="{53E81093-9E7A-47CB-BFF3-2631013AA6CD}" type="pres">
      <dgm:prSet presAssocID="{919F2E1D-894E-4E9A-BA20-E45B5A341F6F}" presName="rootComposite" presStyleCnt="0"/>
      <dgm:spPr/>
    </dgm:pt>
    <dgm:pt modelId="{58C37BC5-424C-4580-A0A4-5304C242EBC7}" type="pres">
      <dgm:prSet presAssocID="{919F2E1D-894E-4E9A-BA20-E45B5A341F6F}" presName="rootText" presStyleLbl="node4" presStyleIdx="1" presStyleCnt="56" custScaleX="118579">
        <dgm:presLayoutVars>
          <dgm:chPref val="3"/>
        </dgm:presLayoutVars>
      </dgm:prSet>
      <dgm:spPr/>
      <dgm:t>
        <a:bodyPr/>
        <a:lstStyle/>
        <a:p>
          <a:endParaRPr lang="tr-TR"/>
        </a:p>
      </dgm:t>
    </dgm:pt>
    <dgm:pt modelId="{8235DF2D-6122-409A-AF9C-E57C7594B745}" type="pres">
      <dgm:prSet presAssocID="{919F2E1D-894E-4E9A-BA20-E45B5A341F6F}" presName="rootConnector" presStyleLbl="node4" presStyleIdx="1" presStyleCnt="56"/>
      <dgm:spPr/>
      <dgm:t>
        <a:bodyPr/>
        <a:lstStyle/>
        <a:p>
          <a:endParaRPr lang="tr-TR"/>
        </a:p>
      </dgm:t>
    </dgm:pt>
    <dgm:pt modelId="{4DB0A125-4B1F-4FAD-9A7A-2FAC72A7236C}" type="pres">
      <dgm:prSet presAssocID="{919F2E1D-894E-4E9A-BA20-E45B5A341F6F}" presName="hierChild4" presStyleCnt="0"/>
      <dgm:spPr/>
    </dgm:pt>
    <dgm:pt modelId="{8FE79D64-4A3D-49A9-B7C5-E5333FFE8A2C}" type="pres">
      <dgm:prSet presAssocID="{919F2E1D-894E-4E9A-BA20-E45B5A341F6F}" presName="hierChild5" presStyleCnt="0"/>
      <dgm:spPr/>
    </dgm:pt>
    <dgm:pt modelId="{3B10E03D-A83B-4487-82C6-5A6BDC00F688}" type="pres">
      <dgm:prSet presAssocID="{7CDD67F5-73F4-4524-9B19-66F2F798F9B3}" presName="Name37" presStyleLbl="parChTrans1D4" presStyleIdx="2" presStyleCnt="56"/>
      <dgm:spPr/>
      <dgm:t>
        <a:bodyPr/>
        <a:lstStyle/>
        <a:p>
          <a:endParaRPr lang="tr-TR"/>
        </a:p>
      </dgm:t>
    </dgm:pt>
    <dgm:pt modelId="{603A7B62-E6B7-4A3E-B107-C7AD57677B99}" type="pres">
      <dgm:prSet presAssocID="{AAAB5B1C-C8C3-42A3-A26A-1165856BF1D2}" presName="hierRoot2" presStyleCnt="0">
        <dgm:presLayoutVars>
          <dgm:hierBranch val="init"/>
        </dgm:presLayoutVars>
      </dgm:prSet>
      <dgm:spPr/>
    </dgm:pt>
    <dgm:pt modelId="{F0B76246-ED5A-40F5-8D45-1F3731125D23}" type="pres">
      <dgm:prSet presAssocID="{AAAB5B1C-C8C3-42A3-A26A-1165856BF1D2}" presName="rootComposite" presStyleCnt="0"/>
      <dgm:spPr/>
    </dgm:pt>
    <dgm:pt modelId="{53ED98AA-A6D5-43BD-A692-BECBD0142472}" type="pres">
      <dgm:prSet presAssocID="{AAAB5B1C-C8C3-42A3-A26A-1165856BF1D2}" presName="rootText" presStyleLbl="node4" presStyleIdx="2" presStyleCnt="56" custScaleX="118579">
        <dgm:presLayoutVars>
          <dgm:chPref val="3"/>
        </dgm:presLayoutVars>
      </dgm:prSet>
      <dgm:spPr/>
      <dgm:t>
        <a:bodyPr/>
        <a:lstStyle/>
        <a:p>
          <a:endParaRPr lang="tr-TR"/>
        </a:p>
      </dgm:t>
    </dgm:pt>
    <dgm:pt modelId="{1AEE2796-BB2E-4F7C-95C2-36A57CDE3334}" type="pres">
      <dgm:prSet presAssocID="{AAAB5B1C-C8C3-42A3-A26A-1165856BF1D2}" presName="rootConnector" presStyleLbl="node4" presStyleIdx="2" presStyleCnt="56"/>
      <dgm:spPr/>
      <dgm:t>
        <a:bodyPr/>
        <a:lstStyle/>
        <a:p>
          <a:endParaRPr lang="tr-TR"/>
        </a:p>
      </dgm:t>
    </dgm:pt>
    <dgm:pt modelId="{4D7A06A5-00AC-4CD4-8FC7-F31DB1B5568D}" type="pres">
      <dgm:prSet presAssocID="{AAAB5B1C-C8C3-42A3-A26A-1165856BF1D2}" presName="hierChild4" presStyleCnt="0"/>
      <dgm:spPr/>
    </dgm:pt>
    <dgm:pt modelId="{334FB65D-C788-488D-90D4-DE1F5068315A}" type="pres">
      <dgm:prSet presAssocID="{AAAB5B1C-C8C3-42A3-A26A-1165856BF1D2}" presName="hierChild5" presStyleCnt="0"/>
      <dgm:spPr/>
    </dgm:pt>
    <dgm:pt modelId="{D1CA7680-7E76-438D-B037-7EDDEA6C515F}" type="pres">
      <dgm:prSet presAssocID="{470694A6-BF79-4A56-888A-D8DFAB6ED736}" presName="hierChild5" presStyleCnt="0"/>
      <dgm:spPr/>
    </dgm:pt>
    <dgm:pt modelId="{224FAC78-CC9C-4DED-B4F2-B5423FF8E371}" type="pres">
      <dgm:prSet presAssocID="{B50221CD-2E8A-4911-84E8-1E92B4A3F565}" presName="Name37" presStyleLbl="parChTrans1D3" presStyleIdx="1" presStyleCnt="11"/>
      <dgm:spPr/>
      <dgm:t>
        <a:bodyPr/>
        <a:lstStyle/>
        <a:p>
          <a:endParaRPr lang="tr-TR"/>
        </a:p>
      </dgm:t>
    </dgm:pt>
    <dgm:pt modelId="{062BD102-555A-42A0-B770-28714C3007B2}" type="pres">
      <dgm:prSet presAssocID="{77D444E7-07C1-4D5D-B9FF-896775508B7C}" presName="hierRoot2" presStyleCnt="0">
        <dgm:presLayoutVars>
          <dgm:hierBranch val="init"/>
        </dgm:presLayoutVars>
      </dgm:prSet>
      <dgm:spPr/>
    </dgm:pt>
    <dgm:pt modelId="{FA788D35-75B9-4598-B8FC-FC985C926B65}" type="pres">
      <dgm:prSet presAssocID="{77D444E7-07C1-4D5D-B9FF-896775508B7C}" presName="rootComposite" presStyleCnt="0"/>
      <dgm:spPr/>
    </dgm:pt>
    <dgm:pt modelId="{2734AE6D-7E4C-462B-AA55-5E06A8BAC55B}" type="pres">
      <dgm:prSet presAssocID="{77D444E7-07C1-4D5D-B9FF-896775508B7C}" presName="rootText" presStyleLbl="node3" presStyleIdx="1" presStyleCnt="11" custScaleX="122030">
        <dgm:presLayoutVars>
          <dgm:chPref val="3"/>
        </dgm:presLayoutVars>
      </dgm:prSet>
      <dgm:spPr/>
      <dgm:t>
        <a:bodyPr/>
        <a:lstStyle/>
        <a:p>
          <a:endParaRPr lang="tr-TR"/>
        </a:p>
      </dgm:t>
    </dgm:pt>
    <dgm:pt modelId="{9CC384ED-497B-4FE2-AAE5-9466B74B1BDE}" type="pres">
      <dgm:prSet presAssocID="{77D444E7-07C1-4D5D-B9FF-896775508B7C}" presName="rootConnector" presStyleLbl="node3" presStyleIdx="1" presStyleCnt="11"/>
      <dgm:spPr/>
      <dgm:t>
        <a:bodyPr/>
        <a:lstStyle/>
        <a:p>
          <a:endParaRPr lang="tr-TR"/>
        </a:p>
      </dgm:t>
    </dgm:pt>
    <dgm:pt modelId="{C8290E53-3A68-479A-9102-911FBB53E73E}" type="pres">
      <dgm:prSet presAssocID="{77D444E7-07C1-4D5D-B9FF-896775508B7C}" presName="hierChild4" presStyleCnt="0"/>
      <dgm:spPr/>
    </dgm:pt>
    <dgm:pt modelId="{737CC1A9-9175-45EF-A3AC-63F8539A1763}" type="pres">
      <dgm:prSet presAssocID="{903B1069-A69A-4F1A-8163-B90D170730A4}" presName="Name37" presStyleLbl="parChTrans1D4" presStyleIdx="3" presStyleCnt="56"/>
      <dgm:spPr/>
      <dgm:t>
        <a:bodyPr/>
        <a:lstStyle/>
        <a:p>
          <a:endParaRPr lang="tr-TR"/>
        </a:p>
      </dgm:t>
    </dgm:pt>
    <dgm:pt modelId="{659ED803-07A3-43D5-A90D-AD25DFA455F2}" type="pres">
      <dgm:prSet presAssocID="{1F3C928A-6392-4E9B-AFEF-420C0B9E33FE}" presName="hierRoot2" presStyleCnt="0">
        <dgm:presLayoutVars>
          <dgm:hierBranch val="init"/>
        </dgm:presLayoutVars>
      </dgm:prSet>
      <dgm:spPr/>
    </dgm:pt>
    <dgm:pt modelId="{3163A498-8A79-46FE-9D48-5289828CE294}" type="pres">
      <dgm:prSet presAssocID="{1F3C928A-6392-4E9B-AFEF-420C0B9E33FE}" presName="rootComposite" presStyleCnt="0"/>
      <dgm:spPr/>
    </dgm:pt>
    <dgm:pt modelId="{C96D2213-AA47-432E-9577-0757E0EBCA63}" type="pres">
      <dgm:prSet presAssocID="{1F3C928A-6392-4E9B-AFEF-420C0B9E33FE}" presName="rootText" presStyleLbl="node4" presStyleIdx="3" presStyleCnt="56" custScaleX="117429">
        <dgm:presLayoutVars>
          <dgm:chPref val="3"/>
        </dgm:presLayoutVars>
      </dgm:prSet>
      <dgm:spPr/>
      <dgm:t>
        <a:bodyPr/>
        <a:lstStyle/>
        <a:p>
          <a:endParaRPr lang="tr-TR"/>
        </a:p>
      </dgm:t>
    </dgm:pt>
    <dgm:pt modelId="{1C4543F1-D402-4EEE-8CCE-C57FD06C5B36}" type="pres">
      <dgm:prSet presAssocID="{1F3C928A-6392-4E9B-AFEF-420C0B9E33FE}" presName="rootConnector" presStyleLbl="node4" presStyleIdx="3" presStyleCnt="56"/>
      <dgm:spPr/>
      <dgm:t>
        <a:bodyPr/>
        <a:lstStyle/>
        <a:p>
          <a:endParaRPr lang="tr-TR"/>
        </a:p>
      </dgm:t>
    </dgm:pt>
    <dgm:pt modelId="{C3859594-26EB-4CF1-A9E3-454CEFCFA850}" type="pres">
      <dgm:prSet presAssocID="{1F3C928A-6392-4E9B-AFEF-420C0B9E33FE}" presName="hierChild4" presStyleCnt="0"/>
      <dgm:spPr/>
    </dgm:pt>
    <dgm:pt modelId="{A9708543-3D5E-4F65-9247-D22FA0EE617A}" type="pres">
      <dgm:prSet presAssocID="{1F3C928A-6392-4E9B-AFEF-420C0B9E33FE}" presName="hierChild5" presStyleCnt="0"/>
      <dgm:spPr/>
    </dgm:pt>
    <dgm:pt modelId="{B1B5FDDC-3AEB-45F4-9326-D73E740BDBE3}" type="pres">
      <dgm:prSet presAssocID="{2AC9FCB1-0014-43B8-B0F3-608FD547881B}" presName="Name37" presStyleLbl="parChTrans1D4" presStyleIdx="4" presStyleCnt="56"/>
      <dgm:spPr/>
      <dgm:t>
        <a:bodyPr/>
        <a:lstStyle/>
        <a:p>
          <a:endParaRPr lang="tr-TR"/>
        </a:p>
      </dgm:t>
    </dgm:pt>
    <dgm:pt modelId="{84E69943-68EC-4211-9CBB-61C087ADFEE1}" type="pres">
      <dgm:prSet presAssocID="{AA216E2F-9D77-432F-B0CB-5DDD80822F47}" presName="hierRoot2" presStyleCnt="0">
        <dgm:presLayoutVars>
          <dgm:hierBranch val="init"/>
        </dgm:presLayoutVars>
      </dgm:prSet>
      <dgm:spPr/>
    </dgm:pt>
    <dgm:pt modelId="{6239DB34-502A-4A6D-A89A-757245C4D043}" type="pres">
      <dgm:prSet presAssocID="{AA216E2F-9D77-432F-B0CB-5DDD80822F47}" presName="rootComposite" presStyleCnt="0"/>
      <dgm:spPr/>
    </dgm:pt>
    <dgm:pt modelId="{70FFCA45-3772-4F53-803F-719E4E2B36F8}" type="pres">
      <dgm:prSet presAssocID="{AA216E2F-9D77-432F-B0CB-5DDD80822F47}" presName="rootText" presStyleLbl="node4" presStyleIdx="4" presStyleCnt="56" custScaleX="118579">
        <dgm:presLayoutVars>
          <dgm:chPref val="3"/>
        </dgm:presLayoutVars>
      </dgm:prSet>
      <dgm:spPr/>
      <dgm:t>
        <a:bodyPr/>
        <a:lstStyle/>
        <a:p>
          <a:endParaRPr lang="tr-TR"/>
        </a:p>
      </dgm:t>
    </dgm:pt>
    <dgm:pt modelId="{4A97DBB0-14E9-450B-BAE5-23F8448B5DA5}" type="pres">
      <dgm:prSet presAssocID="{AA216E2F-9D77-432F-B0CB-5DDD80822F47}" presName="rootConnector" presStyleLbl="node4" presStyleIdx="4" presStyleCnt="56"/>
      <dgm:spPr/>
      <dgm:t>
        <a:bodyPr/>
        <a:lstStyle/>
        <a:p>
          <a:endParaRPr lang="tr-TR"/>
        </a:p>
      </dgm:t>
    </dgm:pt>
    <dgm:pt modelId="{8DFD1B2B-72C7-4BE9-8035-ADC3C1285170}" type="pres">
      <dgm:prSet presAssocID="{AA216E2F-9D77-432F-B0CB-5DDD80822F47}" presName="hierChild4" presStyleCnt="0"/>
      <dgm:spPr/>
    </dgm:pt>
    <dgm:pt modelId="{7267E050-8AD4-4E52-BE5A-6F74BB28D1E9}" type="pres">
      <dgm:prSet presAssocID="{AA216E2F-9D77-432F-B0CB-5DDD80822F47}" presName="hierChild5" presStyleCnt="0"/>
      <dgm:spPr/>
    </dgm:pt>
    <dgm:pt modelId="{51C9EFC8-C1B8-4126-AB80-A8CB6629DAB5}" type="pres">
      <dgm:prSet presAssocID="{4AD44D94-CF89-4091-B5C7-66A91B5ADEB1}" presName="Name37" presStyleLbl="parChTrans1D4" presStyleIdx="5" presStyleCnt="56"/>
      <dgm:spPr/>
      <dgm:t>
        <a:bodyPr/>
        <a:lstStyle/>
        <a:p>
          <a:endParaRPr lang="tr-TR"/>
        </a:p>
      </dgm:t>
    </dgm:pt>
    <dgm:pt modelId="{AEC9CD6B-2ED4-4DE4-9083-20EAE9F3B4C7}" type="pres">
      <dgm:prSet presAssocID="{A2F5D6BE-3A81-402E-895B-E39D44C7C85E}" presName="hierRoot2" presStyleCnt="0">
        <dgm:presLayoutVars>
          <dgm:hierBranch val="init"/>
        </dgm:presLayoutVars>
      </dgm:prSet>
      <dgm:spPr/>
    </dgm:pt>
    <dgm:pt modelId="{CE09CA5F-63C7-4758-95A4-7957D25B559D}" type="pres">
      <dgm:prSet presAssocID="{A2F5D6BE-3A81-402E-895B-E39D44C7C85E}" presName="rootComposite" presStyleCnt="0"/>
      <dgm:spPr/>
    </dgm:pt>
    <dgm:pt modelId="{402182B7-D784-4AFB-932C-74A1E928ED56}" type="pres">
      <dgm:prSet presAssocID="{A2F5D6BE-3A81-402E-895B-E39D44C7C85E}" presName="rootText" presStyleLbl="node4" presStyleIdx="5" presStyleCnt="56" custScaleX="118579" custScaleY="185285">
        <dgm:presLayoutVars>
          <dgm:chPref val="3"/>
        </dgm:presLayoutVars>
      </dgm:prSet>
      <dgm:spPr/>
      <dgm:t>
        <a:bodyPr/>
        <a:lstStyle/>
        <a:p>
          <a:endParaRPr lang="tr-TR"/>
        </a:p>
      </dgm:t>
    </dgm:pt>
    <dgm:pt modelId="{33E22096-663F-48D0-9E74-F1A0F31D0997}" type="pres">
      <dgm:prSet presAssocID="{A2F5D6BE-3A81-402E-895B-E39D44C7C85E}" presName="rootConnector" presStyleLbl="node4" presStyleIdx="5" presStyleCnt="56"/>
      <dgm:spPr/>
      <dgm:t>
        <a:bodyPr/>
        <a:lstStyle/>
        <a:p>
          <a:endParaRPr lang="tr-TR"/>
        </a:p>
      </dgm:t>
    </dgm:pt>
    <dgm:pt modelId="{9DD947E0-5A6D-4D48-A167-9D082B1C1730}" type="pres">
      <dgm:prSet presAssocID="{A2F5D6BE-3A81-402E-895B-E39D44C7C85E}" presName="hierChild4" presStyleCnt="0"/>
      <dgm:spPr/>
    </dgm:pt>
    <dgm:pt modelId="{D1861D4C-5876-4EB8-B48D-490BE49AFCC1}" type="pres">
      <dgm:prSet presAssocID="{A2F5D6BE-3A81-402E-895B-E39D44C7C85E}" presName="hierChild5" presStyleCnt="0"/>
      <dgm:spPr/>
    </dgm:pt>
    <dgm:pt modelId="{367C0550-BB2A-4960-A1C7-C73AD3A03A30}" type="pres">
      <dgm:prSet presAssocID="{8EA18A94-76CC-47E5-AEA5-653BBD44ED55}" presName="Name37" presStyleLbl="parChTrans1D4" presStyleIdx="6" presStyleCnt="56"/>
      <dgm:spPr/>
      <dgm:t>
        <a:bodyPr/>
        <a:lstStyle/>
        <a:p>
          <a:endParaRPr lang="tr-TR"/>
        </a:p>
      </dgm:t>
    </dgm:pt>
    <dgm:pt modelId="{848F36A4-275D-40CC-9FE3-A3AD23C069D8}" type="pres">
      <dgm:prSet presAssocID="{5D476914-D522-4474-89A0-458034F18A0C}" presName="hierRoot2" presStyleCnt="0">
        <dgm:presLayoutVars>
          <dgm:hierBranch val="init"/>
        </dgm:presLayoutVars>
      </dgm:prSet>
      <dgm:spPr/>
    </dgm:pt>
    <dgm:pt modelId="{2746ACFB-5161-434E-9FF8-487879CBC49B}" type="pres">
      <dgm:prSet presAssocID="{5D476914-D522-4474-89A0-458034F18A0C}" presName="rootComposite" presStyleCnt="0"/>
      <dgm:spPr/>
    </dgm:pt>
    <dgm:pt modelId="{1B71C4E1-1DC7-4FA4-B6A4-4A74DAF9A03A}" type="pres">
      <dgm:prSet presAssocID="{5D476914-D522-4474-89A0-458034F18A0C}" presName="rootText" presStyleLbl="node4" presStyleIdx="6" presStyleCnt="56" custScaleX="118579">
        <dgm:presLayoutVars>
          <dgm:chPref val="3"/>
        </dgm:presLayoutVars>
      </dgm:prSet>
      <dgm:spPr/>
      <dgm:t>
        <a:bodyPr/>
        <a:lstStyle/>
        <a:p>
          <a:endParaRPr lang="tr-TR"/>
        </a:p>
      </dgm:t>
    </dgm:pt>
    <dgm:pt modelId="{78F34446-D293-42D8-8F0B-23A38EF37ACA}" type="pres">
      <dgm:prSet presAssocID="{5D476914-D522-4474-89A0-458034F18A0C}" presName="rootConnector" presStyleLbl="node4" presStyleIdx="6" presStyleCnt="56"/>
      <dgm:spPr/>
      <dgm:t>
        <a:bodyPr/>
        <a:lstStyle/>
        <a:p>
          <a:endParaRPr lang="tr-TR"/>
        </a:p>
      </dgm:t>
    </dgm:pt>
    <dgm:pt modelId="{3B4444D5-EFDD-483C-9E44-FD6108EBE0D6}" type="pres">
      <dgm:prSet presAssocID="{5D476914-D522-4474-89A0-458034F18A0C}" presName="hierChild4" presStyleCnt="0"/>
      <dgm:spPr/>
    </dgm:pt>
    <dgm:pt modelId="{C5A02EB5-16E1-42CB-BAE2-A9E7C0B85FBA}" type="pres">
      <dgm:prSet presAssocID="{5D476914-D522-4474-89A0-458034F18A0C}" presName="hierChild5" presStyleCnt="0"/>
      <dgm:spPr/>
    </dgm:pt>
    <dgm:pt modelId="{F1A49E13-D1CB-4211-B42F-1E39AC062B3D}" type="pres">
      <dgm:prSet presAssocID="{F2D6EFAA-D89E-49BB-AC05-06DF800123CB}" presName="Name37" presStyleLbl="parChTrans1D4" presStyleIdx="7" presStyleCnt="56"/>
      <dgm:spPr/>
      <dgm:t>
        <a:bodyPr/>
        <a:lstStyle/>
        <a:p>
          <a:endParaRPr lang="tr-TR"/>
        </a:p>
      </dgm:t>
    </dgm:pt>
    <dgm:pt modelId="{FD94C5F6-AF67-4BDF-842E-1DFFEB5DDC14}" type="pres">
      <dgm:prSet presAssocID="{2FAC4C30-2C72-4BC4-8C08-435F75075C30}" presName="hierRoot2" presStyleCnt="0">
        <dgm:presLayoutVars>
          <dgm:hierBranch val="init"/>
        </dgm:presLayoutVars>
      </dgm:prSet>
      <dgm:spPr/>
    </dgm:pt>
    <dgm:pt modelId="{9E51E6CF-6EBC-4D0B-B721-AEAB3D9FF402}" type="pres">
      <dgm:prSet presAssocID="{2FAC4C30-2C72-4BC4-8C08-435F75075C30}" presName="rootComposite" presStyleCnt="0"/>
      <dgm:spPr/>
    </dgm:pt>
    <dgm:pt modelId="{B768F0DD-78D5-4988-9AAB-0E7591093BCC}" type="pres">
      <dgm:prSet presAssocID="{2FAC4C30-2C72-4BC4-8C08-435F75075C30}" presName="rootText" presStyleLbl="node4" presStyleIdx="7" presStyleCnt="56" custScaleX="118579">
        <dgm:presLayoutVars>
          <dgm:chPref val="3"/>
        </dgm:presLayoutVars>
      </dgm:prSet>
      <dgm:spPr/>
      <dgm:t>
        <a:bodyPr/>
        <a:lstStyle/>
        <a:p>
          <a:endParaRPr lang="tr-TR"/>
        </a:p>
      </dgm:t>
    </dgm:pt>
    <dgm:pt modelId="{B83922DA-7C5C-4E9A-97BC-9E7B589DC0DD}" type="pres">
      <dgm:prSet presAssocID="{2FAC4C30-2C72-4BC4-8C08-435F75075C30}" presName="rootConnector" presStyleLbl="node4" presStyleIdx="7" presStyleCnt="56"/>
      <dgm:spPr/>
      <dgm:t>
        <a:bodyPr/>
        <a:lstStyle/>
        <a:p>
          <a:endParaRPr lang="tr-TR"/>
        </a:p>
      </dgm:t>
    </dgm:pt>
    <dgm:pt modelId="{8224A10A-E95F-4913-A354-1B3ACC2B48E6}" type="pres">
      <dgm:prSet presAssocID="{2FAC4C30-2C72-4BC4-8C08-435F75075C30}" presName="hierChild4" presStyleCnt="0"/>
      <dgm:spPr/>
    </dgm:pt>
    <dgm:pt modelId="{900AD26C-3D2E-436B-A4E4-BCA84FA224EB}" type="pres">
      <dgm:prSet presAssocID="{2FAC4C30-2C72-4BC4-8C08-435F75075C30}" presName="hierChild5" presStyleCnt="0"/>
      <dgm:spPr/>
    </dgm:pt>
    <dgm:pt modelId="{030F16FC-4826-4C8B-993A-D24ED0B224C0}" type="pres">
      <dgm:prSet presAssocID="{77D444E7-07C1-4D5D-B9FF-896775508B7C}" presName="hierChild5" presStyleCnt="0"/>
      <dgm:spPr/>
    </dgm:pt>
    <dgm:pt modelId="{09407B79-0EFD-4C34-B5BF-45C9FA19ECC4}" type="pres">
      <dgm:prSet presAssocID="{1A4DE9E6-2CF6-42BA-A762-C80819153459}" presName="Name37" presStyleLbl="parChTrans1D3" presStyleIdx="2" presStyleCnt="11"/>
      <dgm:spPr/>
      <dgm:t>
        <a:bodyPr/>
        <a:lstStyle/>
        <a:p>
          <a:endParaRPr lang="tr-TR"/>
        </a:p>
      </dgm:t>
    </dgm:pt>
    <dgm:pt modelId="{C325B83E-B47E-4C12-BBD5-3B911821D6A4}" type="pres">
      <dgm:prSet presAssocID="{4021D9B5-FA8D-4ED3-8E53-BB4D710B8311}" presName="hierRoot2" presStyleCnt="0">
        <dgm:presLayoutVars>
          <dgm:hierBranch val="init"/>
        </dgm:presLayoutVars>
      </dgm:prSet>
      <dgm:spPr/>
    </dgm:pt>
    <dgm:pt modelId="{B46536DB-89C8-4B3B-B01E-1FD9F2A7E29E}" type="pres">
      <dgm:prSet presAssocID="{4021D9B5-FA8D-4ED3-8E53-BB4D710B8311}" presName="rootComposite" presStyleCnt="0"/>
      <dgm:spPr/>
    </dgm:pt>
    <dgm:pt modelId="{7D0112EC-5CB7-4A7B-8DBE-6528661CB40A}" type="pres">
      <dgm:prSet presAssocID="{4021D9B5-FA8D-4ED3-8E53-BB4D710B8311}" presName="rootText" presStyleLbl="node3" presStyleIdx="2" presStyleCnt="11" custScaleX="122030">
        <dgm:presLayoutVars>
          <dgm:chPref val="3"/>
        </dgm:presLayoutVars>
      </dgm:prSet>
      <dgm:spPr/>
      <dgm:t>
        <a:bodyPr/>
        <a:lstStyle/>
        <a:p>
          <a:endParaRPr lang="tr-TR"/>
        </a:p>
      </dgm:t>
    </dgm:pt>
    <dgm:pt modelId="{9B965487-2EB1-41C0-8128-C1A61C530623}" type="pres">
      <dgm:prSet presAssocID="{4021D9B5-FA8D-4ED3-8E53-BB4D710B8311}" presName="rootConnector" presStyleLbl="node3" presStyleIdx="2" presStyleCnt="11"/>
      <dgm:spPr/>
      <dgm:t>
        <a:bodyPr/>
        <a:lstStyle/>
        <a:p>
          <a:endParaRPr lang="tr-TR"/>
        </a:p>
      </dgm:t>
    </dgm:pt>
    <dgm:pt modelId="{1C83CC69-4810-4BE4-935B-454CA7D9D9CD}" type="pres">
      <dgm:prSet presAssocID="{4021D9B5-FA8D-4ED3-8E53-BB4D710B8311}" presName="hierChild4" presStyleCnt="0"/>
      <dgm:spPr/>
    </dgm:pt>
    <dgm:pt modelId="{767354A1-8AC6-4295-BB58-8EB17E2DF900}" type="pres">
      <dgm:prSet presAssocID="{195A8A2D-F461-489A-BDAB-2B7FFD4BFB6C}" presName="Name37" presStyleLbl="parChTrans1D4" presStyleIdx="8" presStyleCnt="56"/>
      <dgm:spPr/>
      <dgm:t>
        <a:bodyPr/>
        <a:lstStyle/>
        <a:p>
          <a:endParaRPr lang="tr-TR"/>
        </a:p>
      </dgm:t>
    </dgm:pt>
    <dgm:pt modelId="{F6100383-B730-4A7D-A59F-7FE011EED501}" type="pres">
      <dgm:prSet presAssocID="{6FAA21FE-C43C-4B60-BF5B-937B2B27F49F}" presName="hierRoot2" presStyleCnt="0">
        <dgm:presLayoutVars>
          <dgm:hierBranch val="init"/>
        </dgm:presLayoutVars>
      </dgm:prSet>
      <dgm:spPr/>
    </dgm:pt>
    <dgm:pt modelId="{3E8EF991-C9AB-43E5-8B0E-A563795E9AA7}" type="pres">
      <dgm:prSet presAssocID="{6FAA21FE-C43C-4B60-BF5B-937B2B27F49F}" presName="rootComposite" presStyleCnt="0"/>
      <dgm:spPr/>
    </dgm:pt>
    <dgm:pt modelId="{65FE2CD7-55E7-432A-8B8C-129D0326310B}" type="pres">
      <dgm:prSet presAssocID="{6FAA21FE-C43C-4B60-BF5B-937B2B27F49F}" presName="rootText" presStyleLbl="node4" presStyleIdx="8" presStyleCnt="56" custScaleX="117429">
        <dgm:presLayoutVars>
          <dgm:chPref val="3"/>
        </dgm:presLayoutVars>
      </dgm:prSet>
      <dgm:spPr/>
      <dgm:t>
        <a:bodyPr/>
        <a:lstStyle/>
        <a:p>
          <a:endParaRPr lang="tr-TR"/>
        </a:p>
      </dgm:t>
    </dgm:pt>
    <dgm:pt modelId="{2C183231-D0AC-47D9-BB65-800101CFB006}" type="pres">
      <dgm:prSet presAssocID="{6FAA21FE-C43C-4B60-BF5B-937B2B27F49F}" presName="rootConnector" presStyleLbl="node4" presStyleIdx="8" presStyleCnt="56"/>
      <dgm:spPr/>
      <dgm:t>
        <a:bodyPr/>
        <a:lstStyle/>
        <a:p>
          <a:endParaRPr lang="tr-TR"/>
        </a:p>
      </dgm:t>
    </dgm:pt>
    <dgm:pt modelId="{63E6CDFC-E632-4103-BC17-0348027FFD7B}" type="pres">
      <dgm:prSet presAssocID="{6FAA21FE-C43C-4B60-BF5B-937B2B27F49F}" presName="hierChild4" presStyleCnt="0"/>
      <dgm:spPr/>
    </dgm:pt>
    <dgm:pt modelId="{45F34B53-BD73-4E8A-89AD-9D6BDAA4843C}" type="pres">
      <dgm:prSet presAssocID="{6FAA21FE-C43C-4B60-BF5B-937B2B27F49F}" presName="hierChild5" presStyleCnt="0"/>
      <dgm:spPr/>
    </dgm:pt>
    <dgm:pt modelId="{2828A5AF-0B53-4C45-804E-1B332AC8AF37}" type="pres">
      <dgm:prSet presAssocID="{9E0FDE52-AD7F-4233-B586-F31B3AFCDA31}" presName="Name37" presStyleLbl="parChTrans1D4" presStyleIdx="9" presStyleCnt="56"/>
      <dgm:spPr/>
      <dgm:t>
        <a:bodyPr/>
        <a:lstStyle/>
        <a:p>
          <a:endParaRPr lang="tr-TR"/>
        </a:p>
      </dgm:t>
    </dgm:pt>
    <dgm:pt modelId="{DFE4AFA8-CD6A-46FE-B444-A0010191E19B}" type="pres">
      <dgm:prSet presAssocID="{F95E6CAF-03EE-4C7A-BF3F-AC220C7C66D2}" presName="hierRoot2" presStyleCnt="0">
        <dgm:presLayoutVars>
          <dgm:hierBranch val="init"/>
        </dgm:presLayoutVars>
      </dgm:prSet>
      <dgm:spPr/>
    </dgm:pt>
    <dgm:pt modelId="{2A10C3D0-8B1A-4826-A41C-075D0C689F4F}" type="pres">
      <dgm:prSet presAssocID="{F95E6CAF-03EE-4C7A-BF3F-AC220C7C66D2}" presName="rootComposite" presStyleCnt="0"/>
      <dgm:spPr/>
    </dgm:pt>
    <dgm:pt modelId="{FE3E2183-A55E-4434-9D41-9BB6CF0F9736}" type="pres">
      <dgm:prSet presAssocID="{F95E6CAF-03EE-4C7A-BF3F-AC220C7C66D2}" presName="rootText" presStyleLbl="node4" presStyleIdx="9" presStyleCnt="56" custScaleX="118579">
        <dgm:presLayoutVars>
          <dgm:chPref val="3"/>
        </dgm:presLayoutVars>
      </dgm:prSet>
      <dgm:spPr/>
      <dgm:t>
        <a:bodyPr/>
        <a:lstStyle/>
        <a:p>
          <a:endParaRPr lang="tr-TR"/>
        </a:p>
      </dgm:t>
    </dgm:pt>
    <dgm:pt modelId="{9CF420A1-4B8E-424B-8131-FFC90F888DB0}" type="pres">
      <dgm:prSet presAssocID="{F95E6CAF-03EE-4C7A-BF3F-AC220C7C66D2}" presName="rootConnector" presStyleLbl="node4" presStyleIdx="9" presStyleCnt="56"/>
      <dgm:spPr/>
      <dgm:t>
        <a:bodyPr/>
        <a:lstStyle/>
        <a:p>
          <a:endParaRPr lang="tr-TR"/>
        </a:p>
      </dgm:t>
    </dgm:pt>
    <dgm:pt modelId="{31BCBD76-1DE6-4169-B20A-AA3F3D7FADC1}" type="pres">
      <dgm:prSet presAssocID="{F95E6CAF-03EE-4C7A-BF3F-AC220C7C66D2}" presName="hierChild4" presStyleCnt="0"/>
      <dgm:spPr/>
    </dgm:pt>
    <dgm:pt modelId="{E69E719E-3389-4C18-9BBD-F779EA22063B}" type="pres">
      <dgm:prSet presAssocID="{F95E6CAF-03EE-4C7A-BF3F-AC220C7C66D2}" presName="hierChild5" presStyleCnt="0"/>
      <dgm:spPr/>
    </dgm:pt>
    <dgm:pt modelId="{0E9275D1-BE8A-4EF2-B888-3882E047FB3C}" type="pres">
      <dgm:prSet presAssocID="{66BEFFB4-38B4-415F-ADA4-06B62B3399D9}" presName="Name37" presStyleLbl="parChTrans1D4" presStyleIdx="10" presStyleCnt="56"/>
      <dgm:spPr/>
      <dgm:t>
        <a:bodyPr/>
        <a:lstStyle/>
        <a:p>
          <a:endParaRPr lang="tr-TR"/>
        </a:p>
      </dgm:t>
    </dgm:pt>
    <dgm:pt modelId="{4C124644-29F9-4AAC-B532-40B5A7B7349A}" type="pres">
      <dgm:prSet presAssocID="{420576DF-CE92-46FD-A90E-2563FABAA11C}" presName="hierRoot2" presStyleCnt="0">
        <dgm:presLayoutVars>
          <dgm:hierBranch val="init"/>
        </dgm:presLayoutVars>
      </dgm:prSet>
      <dgm:spPr/>
    </dgm:pt>
    <dgm:pt modelId="{08179FB3-7968-4270-8A3F-3CD2A8E9F9FD}" type="pres">
      <dgm:prSet presAssocID="{420576DF-CE92-46FD-A90E-2563FABAA11C}" presName="rootComposite" presStyleCnt="0"/>
      <dgm:spPr/>
    </dgm:pt>
    <dgm:pt modelId="{7F0306AC-675C-4FF6-A0CD-8838AE68C7FC}" type="pres">
      <dgm:prSet presAssocID="{420576DF-CE92-46FD-A90E-2563FABAA11C}" presName="rootText" presStyleLbl="node4" presStyleIdx="10" presStyleCnt="56" custScaleX="118579">
        <dgm:presLayoutVars>
          <dgm:chPref val="3"/>
        </dgm:presLayoutVars>
      </dgm:prSet>
      <dgm:spPr/>
      <dgm:t>
        <a:bodyPr/>
        <a:lstStyle/>
        <a:p>
          <a:endParaRPr lang="tr-TR"/>
        </a:p>
      </dgm:t>
    </dgm:pt>
    <dgm:pt modelId="{793F22C8-853A-4DA7-88BD-497D7CFE0CEA}" type="pres">
      <dgm:prSet presAssocID="{420576DF-CE92-46FD-A90E-2563FABAA11C}" presName="rootConnector" presStyleLbl="node4" presStyleIdx="10" presStyleCnt="56"/>
      <dgm:spPr/>
      <dgm:t>
        <a:bodyPr/>
        <a:lstStyle/>
        <a:p>
          <a:endParaRPr lang="tr-TR"/>
        </a:p>
      </dgm:t>
    </dgm:pt>
    <dgm:pt modelId="{D2FF02C4-B3F7-4C92-B4C5-7ED2DFF4452B}" type="pres">
      <dgm:prSet presAssocID="{420576DF-CE92-46FD-A90E-2563FABAA11C}" presName="hierChild4" presStyleCnt="0"/>
      <dgm:spPr/>
    </dgm:pt>
    <dgm:pt modelId="{9613F1A2-E67B-42DA-AB52-2EF762238DC3}" type="pres">
      <dgm:prSet presAssocID="{420576DF-CE92-46FD-A90E-2563FABAA11C}" presName="hierChild5" presStyleCnt="0"/>
      <dgm:spPr/>
    </dgm:pt>
    <dgm:pt modelId="{317FD01D-3C0C-4D0E-9930-131D6CFAEC76}" type="pres">
      <dgm:prSet presAssocID="{5DED8A2E-D04A-489D-9AAD-FEC76A9D4778}" presName="Name37" presStyleLbl="parChTrans1D4" presStyleIdx="11" presStyleCnt="56"/>
      <dgm:spPr/>
      <dgm:t>
        <a:bodyPr/>
        <a:lstStyle/>
        <a:p>
          <a:endParaRPr lang="tr-TR"/>
        </a:p>
      </dgm:t>
    </dgm:pt>
    <dgm:pt modelId="{3DE59D06-EEC8-4D61-8198-DA5325AA0E7B}" type="pres">
      <dgm:prSet presAssocID="{A841C47F-EDD3-48DA-BD12-444C1AFF0DD1}" presName="hierRoot2" presStyleCnt="0">
        <dgm:presLayoutVars>
          <dgm:hierBranch val="init"/>
        </dgm:presLayoutVars>
      </dgm:prSet>
      <dgm:spPr/>
    </dgm:pt>
    <dgm:pt modelId="{17DEA262-31BB-4E97-B8CC-4825646C1AB8}" type="pres">
      <dgm:prSet presAssocID="{A841C47F-EDD3-48DA-BD12-444C1AFF0DD1}" presName="rootComposite" presStyleCnt="0"/>
      <dgm:spPr/>
    </dgm:pt>
    <dgm:pt modelId="{4AEA1E02-DF48-4061-B133-64E5BA3DF2AE}" type="pres">
      <dgm:prSet presAssocID="{A841C47F-EDD3-48DA-BD12-444C1AFF0DD1}" presName="rootText" presStyleLbl="node4" presStyleIdx="11" presStyleCnt="56" custScaleX="118579">
        <dgm:presLayoutVars>
          <dgm:chPref val="3"/>
        </dgm:presLayoutVars>
      </dgm:prSet>
      <dgm:spPr/>
      <dgm:t>
        <a:bodyPr/>
        <a:lstStyle/>
        <a:p>
          <a:endParaRPr lang="tr-TR"/>
        </a:p>
      </dgm:t>
    </dgm:pt>
    <dgm:pt modelId="{94FD4504-677C-446E-B38F-065541BD9124}" type="pres">
      <dgm:prSet presAssocID="{A841C47F-EDD3-48DA-BD12-444C1AFF0DD1}" presName="rootConnector" presStyleLbl="node4" presStyleIdx="11" presStyleCnt="56"/>
      <dgm:spPr/>
      <dgm:t>
        <a:bodyPr/>
        <a:lstStyle/>
        <a:p>
          <a:endParaRPr lang="tr-TR"/>
        </a:p>
      </dgm:t>
    </dgm:pt>
    <dgm:pt modelId="{B914C9DF-CDBE-4C8F-92FB-5675BF2C639A}" type="pres">
      <dgm:prSet presAssocID="{A841C47F-EDD3-48DA-BD12-444C1AFF0DD1}" presName="hierChild4" presStyleCnt="0"/>
      <dgm:spPr/>
    </dgm:pt>
    <dgm:pt modelId="{E2B6F761-5449-460F-8E00-6E68AB19F309}" type="pres">
      <dgm:prSet presAssocID="{A841C47F-EDD3-48DA-BD12-444C1AFF0DD1}" presName="hierChild5" presStyleCnt="0"/>
      <dgm:spPr/>
    </dgm:pt>
    <dgm:pt modelId="{D8125864-2D90-443F-B234-843E82736838}" type="pres">
      <dgm:prSet presAssocID="{D5207719-DC6D-435E-82B9-A28209D4FF03}" presName="Name37" presStyleLbl="parChTrans1D4" presStyleIdx="12" presStyleCnt="56"/>
      <dgm:spPr/>
      <dgm:t>
        <a:bodyPr/>
        <a:lstStyle/>
        <a:p>
          <a:endParaRPr lang="tr-TR"/>
        </a:p>
      </dgm:t>
    </dgm:pt>
    <dgm:pt modelId="{42C49C98-6FDB-4CE1-8A51-3056FE959A2D}" type="pres">
      <dgm:prSet presAssocID="{AC13CD99-7BBB-43CB-BCF4-ABAB3EA7CBDD}" presName="hierRoot2" presStyleCnt="0">
        <dgm:presLayoutVars>
          <dgm:hierBranch val="init"/>
        </dgm:presLayoutVars>
      </dgm:prSet>
      <dgm:spPr/>
    </dgm:pt>
    <dgm:pt modelId="{84A840F1-C054-4742-AA46-E24BE1AF5D14}" type="pres">
      <dgm:prSet presAssocID="{AC13CD99-7BBB-43CB-BCF4-ABAB3EA7CBDD}" presName="rootComposite" presStyleCnt="0"/>
      <dgm:spPr/>
    </dgm:pt>
    <dgm:pt modelId="{0AEB890C-2876-41D0-B9BC-F63E242705E1}" type="pres">
      <dgm:prSet presAssocID="{AC13CD99-7BBB-43CB-BCF4-ABAB3EA7CBDD}" presName="rootText" presStyleLbl="node4" presStyleIdx="12" presStyleCnt="56" custScaleX="118579">
        <dgm:presLayoutVars>
          <dgm:chPref val="3"/>
        </dgm:presLayoutVars>
      </dgm:prSet>
      <dgm:spPr/>
      <dgm:t>
        <a:bodyPr/>
        <a:lstStyle/>
        <a:p>
          <a:endParaRPr lang="tr-TR"/>
        </a:p>
      </dgm:t>
    </dgm:pt>
    <dgm:pt modelId="{B7368A7B-BCA3-4E8E-B043-FC2F37C859F1}" type="pres">
      <dgm:prSet presAssocID="{AC13CD99-7BBB-43CB-BCF4-ABAB3EA7CBDD}" presName="rootConnector" presStyleLbl="node4" presStyleIdx="12" presStyleCnt="56"/>
      <dgm:spPr/>
      <dgm:t>
        <a:bodyPr/>
        <a:lstStyle/>
        <a:p>
          <a:endParaRPr lang="tr-TR"/>
        </a:p>
      </dgm:t>
    </dgm:pt>
    <dgm:pt modelId="{D82F816F-8FF2-455B-A216-3BEBEEE2FBFC}" type="pres">
      <dgm:prSet presAssocID="{AC13CD99-7BBB-43CB-BCF4-ABAB3EA7CBDD}" presName="hierChild4" presStyleCnt="0"/>
      <dgm:spPr/>
    </dgm:pt>
    <dgm:pt modelId="{E9830C66-0FEF-48B4-B042-C4AAB27825CD}" type="pres">
      <dgm:prSet presAssocID="{AC13CD99-7BBB-43CB-BCF4-ABAB3EA7CBDD}" presName="hierChild5" presStyleCnt="0"/>
      <dgm:spPr/>
    </dgm:pt>
    <dgm:pt modelId="{8E903856-05D0-4A41-9164-7F2BABB7A75E}" type="pres">
      <dgm:prSet presAssocID="{4021D9B5-FA8D-4ED3-8E53-BB4D710B8311}" presName="hierChild5" presStyleCnt="0"/>
      <dgm:spPr/>
    </dgm:pt>
    <dgm:pt modelId="{BC17FB98-DAA0-421E-8CA8-AD5B975866DE}" type="pres">
      <dgm:prSet presAssocID="{CD29FA23-2829-455D-9E82-3FBA303FE57C}" presName="Name37" presStyleLbl="parChTrans1D3" presStyleIdx="3" presStyleCnt="11"/>
      <dgm:spPr/>
      <dgm:t>
        <a:bodyPr/>
        <a:lstStyle/>
        <a:p>
          <a:endParaRPr lang="tr-TR"/>
        </a:p>
      </dgm:t>
    </dgm:pt>
    <dgm:pt modelId="{0EB683BE-E162-45DD-A144-0CB9F3D0EE28}" type="pres">
      <dgm:prSet presAssocID="{D789E4DF-56AB-4A72-B09E-DC74063487D6}" presName="hierRoot2" presStyleCnt="0">
        <dgm:presLayoutVars>
          <dgm:hierBranch val="init"/>
        </dgm:presLayoutVars>
      </dgm:prSet>
      <dgm:spPr/>
    </dgm:pt>
    <dgm:pt modelId="{B3BD05BB-E294-491F-83B0-B4F5B96518F3}" type="pres">
      <dgm:prSet presAssocID="{D789E4DF-56AB-4A72-B09E-DC74063487D6}" presName="rootComposite" presStyleCnt="0"/>
      <dgm:spPr/>
    </dgm:pt>
    <dgm:pt modelId="{1CFB3BEA-9AA9-4D4D-AFD5-4EB26671C546}" type="pres">
      <dgm:prSet presAssocID="{D789E4DF-56AB-4A72-B09E-DC74063487D6}" presName="rootText" presStyleLbl="node3" presStyleIdx="3" presStyleCnt="11" custScaleX="122030">
        <dgm:presLayoutVars>
          <dgm:chPref val="3"/>
        </dgm:presLayoutVars>
      </dgm:prSet>
      <dgm:spPr/>
      <dgm:t>
        <a:bodyPr/>
        <a:lstStyle/>
        <a:p>
          <a:endParaRPr lang="tr-TR"/>
        </a:p>
      </dgm:t>
    </dgm:pt>
    <dgm:pt modelId="{7ACB4BC9-164C-4EDE-9A73-0D860925E7B5}" type="pres">
      <dgm:prSet presAssocID="{D789E4DF-56AB-4A72-B09E-DC74063487D6}" presName="rootConnector" presStyleLbl="node3" presStyleIdx="3" presStyleCnt="11"/>
      <dgm:spPr/>
      <dgm:t>
        <a:bodyPr/>
        <a:lstStyle/>
        <a:p>
          <a:endParaRPr lang="tr-TR"/>
        </a:p>
      </dgm:t>
    </dgm:pt>
    <dgm:pt modelId="{1AE3887E-DF26-4F11-A343-009537C94722}" type="pres">
      <dgm:prSet presAssocID="{D789E4DF-56AB-4A72-B09E-DC74063487D6}" presName="hierChild4" presStyleCnt="0"/>
      <dgm:spPr/>
    </dgm:pt>
    <dgm:pt modelId="{1CB52C30-6081-4109-9A47-5570134E2F77}" type="pres">
      <dgm:prSet presAssocID="{35233043-574C-425B-B4A4-9FD5AB7D4857}" presName="Name37" presStyleLbl="parChTrans1D4" presStyleIdx="13" presStyleCnt="56"/>
      <dgm:spPr/>
      <dgm:t>
        <a:bodyPr/>
        <a:lstStyle/>
        <a:p>
          <a:endParaRPr lang="tr-TR"/>
        </a:p>
      </dgm:t>
    </dgm:pt>
    <dgm:pt modelId="{75DA4B23-B427-440F-9782-6E8CF689B2BA}" type="pres">
      <dgm:prSet presAssocID="{E194F0CB-8638-4594-B4DA-BD3C1390D70E}" presName="hierRoot2" presStyleCnt="0">
        <dgm:presLayoutVars>
          <dgm:hierBranch val="init"/>
        </dgm:presLayoutVars>
      </dgm:prSet>
      <dgm:spPr/>
    </dgm:pt>
    <dgm:pt modelId="{71CE4134-5B4F-4331-8A06-251CD7FE5922}" type="pres">
      <dgm:prSet presAssocID="{E194F0CB-8638-4594-B4DA-BD3C1390D70E}" presName="rootComposite" presStyleCnt="0"/>
      <dgm:spPr/>
    </dgm:pt>
    <dgm:pt modelId="{39776CE1-75D1-46BB-BFB4-5A93DCB0783D}" type="pres">
      <dgm:prSet presAssocID="{E194F0CB-8638-4594-B4DA-BD3C1390D70E}" presName="rootText" presStyleLbl="node4" presStyleIdx="13" presStyleCnt="56" custScaleX="117429">
        <dgm:presLayoutVars>
          <dgm:chPref val="3"/>
        </dgm:presLayoutVars>
      </dgm:prSet>
      <dgm:spPr/>
      <dgm:t>
        <a:bodyPr/>
        <a:lstStyle/>
        <a:p>
          <a:endParaRPr lang="tr-TR"/>
        </a:p>
      </dgm:t>
    </dgm:pt>
    <dgm:pt modelId="{C87FF7B0-8150-453B-A463-84F94968E5D6}" type="pres">
      <dgm:prSet presAssocID="{E194F0CB-8638-4594-B4DA-BD3C1390D70E}" presName="rootConnector" presStyleLbl="node4" presStyleIdx="13" presStyleCnt="56"/>
      <dgm:spPr/>
      <dgm:t>
        <a:bodyPr/>
        <a:lstStyle/>
        <a:p>
          <a:endParaRPr lang="tr-TR"/>
        </a:p>
      </dgm:t>
    </dgm:pt>
    <dgm:pt modelId="{BFF5ED11-892D-43BA-9209-DE0BBF77CE3D}" type="pres">
      <dgm:prSet presAssocID="{E194F0CB-8638-4594-B4DA-BD3C1390D70E}" presName="hierChild4" presStyleCnt="0"/>
      <dgm:spPr/>
    </dgm:pt>
    <dgm:pt modelId="{2057EB36-D3A2-4D48-8107-788D94B69914}" type="pres">
      <dgm:prSet presAssocID="{E194F0CB-8638-4594-B4DA-BD3C1390D70E}" presName="hierChild5" presStyleCnt="0"/>
      <dgm:spPr/>
    </dgm:pt>
    <dgm:pt modelId="{066CE618-AFAE-4E87-A189-BA7EED51A6BC}" type="pres">
      <dgm:prSet presAssocID="{5701DACE-2E21-4457-A288-7FD71FC763DD}" presName="Name37" presStyleLbl="parChTrans1D4" presStyleIdx="14" presStyleCnt="56"/>
      <dgm:spPr/>
      <dgm:t>
        <a:bodyPr/>
        <a:lstStyle/>
        <a:p>
          <a:endParaRPr lang="tr-TR"/>
        </a:p>
      </dgm:t>
    </dgm:pt>
    <dgm:pt modelId="{44A448EB-2834-4CDA-B67D-3CA205963CF9}" type="pres">
      <dgm:prSet presAssocID="{EEFA96EB-88BB-4F3D-B239-D07A6DDE3188}" presName="hierRoot2" presStyleCnt="0">
        <dgm:presLayoutVars>
          <dgm:hierBranch val="init"/>
        </dgm:presLayoutVars>
      </dgm:prSet>
      <dgm:spPr/>
    </dgm:pt>
    <dgm:pt modelId="{4703FF44-70F7-4F48-BF50-81FE44C6BC9D}" type="pres">
      <dgm:prSet presAssocID="{EEFA96EB-88BB-4F3D-B239-D07A6DDE3188}" presName="rootComposite" presStyleCnt="0"/>
      <dgm:spPr/>
    </dgm:pt>
    <dgm:pt modelId="{420ADE94-A944-4D75-9FEE-A5B94C2EF654}" type="pres">
      <dgm:prSet presAssocID="{EEFA96EB-88BB-4F3D-B239-D07A6DDE3188}" presName="rootText" presStyleLbl="node4" presStyleIdx="14" presStyleCnt="56" custScaleX="118579">
        <dgm:presLayoutVars>
          <dgm:chPref val="3"/>
        </dgm:presLayoutVars>
      </dgm:prSet>
      <dgm:spPr/>
      <dgm:t>
        <a:bodyPr/>
        <a:lstStyle/>
        <a:p>
          <a:endParaRPr lang="tr-TR"/>
        </a:p>
      </dgm:t>
    </dgm:pt>
    <dgm:pt modelId="{38712E8D-BA2F-4589-AAAD-7C1787122FE2}" type="pres">
      <dgm:prSet presAssocID="{EEFA96EB-88BB-4F3D-B239-D07A6DDE3188}" presName="rootConnector" presStyleLbl="node4" presStyleIdx="14" presStyleCnt="56"/>
      <dgm:spPr/>
      <dgm:t>
        <a:bodyPr/>
        <a:lstStyle/>
        <a:p>
          <a:endParaRPr lang="tr-TR"/>
        </a:p>
      </dgm:t>
    </dgm:pt>
    <dgm:pt modelId="{508E1450-8865-48F8-A0EB-9FC2E8787F87}" type="pres">
      <dgm:prSet presAssocID="{EEFA96EB-88BB-4F3D-B239-D07A6DDE3188}" presName="hierChild4" presStyleCnt="0"/>
      <dgm:spPr/>
    </dgm:pt>
    <dgm:pt modelId="{28625D0C-F2BD-49AC-BF8B-F99AE8B403C3}" type="pres">
      <dgm:prSet presAssocID="{EEFA96EB-88BB-4F3D-B239-D07A6DDE3188}" presName="hierChild5" presStyleCnt="0"/>
      <dgm:spPr/>
    </dgm:pt>
    <dgm:pt modelId="{846B97CA-7A6E-4888-9AA2-23D6FB5F839D}" type="pres">
      <dgm:prSet presAssocID="{E0E50C77-5A0A-452B-BF09-379717C5226D}" presName="Name37" presStyleLbl="parChTrans1D4" presStyleIdx="15" presStyleCnt="56"/>
      <dgm:spPr/>
      <dgm:t>
        <a:bodyPr/>
        <a:lstStyle/>
        <a:p>
          <a:endParaRPr lang="tr-TR"/>
        </a:p>
      </dgm:t>
    </dgm:pt>
    <dgm:pt modelId="{18472F42-9DA6-4DA6-B9CF-9F1152024381}" type="pres">
      <dgm:prSet presAssocID="{6627D280-CBD8-46BD-A7D7-43CCAF8573C5}" presName="hierRoot2" presStyleCnt="0">
        <dgm:presLayoutVars>
          <dgm:hierBranch val="init"/>
        </dgm:presLayoutVars>
      </dgm:prSet>
      <dgm:spPr/>
    </dgm:pt>
    <dgm:pt modelId="{6942787F-271F-4A59-96B9-0F04FEA76283}" type="pres">
      <dgm:prSet presAssocID="{6627D280-CBD8-46BD-A7D7-43CCAF8573C5}" presName="rootComposite" presStyleCnt="0"/>
      <dgm:spPr/>
    </dgm:pt>
    <dgm:pt modelId="{CE6E1443-3584-4FBB-AA76-C2B6FD20BD3A}" type="pres">
      <dgm:prSet presAssocID="{6627D280-CBD8-46BD-A7D7-43CCAF8573C5}" presName="rootText" presStyleLbl="node4" presStyleIdx="15" presStyleCnt="56" custScaleX="118579">
        <dgm:presLayoutVars>
          <dgm:chPref val="3"/>
        </dgm:presLayoutVars>
      </dgm:prSet>
      <dgm:spPr/>
      <dgm:t>
        <a:bodyPr/>
        <a:lstStyle/>
        <a:p>
          <a:endParaRPr lang="tr-TR"/>
        </a:p>
      </dgm:t>
    </dgm:pt>
    <dgm:pt modelId="{A54D7DB3-B303-43AB-BEC7-C2528CAD66FC}" type="pres">
      <dgm:prSet presAssocID="{6627D280-CBD8-46BD-A7D7-43CCAF8573C5}" presName="rootConnector" presStyleLbl="node4" presStyleIdx="15" presStyleCnt="56"/>
      <dgm:spPr/>
      <dgm:t>
        <a:bodyPr/>
        <a:lstStyle/>
        <a:p>
          <a:endParaRPr lang="tr-TR"/>
        </a:p>
      </dgm:t>
    </dgm:pt>
    <dgm:pt modelId="{D352EE0D-59D5-4892-AABF-1EEE9798641B}" type="pres">
      <dgm:prSet presAssocID="{6627D280-CBD8-46BD-A7D7-43CCAF8573C5}" presName="hierChild4" presStyleCnt="0"/>
      <dgm:spPr/>
    </dgm:pt>
    <dgm:pt modelId="{ED9BFF2E-CA95-4F29-B718-4BF2AEBD2FD1}" type="pres">
      <dgm:prSet presAssocID="{6627D280-CBD8-46BD-A7D7-43CCAF8573C5}" presName="hierChild5" presStyleCnt="0"/>
      <dgm:spPr/>
    </dgm:pt>
    <dgm:pt modelId="{D905E8C9-9FE1-4545-84BB-FA380198FAFE}" type="pres">
      <dgm:prSet presAssocID="{9D780BE8-05A7-422E-905A-9AB440AC70A4}" presName="Name37" presStyleLbl="parChTrans1D4" presStyleIdx="16" presStyleCnt="56"/>
      <dgm:spPr/>
      <dgm:t>
        <a:bodyPr/>
        <a:lstStyle/>
        <a:p>
          <a:endParaRPr lang="tr-TR"/>
        </a:p>
      </dgm:t>
    </dgm:pt>
    <dgm:pt modelId="{419857DB-6603-4A0F-AA1A-0775E7C9E44A}" type="pres">
      <dgm:prSet presAssocID="{D01A2359-A22D-41DC-965E-463AAD6DEC4D}" presName="hierRoot2" presStyleCnt="0">
        <dgm:presLayoutVars>
          <dgm:hierBranch val="init"/>
        </dgm:presLayoutVars>
      </dgm:prSet>
      <dgm:spPr/>
    </dgm:pt>
    <dgm:pt modelId="{4357303C-C463-4799-B017-B583CA26A07F}" type="pres">
      <dgm:prSet presAssocID="{D01A2359-A22D-41DC-965E-463AAD6DEC4D}" presName="rootComposite" presStyleCnt="0"/>
      <dgm:spPr/>
    </dgm:pt>
    <dgm:pt modelId="{AFAA1CB7-F81E-4D7F-8DDB-E13DCF915B4F}" type="pres">
      <dgm:prSet presAssocID="{D01A2359-A22D-41DC-965E-463AAD6DEC4D}" presName="rootText" presStyleLbl="node4" presStyleIdx="16" presStyleCnt="56" custScaleX="118579">
        <dgm:presLayoutVars>
          <dgm:chPref val="3"/>
        </dgm:presLayoutVars>
      </dgm:prSet>
      <dgm:spPr/>
      <dgm:t>
        <a:bodyPr/>
        <a:lstStyle/>
        <a:p>
          <a:endParaRPr lang="tr-TR"/>
        </a:p>
      </dgm:t>
    </dgm:pt>
    <dgm:pt modelId="{D229B421-0E03-4D58-8EEB-322FBC6384D6}" type="pres">
      <dgm:prSet presAssocID="{D01A2359-A22D-41DC-965E-463AAD6DEC4D}" presName="rootConnector" presStyleLbl="node4" presStyleIdx="16" presStyleCnt="56"/>
      <dgm:spPr/>
      <dgm:t>
        <a:bodyPr/>
        <a:lstStyle/>
        <a:p>
          <a:endParaRPr lang="tr-TR"/>
        </a:p>
      </dgm:t>
    </dgm:pt>
    <dgm:pt modelId="{446C74F8-ACA8-4856-9FE6-D4033C89A2BF}" type="pres">
      <dgm:prSet presAssocID="{D01A2359-A22D-41DC-965E-463AAD6DEC4D}" presName="hierChild4" presStyleCnt="0"/>
      <dgm:spPr/>
    </dgm:pt>
    <dgm:pt modelId="{043FAE58-968C-4611-A8E7-B21CE9BB24E5}" type="pres">
      <dgm:prSet presAssocID="{D01A2359-A22D-41DC-965E-463AAD6DEC4D}" presName="hierChild5" presStyleCnt="0"/>
      <dgm:spPr/>
    </dgm:pt>
    <dgm:pt modelId="{2AB751C0-2D2D-418B-A8F7-35D01BDC5DE1}" type="pres">
      <dgm:prSet presAssocID="{1711F813-AFF9-41A5-89B6-53F3994C1A14}" presName="Name37" presStyleLbl="parChTrans1D4" presStyleIdx="17" presStyleCnt="56"/>
      <dgm:spPr/>
      <dgm:t>
        <a:bodyPr/>
        <a:lstStyle/>
        <a:p>
          <a:endParaRPr lang="tr-TR"/>
        </a:p>
      </dgm:t>
    </dgm:pt>
    <dgm:pt modelId="{30535BFE-F394-4AFF-A3CE-494F9A38FA13}" type="pres">
      <dgm:prSet presAssocID="{637F1051-3303-4721-91C5-5E0839D1BCA8}" presName="hierRoot2" presStyleCnt="0">
        <dgm:presLayoutVars>
          <dgm:hierBranch val="init"/>
        </dgm:presLayoutVars>
      </dgm:prSet>
      <dgm:spPr/>
    </dgm:pt>
    <dgm:pt modelId="{AE3C0D43-A089-47B9-9769-F315E9F2101F}" type="pres">
      <dgm:prSet presAssocID="{637F1051-3303-4721-91C5-5E0839D1BCA8}" presName="rootComposite" presStyleCnt="0"/>
      <dgm:spPr/>
    </dgm:pt>
    <dgm:pt modelId="{8884BCC6-A89A-42D4-867F-834C653C37C2}" type="pres">
      <dgm:prSet presAssocID="{637F1051-3303-4721-91C5-5E0839D1BCA8}" presName="rootText" presStyleLbl="node4" presStyleIdx="17" presStyleCnt="56" custScaleX="118579">
        <dgm:presLayoutVars>
          <dgm:chPref val="3"/>
        </dgm:presLayoutVars>
      </dgm:prSet>
      <dgm:spPr/>
      <dgm:t>
        <a:bodyPr/>
        <a:lstStyle/>
        <a:p>
          <a:endParaRPr lang="tr-TR"/>
        </a:p>
      </dgm:t>
    </dgm:pt>
    <dgm:pt modelId="{AF931224-7D73-406B-8497-EE049ADF2F7A}" type="pres">
      <dgm:prSet presAssocID="{637F1051-3303-4721-91C5-5E0839D1BCA8}" presName="rootConnector" presStyleLbl="node4" presStyleIdx="17" presStyleCnt="56"/>
      <dgm:spPr/>
      <dgm:t>
        <a:bodyPr/>
        <a:lstStyle/>
        <a:p>
          <a:endParaRPr lang="tr-TR"/>
        </a:p>
      </dgm:t>
    </dgm:pt>
    <dgm:pt modelId="{72D9E340-1852-4F27-8B64-EA079C5CE5D9}" type="pres">
      <dgm:prSet presAssocID="{637F1051-3303-4721-91C5-5E0839D1BCA8}" presName="hierChild4" presStyleCnt="0"/>
      <dgm:spPr/>
    </dgm:pt>
    <dgm:pt modelId="{9EBA3BE9-EB01-49F9-84A3-CB6D9E11A911}" type="pres">
      <dgm:prSet presAssocID="{637F1051-3303-4721-91C5-5E0839D1BCA8}" presName="hierChild5" presStyleCnt="0"/>
      <dgm:spPr/>
    </dgm:pt>
    <dgm:pt modelId="{79F54EAD-2C23-4078-B865-AFE4D7A9D285}" type="pres">
      <dgm:prSet presAssocID="{D789E4DF-56AB-4A72-B09E-DC74063487D6}" presName="hierChild5" presStyleCnt="0"/>
      <dgm:spPr/>
    </dgm:pt>
    <dgm:pt modelId="{B7C224BE-7741-4676-A46A-5BF419505716}" type="pres">
      <dgm:prSet presAssocID="{FA6ED975-55E0-4A0B-B457-29D9BFB2DA34}" presName="Name37" presStyleLbl="parChTrans1D3" presStyleIdx="4" presStyleCnt="11"/>
      <dgm:spPr/>
      <dgm:t>
        <a:bodyPr/>
        <a:lstStyle/>
        <a:p>
          <a:endParaRPr lang="tr-TR"/>
        </a:p>
      </dgm:t>
    </dgm:pt>
    <dgm:pt modelId="{C5B26E7A-DBB9-4DAC-B957-97D99F4E5011}" type="pres">
      <dgm:prSet presAssocID="{088C8172-BF48-47A3-92C9-BAA3B5B80DC0}" presName="hierRoot2" presStyleCnt="0">
        <dgm:presLayoutVars>
          <dgm:hierBranch val="init"/>
        </dgm:presLayoutVars>
      </dgm:prSet>
      <dgm:spPr/>
    </dgm:pt>
    <dgm:pt modelId="{37AC8734-EF00-4B7A-93EA-B1DF0B82CFE1}" type="pres">
      <dgm:prSet presAssocID="{088C8172-BF48-47A3-92C9-BAA3B5B80DC0}" presName="rootComposite" presStyleCnt="0"/>
      <dgm:spPr/>
    </dgm:pt>
    <dgm:pt modelId="{6B54BAFD-7F37-4819-8801-40DA7CB96D5A}" type="pres">
      <dgm:prSet presAssocID="{088C8172-BF48-47A3-92C9-BAA3B5B80DC0}" presName="rootText" presStyleLbl="node3" presStyleIdx="4" presStyleCnt="11" custScaleX="122030">
        <dgm:presLayoutVars>
          <dgm:chPref val="3"/>
        </dgm:presLayoutVars>
      </dgm:prSet>
      <dgm:spPr/>
      <dgm:t>
        <a:bodyPr/>
        <a:lstStyle/>
        <a:p>
          <a:endParaRPr lang="tr-TR"/>
        </a:p>
      </dgm:t>
    </dgm:pt>
    <dgm:pt modelId="{6821DE57-C5AA-466A-B898-88B95F947E5C}" type="pres">
      <dgm:prSet presAssocID="{088C8172-BF48-47A3-92C9-BAA3B5B80DC0}" presName="rootConnector" presStyleLbl="node3" presStyleIdx="4" presStyleCnt="11"/>
      <dgm:spPr/>
      <dgm:t>
        <a:bodyPr/>
        <a:lstStyle/>
        <a:p>
          <a:endParaRPr lang="tr-TR"/>
        </a:p>
      </dgm:t>
    </dgm:pt>
    <dgm:pt modelId="{7BAFA80F-EEB6-4A84-B554-C755B55F2DF5}" type="pres">
      <dgm:prSet presAssocID="{088C8172-BF48-47A3-92C9-BAA3B5B80DC0}" presName="hierChild4" presStyleCnt="0"/>
      <dgm:spPr/>
    </dgm:pt>
    <dgm:pt modelId="{0F49334D-300B-4735-B2B4-A9EC0E5DEACB}" type="pres">
      <dgm:prSet presAssocID="{5F86DD40-FA6A-47A3-B0E1-60B7BF7644EF}" presName="Name37" presStyleLbl="parChTrans1D4" presStyleIdx="18" presStyleCnt="56"/>
      <dgm:spPr/>
      <dgm:t>
        <a:bodyPr/>
        <a:lstStyle/>
        <a:p>
          <a:endParaRPr lang="tr-TR"/>
        </a:p>
      </dgm:t>
    </dgm:pt>
    <dgm:pt modelId="{1AFDF687-2D7B-4A58-A214-FC30BA07297F}" type="pres">
      <dgm:prSet presAssocID="{A8581A17-7EE2-472D-ACFC-71398985F795}" presName="hierRoot2" presStyleCnt="0">
        <dgm:presLayoutVars>
          <dgm:hierBranch val="init"/>
        </dgm:presLayoutVars>
      </dgm:prSet>
      <dgm:spPr/>
    </dgm:pt>
    <dgm:pt modelId="{A51C4D3E-AD35-4816-8462-6F8FCE7768E4}" type="pres">
      <dgm:prSet presAssocID="{A8581A17-7EE2-472D-ACFC-71398985F795}" presName="rootComposite" presStyleCnt="0"/>
      <dgm:spPr/>
    </dgm:pt>
    <dgm:pt modelId="{31C406F9-FAD5-4C34-B088-D848B76AD332}" type="pres">
      <dgm:prSet presAssocID="{A8581A17-7EE2-472D-ACFC-71398985F795}" presName="rootText" presStyleLbl="node4" presStyleIdx="18" presStyleCnt="56" custScaleX="117429">
        <dgm:presLayoutVars>
          <dgm:chPref val="3"/>
        </dgm:presLayoutVars>
      </dgm:prSet>
      <dgm:spPr/>
      <dgm:t>
        <a:bodyPr/>
        <a:lstStyle/>
        <a:p>
          <a:endParaRPr lang="tr-TR"/>
        </a:p>
      </dgm:t>
    </dgm:pt>
    <dgm:pt modelId="{467BD9F7-59E0-4515-8365-A27DB469AF15}" type="pres">
      <dgm:prSet presAssocID="{A8581A17-7EE2-472D-ACFC-71398985F795}" presName="rootConnector" presStyleLbl="node4" presStyleIdx="18" presStyleCnt="56"/>
      <dgm:spPr/>
      <dgm:t>
        <a:bodyPr/>
        <a:lstStyle/>
        <a:p>
          <a:endParaRPr lang="tr-TR"/>
        </a:p>
      </dgm:t>
    </dgm:pt>
    <dgm:pt modelId="{3D10A2F3-9AA1-42E2-BED3-55B516648C76}" type="pres">
      <dgm:prSet presAssocID="{A8581A17-7EE2-472D-ACFC-71398985F795}" presName="hierChild4" presStyleCnt="0"/>
      <dgm:spPr/>
    </dgm:pt>
    <dgm:pt modelId="{2C3AF30D-2903-48FE-87CA-7A5BE7040BA9}" type="pres">
      <dgm:prSet presAssocID="{A8581A17-7EE2-472D-ACFC-71398985F795}" presName="hierChild5" presStyleCnt="0"/>
      <dgm:spPr/>
    </dgm:pt>
    <dgm:pt modelId="{C8EBB3A9-8A37-4937-AE5F-A42D0FE9CE3A}" type="pres">
      <dgm:prSet presAssocID="{2117ACDE-7891-4B38-9EA3-C93324D003CE}" presName="Name37" presStyleLbl="parChTrans1D4" presStyleIdx="19" presStyleCnt="56"/>
      <dgm:spPr/>
      <dgm:t>
        <a:bodyPr/>
        <a:lstStyle/>
        <a:p>
          <a:endParaRPr lang="tr-TR"/>
        </a:p>
      </dgm:t>
    </dgm:pt>
    <dgm:pt modelId="{B1431D49-1069-4574-BADD-EE07F7414952}" type="pres">
      <dgm:prSet presAssocID="{20301F7D-90B0-4457-8ED8-8F22D3187F5C}" presName="hierRoot2" presStyleCnt="0">
        <dgm:presLayoutVars>
          <dgm:hierBranch val="init"/>
        </dgm:presLayoutVars>
      </dgm:prSet>
      <dgm:spPr/>
    </dgm:pt>
    <dgm:pt modelId="{FFA19605-0D14-4A8A-928C-88BF380E5AF8}" type="pres">
      <dgm:prSet presAssocID="{20301F7D-90B0-4457-8ED8-8F22D3187F5C}" presName="rootComposite" presStyleCnt="0"/>
      <dgm:spPr/>
    </dgm:pt>
    <dgm:pt modelId="{60AB6B83-B070-439A-BA87-45447BD71542}" type="pres">
      <dgm:prSet presAssocID="{20301F7D-90B0-4457-8ED8-8F22D3187F5C}" presName="rootText" presStyleLbl="node4" presStyleIdx="19" presStyleCnt="56" custScaleX="118579">
        <dgm:presLayoutVars>
          <dgm:chPref val="3"/>
        </dgm:presLayoutVars>
      </dgm:prSet>
      <dgm:spPr/>
      <dgm:t>
        <a:bodyPr/>
        <a:lstStyle/>
        <a:p>
          <a:endParaRPr lang="tr-TR"/>
        </a:p>
      </dgm:t>
    </dgm:pt>
    <dgm:pt modelId="{9867717F-A4C0-4257-B561-8B67FF1F7A95}" type="pres">
      <dgm:prSet presAssocID="{20301F7D-90B0-4457-8ED8-8F22D3187F5C}" presName="rootConnector" presStyleLbl="node4" presStyleIdx="19" presStyleCnt="56"/>
      <dgm:spPr/>
      <dgm:t>
        <a:bodyPr/>
        <a:lstStyle/>
        <a:p>
          <a:endParaRPr lang="tr-TR"/>
        </a:p>
      </dgm:t>
    </dgm:pt>
    <dgm:pt modelId="{A321175F-1927-464A-8800-4B6455E4D667}" type="pres">
      <dgm:prSet presAssocID="{20301F7D-90B0-4457-8ED8-8F22D3187F5C}" presName="hierChild4" presStyleCnt="0"/>
      <dgm:spPr/>
    </dgm:pt>
    <dgm:pt modelId="{A6F13CF0-4D06-4531-BF1D-F0FC24F31F14}" type="pres">
      <dgm:prSet presAssocID="{20301F7D-90B0-4457-8ED8-8F22D3187F5C}" presName="hierChild5" presStyleCnt="0"/>
      <dgm:spPr/>
    </dgm:pt>
    <dgm:pt modelId="{19EF9F38-F7BE-4F67-A557-E3897A491C21}" type="pres">
      <dgm:prSet presAssocID="{561CEB80-AED2-42CF-A923-53106865C9C8}" presName="Name37" presStyleLbl="parChTrans1D4" presStyleIdx="20" presStyleCnt="56"/>
      <dgm:spPr/>
      <dgm:t>
        <a:bodyPr/>
        <a:lstStyle/>
        <a:p>
          <a:endParaRPr lang="tr-TR"/>
        </a:p>
      </dgm:t>
    </dgm:pt>
    <dgm:pt modelId="{C06B639A-B06C-4AD6-B77F-901EA63365C7}" type="pres">
      <dgm:prSet presAssocID="{751E95A1-683A-400B-8717-2724C4C0C1E4}" presName="hierRoot2" presStyleCnt="0">
        <dgm:presLayoutVars>
          <dgm:hierBranch val="init"/>
        </dgm:presLayoutVars>
      </dgm:prSet>
      <dgm:spPr/>
    </dgm:pt>
    <dgm:pt modelId="{A2E1BF24-7771-4C4B-890D-A58E3B328157}" type="pres">
      <dgm:prSet presAssocID="{751E95A1-683A-400B-8717-2724C4C0C1E4}" presName="rootComposite" presStyleCnt="0"/>
      <dgm:spPr/>
    </dgm:pt>
    <dgm:pt modelId="{C60DDCA0-895E-42F5-9186-A43048767D4E}" type="pres">
      <dgm:prSet presAssocID="{751E95A1-683A-400B-8717-2724C4C0C1E4}" presName="rootText" presStyleLbl="node4" presStyleIdx="20" presStyleCnt="56" custScaleX="118579">
        <dgm:presLayoutVars>
          <dgm:chPref val="3"/>
        </dgm:presLayoutVars>
      </dgm:prSet>
      <dgm:spPr/>
      <dgm:t>
        <a:bodyPr/>
        <a:lstStyle/>
        <a:p>
          <a:endParaRPr lang="tr-TR"/>
        </a:p>
      </dgm:t>
    </dgm:pt>
    <dgm:pt modelId="{ED569C1D-A086-4CF7-BB0E-5D3FF324517B}" type="pres">
      <dgm:prSet presAssocID="{751E95A1-683A-400B-8717-2724C4C0C1E4}" presName="rootConnector" presStyleLbl="node4" presStyleIdx="20" presStyleCnt="56"/>
      <dgm:spPr/>
      <dgm:t>
        <a:bodyPr/>
        <a:lstStyle/>
        <a:p>
          <a:endParaRPr lang="tr-TR"/>
        </a:p>
      </dgm:t>
    </dgm:pt>
    <dgm:pt modelId="{FBB593B1-F661-4E4D-ADAC-A3E3B0C619CE}" type="pres">
      <dgm:prSet presAssocID="{751E95A1-683A-400B-8717-2724C4C0C1E4}" presName="hierChild4" presStyleCnt="0"/>
      <dgm:spPr/>
    </dgm:pt>
    <dgm:pt modelId="{414D3D78-59ED-4E5C-A8B0-93EBCDFAFFC1}" type="pres">
      <dgm:prSet presAssocID="{751E95A1-683A-400B-8717-2724C4C0C1E4}" presName="hierChild5" presStyleCnt="0"/>
      <dgm:spPr/>
    </dgm:pt>
    <dgm:pt modelId="{3D28DD69-F8E3-4E9C-93B2-256313D42FFE}" type="pres">
      <dgm:prSet presAssocID="{36C0EEEA-326B-4A9E-8862-50DE28E35879}" presName="Name37" presStyleLbl="parChTrans1D4" presStyleIdx="21" presStyleCnt="56"/>
      <dgm:spPr/>
      <dgm:t>
        <a:bodyPr/>
        <a:lstStyle/>
        <a:p>
          <a:endParaRPr lang="tr-TR"/>
        </a:p>
      </dgm:t>
    </dgm:pt>
    <dgm:pt modelId="{26386DCF-CA05-465A-BC98-4ED5C662F1B5}" type="pres">
      <dgm:prSet presAssocID="{12EA064A-8CC3-4619-9FD5-0082419B6074}" presName="hierRoot2" presStyleCnt="0">
        <dgm:presLayoutVars>
          <dgm:hierBranch val="init"/>
        </dgm:presLayoutVars>
      </dgm:prSet>
      <dgm:spPr/>
    </dgm:pt>
    <dgm:pt modelId="{CB3A4432-B4C8-4F2A-8C4D-4AD6BC613C6C}" type="pres">
      <dgm:prSet presAssocID="{12EA064A-8CC3-4619-9FD5-0082419B6074}" presName="rootComposite" presStyleCnt="0"/>
      <dgm:spPr/>
    </dgm:pt>
    <dgm:pt modelId="{DD4D6429-1959-486B-8C83-B2C3F01CA2A9}" type="pres">
      <dgm:prSet presAssocID="{12EA064A-8CC3-4619-9FD5-0082419B6074}" presName="rootText" presStyleLbl="node4" presStyleIdx="21" presStyleCnt="56" custScaleX="118579" custScaleY="155820">
        <dgm:presLayoutVars>
          <dgm:chPref val="3"/>
        </dgm:presLayoutVars>
      </dgm:prSet>
      <dgm:spPr/>
      <dgm:t>
        <a:bodyPr/>
        <a:lstStyle/>
        <a:p>
          <a:endParaRPr lang="tr-TR"/>
        </a:p>
      </dgm:t>
    </dgm:pt>
    <dgm:pt modelId="{FD09D331-7284-4E65-A878-64C8E5C3CB11}" type="pres">
      <dgm:prSet presAssocID="{12EA064A-8CC3-4619-9FD5-0082419B6074}" presName="rootConnector" presStyleLbl="node4" presStyleIdx="21" presStyleCnt="56"/>
      <dgm:spPr/>
      <dgm:t>
        <a:bodyPr/>
        <a:lstStyle/>
        <a:p>
          <a:endParaRPr lang="tr-TR"/>
        </a:p>
      </dgm:t>
    </dgm:pt>
    <dgm:pt modelId="{61EA35C2-79F1-432C-AA12-06F2C17D9FC9}" type="pres">
      <dgm:prSet presAssocID="{12EA064A-8CC3-4619-9FD5-0082419B6074}" presName="hierChild4" presStyleCnt="0"/>
      <dgm:spPr/>
    </dgm:pt>
    <dgm:pt modelId="{BAC2D6B3-453A-42B3-99CB-7DAE808A9E17}" type="pres">
      <dgm:prSet presAssocID="{12EA064A-8CC3-4619-9FD5-0082419B6074}" presName="hierChild5" presStyleCnt="0"/>
      <dgm:spPr/>
    </dgm:pt>
    <dgm:pt modelId="{88041BC2-E4F7-4785-A432-3E9106AA941B}" type="pres">
      <dgm:prSet presAssocID="{40227270-05DB-4E37-9E95-C5FFAEE344AA}" presName="Name37" presStyleLbl="parChTrans1D4" presStyleIdx="22" presStyleCnt="56"/>
      <dgm:spPr/>
      <dgm:t>
        <a:bodyPr/>
        <a:lstStyle/>
        <a:p>
          <a:endParaRPr lang="tr-TR"/>
        </a:p>
      </dgm:t>
    </dgm:pt>
    <dgm:pt modelId="{D1B7347F-9F38-4AA7-9BA0-19D7FA351400}" type="pres">
      <dgm:prSet presAssocID="{674D51A2-CB06-43D4-8FC5-66580E735D8D}" presName="hierRoot2" presStyleCnt="0">
        <dgm:presLayoutVars>
          <dgm:hierBranch val="init"/>
        </dgm:presLayoutVars>
      </dgm:prSet>
      <dgm:spPr/>
    </dgm:pt>
    <dgm:pt modelId="{CFE7ED44-1F45-425D-8C74-7C57ED400D5E}" type="pres">
      <dgm:prSet presAssocID="{674D51A2-CB06-43D4-8FC5-66580E735D8D}" presName="rootComposite" presStyleCnt="0"/>
      <dgm:spPr/>
    </dgm:pt>
    <dgm:pt modelId="{53C8E187-8431-46AC-B35F-9FF28CB651A1}" type="pres">
      <dgm:prSet presAssocID="{674D51A2-CB06-43D4-8FC5-66580E735D8D}" presName="rootText" presStyleLbl="node4" presStyleIdx="22" presStyleCnt="56" custScaleX="118579" custScaleY="120390">
        <dgm:presLayoutVars>
          <dgm:chPref val="3"/>
        </dgm:presLayoutVars>
      </dgm:prSet>
      <dgm:spPr/>
      <dgm:t>
        <a:bodyPr/>
        <a:lstStyle/>
        <a:p>
          <a:endParaRPr lang="tr-TR"/>
        </a:p>
      </dgm:t>
    </dgm:pt>
    <dgm:pt modelId="{7A5971B3-5203-48F6-9DE0-8EEED758C522}" type="pres">
      <dgm:prSet presAssocID="{674D51A2-CB06-43D4-8FC5-66580E735D8D}" presName="rootConnector" presStyleLbl="node4" presStyleIdx="22" presStyleCnt="56"/>
      <dgm:spPr/>
      <dgm:t>
        <a:bodyPr/>
        <a:lstStyle/>
        <a:p>
          <a:endParaRPr lang="tr-TR"/>
        </a:p>
      </dgm:t>
    </dgm:pt>
    <dgm:pt modelId="{19ABE7D6-7301-426A-98B2-129371248BCC}" type="pres">
      <dgm:prSet presAssocID="{674D51A2-CB06-43D4-8FC5-66580E735D8D}" presName="hierChild4" presStyleCnt="0"/>
      <dgm:spPr/>
    </dgm:pt>
    <dgm:pt modelId="{F79AA71B-94DC-4CB1-B2AF-9FBB90E98DC6}" type="pres">
      <dgm:prSet presAssocID="{674D51A2-CB06-43D4-8FC5-66580E735D8D}" presName="hierChild5" presStyleCnt="0"/>
      <dgm:spPr/>
    </dgm:pt>
    <dgm:pt modelId="{6CC1AA5A-161C-45E0-B9C4-E030DA03AA8B}" type="pres">
      <dgm:prSet presAssocID="{C05A8A67-B5D4-4F20-AB4E-13EB59936CE6}" presName="Name37" presStyleLbl="parChTrans1D4" presStyleIdx="23" presStyleCnt="56"/>
      <dgm:spPr/>
      <dgm:t>
        <a:bodyPr/>
        <a:lstStyle/>
        <a:p>
          <a:endParaRPr lang="tr-TR"/>
        </a:p>
      </dgm:t>
    </dgm:pt>
    <dgm:pt modelId="{A7B0016D-02D6-4886-84C0-BBD218409CC7}" type="pres">
      <dgm:prSet presAssocID="{1A751770-9562-4B1B-9B27-DF6D1894FC48}" presName="hierRoot2" presStyleCnt="0">
        <dgm:presLayoutVars>
          <dgm:hierBranch val="init"/>
        </dgm:presLayoutVars>
      </dgm:prSet>
      <dgm:spPr/>
    </dgm:pt>
    <dgm:pt modelId="{B44F8484-AB9A-4EC1-9400-D96B216067CD}" type="pres">
      <dgm:prSet presAssocID="{1A751770-9562-4B1B-9B27-DF6D1894FC48}" presName="rootComposite" presStyleCnt="0"/>
      <dgm:spPr/>
    </dgm:pt>
    <dgm:pt modelId="{EE57F8F1-CCDA-432C-9E96-7B3C295D70FB}" type="pres">
      <dgm:prSet presAssocID="{1A751770-9562-4B1B-9B27-DF6D1894FC48}" presName="rootText" presStyleLbl="node4" presStyleIdx="23" presStyleCnt="56" custScaleX="118579">
        <dgm:presLayoutVars>
          <dgm:chPref val="3"/>
        </dgm:presLayoutVars>
      </dgm:prSet>
      <dgm:spPr/>
      <dgm:t>
        <a:bodyPr/>
        <a:lstStyle/>
        <a:p>
          <a:endParaRPr lang="tr-TR"/>
        </a:p>
      </dgm:t>
    </dgm:pt>
    <dgm:pt modelId="{0EA6C0D8-B3A8-41E2-88D1-9C0EEF9835D5}" type="pres">
      <dgm:prSet presAssocID="{1A751770-9562-4B1B-9B27-DF6D1894FC48}" presName="rootConnector" presStyleLbl="node4" presStyleIdx="23" presStyleCnt="56"/>
      <dgm:spPr/>
      <dgm:t>
        <a:bodyPr/>
        <a:lstStyle/>
        <a:p>
          <a:endParaRPr lang="tr-TR"/>
        </a:p>
      </dgm:t>
    </dgm:pt>
    <dgm:pt modelId="{65E307F4-35AD-4F14-9795-FA2C7445A233}" type="pres">
      <dgm:prSet presAssocID="{1A751770-9562-4B1B-9B27-DF6D1894FC48}" presName="hierChild4" presStyleCnt="0"/>
      <dgm:spPr/>
    </dgm:pt>
    <dgm:pt modelId="{4F75F783-28C6-47BA-B885-A1CF1AE26860}" type="pres">
      <dgm:prSet presAssocID="{1A751770-9562-4B1B-9B27-DF6D1894FC48}" presName="hierChild5" presStyleCnt="0"/>
      <dgm:spPr/>
    </dgm:pt>
    <dgm:pt modelId="{D005C73A-249F-405F-8093-E1B17324C54E}" type="pres">
      <dgm:prSet presAssocID="{088C8172-BF48-47A3-92C9-BAA3B5B80DC0}" presName="hierChild5" presStyleCnt="0"/>
      <dgm:spPr/>
    </dgm:pt>
    <dgm:pt modelId="{AED7E8EF-C3E4-4AA1-9032-8F103C183863}" type="pres">
      <dgm:prSet presAssocID="{99994473-2E43-49F1-82D3-29CD46A6613A}" presName="hierChild5" presStyleCnt="0"/>
      <dgm:spPr/>
    </dgm:pt>
    <dgm:pt modelId="{F063701D-2E70-41B5-B838-4F9A4C758828}" type="pres">
      <dgm:prSet presAssocID="{7AC4D0D6-AB30-4A16-B624-3CE5481BEFC0}" presName="Name37" presStyleLbl="parChTrans1D2" presStyleIdx="1" presStyleCnt="6"/>
      <dgm:spPr/>
      <dgm:t>
        <a:bodyPr/>
        <a:lstStyle/>
        <a:p>
          <a:endParaRPr lang="tr-TR"/>
        </a:p>
      </dgm:t>
    </dgm:pt>
    <dgm:pt modelId="{EDEAE9A2-68E5-4B8E-96CA-48C0C7D4813E}" type="pres">
      <dgm:prSet presAssocID="{609C6040-D873-43D0-B8BA-EFF6D1934E09}" presName="hierRoot2" presStyleCnt="0">
        <dgm:presLayoutVars>
          <dgm:hierBranch val="init"/>
        </dgm:presLayoutVars>
      </dgm:prSet>
      <dgm:spPr/>
    </dgm:pt>
    <dgm:pt modelId="{D3FD3579-6EDF-40CC-AE69-F44DFC939D15}" type="pres">
      <dgm:prSet presAssocID="{609C6040-D873-43D0-B8BA-EFF6D1934E09}" presName="rootComposite" presStyleCnt="0"/>
      <dgm:spPr/>
    </dgm:pt>
    <dgm:pt modelId="{35E88083-CC5F-4586-8BC7-78DAB5D70CEF}" type="pres">
      <dgm:prSet presAssocID="{609C6040-D873-43D0-B8BA-EFF6D1934E09}" presName="rootText" presStyleLbl="node2" presStyleIdx="1" presStyleCnt="2" custScaleX="244433">
        <dgm:presLayoutVars>
          <dgm:chPref val="3"/>
        </dgm:presLayoutVars>
      </dgm:prSet>
      <dgm:spPr/>
      <dgm:t>
        <a:bodyPr/>
        <a:lstStyle/>
        <a:p>
          <a:endParaRPr lang="tr-TR"/>
        </a:p>
      </dgm:t>
    </dgm:pt>
    <dgm:pt modelId="{E283D373-8EF1-4E3F-9DE2-B009684B9C5B}" type="pres">
      <dgm:prSet presAssocID="{609C6040-D873-43D0-B8BA-EFF6D1934E09}" presName="rootConnector" presStyleLbl="node2" presStyleIdx="1" presStyleCnt="2"/>
      <dgm:spPr/>
      <dgm:t>
        <a:bodyPr/>
        <a:lstStyle/>
        <a:p>
          <a:endParaRPr lang="tr-TR"/>
        </a:p>
      </dgm:t>
    </dgm:pt>
    <dgm:pt modelId="{B4DEC101-BFAA-4B35-9D2A-3ACA7B4A3903}" type="pres">
      <dgm:prSet presAssocID="{609C6040-D873-43D0-B8BA-EFF6D1934E09}" presName="hierChild4" presStyleCnt="0"/>
      <dgm:spPr/>
    </dgm:pt>
    <dgm:pt modelId="{D6FF6828-40D0-4812-9A04-EAFF3857C875}" type="pres">
      <dgm:prSet presAssocID="{B42F5C02-9CB0-4140-B558-C42DB281761E}" presName="Name37" presStyleLbl="parChTrans1D3" presStyleIdx="5" presStyleCnt="11"/>
      <dgm:spPr/>
      <dgm:t>
        <a:bodyPr/>
        <a:lstStyle/>
        <a:p>
          <a:endParaRPr lang="tr-TR"/>
        </a:p>
      </dgm:t>
    </dgm:pt>
    <dgm:pt modelId="{391B693B-8879-4D11-9F85-4F46B13A311A}" type="pres">
      <dgm:prSet presAssocID="{E883311A-58F1-43C0-BDF1-E905B14923D2}" presName="hierRoot2" presStyleCnt="0">
        <dgm:presLayoutVars>
          <dgm:hierBranch val="init"/>
        </dgm:presLayoutVars>
      </dgm:prSet>
      <dgm:spPr/>
    </dgm:pt>
    <dgm:pt modelId="{30232C5D-E89A-4824-B213-48EA4C3B93C3}" type="pres">
      <dgm:prSet presAssocID="{E883311A-58F1-43C0-BDF1-E905B14923D2}" presName="rootComposite" presStyleCnt="0"/>
      <dgm:spPr/>
    </dgm:pt>
    <dgm:pt modelId="{E95FFD38-9874-4015-83F1-336B22014284}" type="pres">
      <dgm:prSet presAssocID="{E883311A-58F1-43C0-BDF1-E905B14923D2}" presName="rootText" presStyleLbl="node3" presStyleIdx="5" presStyleCnt="11" custScaleX="122030">
        <dgm:presLayoutVars>
          <dgm:chPref val="3"/>
        </dgm:presLayoutVars>
      </dgm:prSet>
      <dgm:spPr/>
      <dgm:t>
        <a:bodyPr/>
        <a:lstStyle/>
        <a:p>
          <a:endParaRPr lang="tr-TR"/>
        </a:p>
      </dgm:t>
    </dgm:pt>
    <dgm:pt modelId="{FD19542D-BDED-490F-8658-F06E04631115}" type="pres">
      <dgm:prSet presAssocID="{E883311A-58F1-43C0-BDF1-E905B14923D2}" presName="rootConnector" presStyleLbl="node3" presStyleIdx="5" presStyleCnt="11"/>
      <dgm:spPr/>
      <dgm:t>
        <a:bodyPr/>
        <a:lstStyle/>
        <a:p>
          <a:endParaRPr lang="tr-TR"/>
        </a:p>
      </dgm:t>
    </dgm:pt>
    <dgm:pt modelId="{C7195A15-2D3D-4A31-8ABD-FCBE4971A768}" type="pres">
      <dgm:prSet presAssocID="{E883311A-58F1-43C0-BDF1-E905B14923D2}" presName="hierChild4" presStyleCnt="0"/>
      <dgm:spPr/>
    </dgm:pt>
    <dgm:pt modelId="{51B07BC3-2201-4EC5-AD3D-5B75C0C1E754}" type="pres">
      <dgm:prSet presAssocID="{023389AF-EC88-40EC-8DB0-507EF04E3F3B}" presName="Name37" presStyleLbl="parChTrans1D4" presStyleIdx="24" presStyleCnt="56"/>
      <dgm:spPr/>
      <dgm:t>
        <a:bodyPr/>
        <a:lstStyle/>
        <a:p>
          <a:endParaRPr lang="tr-TR"/>
        </a:p>
      </dgm:t>
    </dgm:pt>
    <dgm:pt modelId="{332F6B8A-774B-4804-9E6F-48C674195BBC}" type="pres">
      <dgm:prSet presAssocID="{416CEC48-E214-4015-8C6E-69D4C8A45281}" presName="hierRoot2" presStyleCnt="0">
        <dgm:presLayoutVars>
          <dgm:hierBranch val="init"/>
        </dgm:presLayoutVars>
      </dgm:prSet>
      <dgm:spPr/>
    </dgm:pt>
    <dgm:pt modelId="{3DE3FCEA-C6A3-4B08-B305-003573F5D633}" type="pres">
      <dgm:prSet presAssocID="{416CEC48-E214-4015-8C6E-69D4C8A45281}" presName="rootComposite" presStyleCnt="0"/>
      <dgm:spPr/>
    </dgm:pt>
    <dgm:pt modelId="{BC89AB6F-45B7-4C0F-93B8-3E80446BB100}" type="pres">
      <dgm:prSet presAssocID="{416CEC48-E214-4015-8C6E-69D4C8A45281}" presName="rootText" presStyleLbl="node4" presStyleIdx="24" presStyleCnt="56" custScaleX="117429">
        <dgm:presLayoutVars>
          <dgm:chPref val="3"/>
        </dgm:presLayoutVars>
      </dgm:prSet>
      <dgm:spPr/>
      <dgm:t>
        <a:bodyPr/>
        <a:lstStyle/>
        <a:p>
          <a:endParaRPr lang="tr-TR"/>
        </a:p>
      </dgm:t>
    </dgm:pt>
    <dgm:pt modelId="{B66DBE18-09DC-40A1-B2D4-F2BE81A8FD53}" type="pres">
      <dgm:prSet presAssocID="{416CEC48-E214-4015-8C6E-69D4C8A45281}" presName="rootConnector" presStyleLbl="node4" presStyleIdx="24" presStyleCnt="56"/>
      <dgm:spPr/>
      <dgm:t>
        <a:bodyPr/>
        <a:lstStyle/>
        <a:p>
          <a:endParaRPr lang="tr-TR"/>
        </a:p>
      </dgm:t>
    </dgm:pt>
    <dgm:pt modelId="{961970A9-45CE-4C1D-9EE4-60C32CED158C}" type="pres">
      <dgm:prSet presAssocID="{416CEC48-E214-4015-8C6E-69D4C8A45281}" presName="hierChild4" presStyleCnt="0"/>
      <dgm:spPr/>
    </dgm:pt>
    <dgm:pt modelId="{727552F1-B144-4E46-A148-A8CA78DF8C09}" type="pres">
      <dgm:prSet presAssocID="{416CEC48-E214-4015-8C6E-69D4C8A45281}" presName="hierChild5" presStyleCnt="0"/>
      <dgm:spPr/>
    </dgm:pt>
    <dgm:pt modelId="{BEA97DD3-F44B-4E78-8AC2-C1C70282207E}" type="pres">
      <dgm:prSet presAssocID="{57A5474C-395F-4ED0-A994-7397954D1DF4}" presName="Name37" presStyleLbl="parChTrans1D4" presStyleIdx="25" presStyleCnt="56"/>
      <dgm:spPr/>
      <dgm:t>
        <a:bodyPr/>
        <a:lstStyle/>
        <a:p>
          <a:endParaRPr lang="tr-TR"/>
        </a:p>
      </dgm:t>
    </dgm:pt>
    <dgm:pt modelId="{69A97903-6B2E-46B4-BC7F-70C5175602A2}" type="pres">
      <dgm:prSet presAssocID="{5E9FE79E-DD27-41D9-AFED-0B3881CF9F67}" presName="hierRoot2" presStyleCnt="0">
        <dgm:presLayoutVars>
          <dgm:hierBranch val="init"/>
        </dgm:presLayoutVars>
      </dgm:prSet>
      <dgm:spPr/>
    </dgm:pt>
    <dgm:pt modelId="{339266AA-955A-4C51-9769-DD2107CC8B5D}" type="pres">
      <dgm:prSet presAssocID="{5E9FE79E-DD27-41D9-AFED-0B3881CF9F67}" presName="rootComposite" presStyleCnt="0"/>
      <dgm:spPr/>
    </dgm:pt>
    <dgm:pt modelId="{1EBAA58C-809B-42C7-8D90-5D3B8B4B33F3}" type="pres">
      <dgm:prSet presAssocID="{5E9FE79E-DD27-41D9-AFED-0B3881CF9F67}" presName="rootText" presStyleLbl="node4" presStyleIdx="25" presStyleCnt="56" custScaleX="118725">
        <dgm:presLayoutVars>
          <dgm:chPref val="3"/>
        </dgm:presLayoutVars>
      </dgm:prSet>
      <dgm:spPr/>
      <dgm:t>
        <a:bodyPr/>
        <a:lstStyle/>
        <a:p>
          <a:endParaRPr lang="tr-TR"/>
        </a:p>
      </dgm:t>
    </dgm:pt>
    <dgm:pt modelId="{560129B9-506B-4C49-AB34-BF1F659A9789}" type="pres">
      <dgm:prSet presAssocID="{5E9FE79E-DD27-41D9-AFED-0B3881CF9F67}" presName="rootConnector" presStyleLbl="node4" presStyleIdx="25" presStyleCnt="56"/>
      <dgm:spPr/>
      <dgm:t>
        <a:bodyPr/>
        <a:lstStyle/>
        <a:p>
          <a:endParaRPr lang="tr-TR"/>
        </a:p>
      </dgm:t>
    </dgm:pt>
    <dgm:pt modelId="{B1A05FB3-456D-4AD0-BD00-296FE92D8F5F}" type="pres">
      <dgm:prSet presAssocID="{5E9FE79E-DD27-41D9-AFED-0B3881CF9F67}" presName="hierChild4" presStyleCnt="0"/>
      <dgm:spPr/>
    </dgm:pt>
    <dgm:pt modelId="{85BD1AC7-92CE-4E88-8C7A-0DE114602067}" type="pres">
      <dgm:prSet presAssocID="{5E9FE79E-DD27-41D9-AFED-0B3881CF9F67}" presName="hierChild5" presStyleCnt="0"/>
      <dgm:spPr/>
    </dgm:pt>
    <dgm:pt modelId="{540D71A9-8119-49F1-95C0-4B399D133315}" type="pres">
      <dgm:prSet presAssocID="{3FDDE85B-5464-405B-9FAA-B0570B931591}" presName="Name37" presStyleLbl="parChTrans1D4" presStyleIdx="26" presStyleCnt="56"/>
      <dgm:spPr/>
      <dgm:t>
        <a:bodyPr/>
        <a:lstStyle/>
        <a:p>
          <a:endParaRPr lang="tr-TR"/>
        </a:p>
      </dgm:t>
    </dgm:pt>
    <dgm:pt modelId="{DDD9CD73-06BD-4305-8666-35931591B11C}" type="pres">
      <dgm:prSet presAssocID="{64E3A6A4-24E0-4D6E-9A2A-F2CEFBAA3229}" presName="hierRoot2" presStyleCnt="0">
        <dgm:presLayoutVars>
          <dgm:hierBranch val="init"/>
        </dgm:presLayoutVars>
      </dgm:prSet>
      <dgm:spPr/>
    </dgm:pt>
    <dgm:pt modelId="{AFA3CEA2-C6B6-451C-99D0-EDAF576BC23B}" type="pres">
      <dgm:prSet presAssocID="{64E3A6A4-24E0-4D6E-9A2A-F2CEFBAA3229}" presName="rootComposite" presStyleCnt="0"/>
      <dgm:spPr/>
    </dgm:pt>
    <dgm:pt modelId="{D0220285-8769-4F04-B0A4-DF4827A80904}" type="pres">
      <dgm:prSet presAssocID="{64E3A6A4-24E0-4D6E-9A2A-F2CEFBAA3229}" presName="rootText" presStyleLbl="node4" presStyleIdx="26" presStyleCnt="56" custScaleX="118725">
        <dgm:presLayoutVars>
          <dgm:chPref val="3"/>
        </dgm:presLayoutVars>
      </dgm:prSet>
      <dgm:spPr/>
      <dgm:t>
        <a:bodyPr/>
        <a:lstStyle/>
        <a:p>
          <a:endParaRPr lang="tr-TR"/>
        </a:p>
      </dgm:t>
    </dgm:pt>
    <dgm:pt modelId="{6FA966E9-F6A2-4A51-AE59-2EC549447DAE}" type="pres">
      <dgm:prSet presAssocID="{64E3A6A4-24E0-4D6E-9A2A-F2CEFBAA3229}" presName="rootConnector" presStyleLbl="node4" presStyleIdx="26" presStyleCnt="56"/>
      <dgm:spPr/>
      <dgm:t>
        <a:bodyPr/>
        <a:lstStyle/>
        <a:p>
          <a:endParaRPr lang="tr-TR"/>
        </a:p>
      </dgm:t>
    </dgm:pt>
    <dgm:pt modelId="{2D0ECEBA-FFAD-4FCA-8778-C6E2C6E576D9}" type="pres">
      <dgm:prSet presAssocID="{64E3A6A4-24E0-4D6E-9A2A-F2CEFBAA3229}" presName="hierChild4" presStyleCnt="0"/>
      <dgm:spPr/>
    </dgm:pt>
    <dgm:pt modelId="{CD6786F1-5A40-4553-8F90-79690B91CB50}" type="pres">
      <dgm:prSet presAssocID="{64E3A6A4-24E0-4D6E-9A2A-F2CEFBAA3229}" presName="hierChild5" presStyleCnt="0"/>
      <dgm:spPr/>
    </dgm:pt>
    <dgm:pt modelId="{F96E22FB-4BCC-4F67-965A-A117B4538F6C}" type="pres">
      <dgm:prSet presAssocID="{9C56425A-81B8-425A-AF83-4A80643AEB1C}" presName="Name37" presStyleLbl="parChTrans1D4" presStyleIdx="27" presStyleCnt="56"/>
      <dgm:spPr/>
      <dgm:t>
        <a:bodyPr/>
        <a:lstStyle/>
        <a:p>
          <a:endParaRPr lang="tr-TR"/>
        </a:p>
      </dgm:t>
    </dgm:pt>
    <dgm:pt modelId="{94387D4F-5E18-4625-9C0D-5CC51354DEE8}" type="pres">
      <dgm:prSet presAssocID="{6E2AD882-9368-4C80-AA17-CFCD80DFD9CF}" presName="hierRoot2" presStyleCnt="0">
        <dgm:presLayoutVars>
          <dgm:hierBranch val="init"/>
        </dgm:presLayoutVars>
      </dgm:prSet>
      <dgm:spPr/>
    </dgm:pt>
    <dgm:pt modelId="{A91AF8EB-AD32-4EF8-83B2-8374C95E73E0}" type="pres">
      <dgm:prSet presAssocID="{6E2AD882-9368-4C80-AA17-CFCD80DFD9CF}" presName="rootComposite" presStyleCnt="0"/>
      <dgm:spPr/>
    </dgm:pt>
    <dgm:pt modelId="{43A6C74F-4111-48FE-8ED3-A9770FBE85CB}" type="pres">
      <dgm:prSet presAssocID="{6E2AD882-9368-4C80-AA17-CFCD80DFD9CF}" presName="rootText" presStyleLbl="node4" presStyleIdx="27" presStyleCnt="56" custScaleX="118725">
        <dgm:presLayoutVars>
          <dgm:chPref val="3"/>
        </dgm:presLayoutVars>
      </dgm:prSet>
      <dgm:spPr/>
      <dgm:t>
        <a:bodyPr/>
        <a:lstStyle/>
        <a:p>
          <a:endParaRPr lang="tr-TR"/>
        </a:p>
      </dgm:t>
    </dgm:pt>
    <dgm:pt modelId="{E6CA4E6E-55AA-4254-BFD0-6A4689875CD2}" type="pres">
      <dgm:prSet presAssocID="{6E2AD882-9368-4C80-AA17-CFCD80DFD9CF}" presName="rootConnector" presStyleLbl="node4" presStyleIdx="27" presStyleCnt="56"/>
      <dgm:spPr/>
      <dgm:t>
        <a:bodyPr/>
        <a:lstStyle/>
        <a:p>
          <a:endParaRPr lang="tr-TR"/>
        </a:p>
      </dgm:t>
    </dgm:pt>
    <dgm:pt modelId="{719D5699-6302-49A5-B665-894CD71533F3}" type="pres">
      <dgm:prSet presAssocID="{6E2AD882-9368-4C80-AA17-CFCD80DFD9CF}" presName="hierChild4" presStyleCnt="0"/>
      <dgm:spPr/>
    </dgm:pt>
    <dgm:pt modelId="{803AECA9-C0E8-4E30-9503-333A9E6B261B}" type="pres">
      <dgm:prSet presAssocID="{6E2AD882-9368-4C80-AA17-CFCD80DFD9CF}" presName="hierChild5" presStyleCnt="0"/>
      <dgm:spPr/>
    </dgm:pt>
    <dgm:pt modelId="{D6D5DD5F-2E9C-4858-BE53-88ECCD66559E}" type="pres">
      <dgm:prSet presAssocID="{996AE2C3-6531-4C8C-85DA-E37EB0AE6AE7}" presName="Name37" presStyleLbl="parChTrans1D4" presStyleIdx="28" presStyleCnt="56"/>
      <dgm:spPr/>
      <dgm:t>
        <a:bodyPr/>
        <a:lstStyle/>
        <a:p>
          <a:endParaRPr lang="tr-TR"/>
        </a:p>
      </dgm:t>
    </dgm:pt>
    <dgm:pt modelId="{436E4C40-4164-4A59-BF78-E0AC0BBD591B}" type="pres">
      <dgm:prSet presAssocID="{E653F506-E5FC-4360-BBFE-696A4FC7CFFC}" presName="hierRoot2" presStyleCnt="0">
        <dgm:presLayoutVars>
          <dgm:hierBranch val="init"/>
        </dgm:presLayoutVars>
      </dgm:prSet>
      <dgm:spPr/>
    </dgm:pt>
    <dgm:pt modelId="{5834CEFD-59BA-4466-A732-790103B4CA93}" type="pres">
      <dgm:prSet presAssocID="{E653F506-E5FC-4360-BBFE-696A4FC7CFFC}" presName="rootComposite" presStyleCnt="0"/>
      <dgm:spPr/>
    </dgm:pt>
    <dgm:pt modelId="{257B2F7E-AC7D-4EE8-ADAF-CE561052367E}" type="pres">
      <dgm:prSet presAssocID="{E653F506-E5FC-4360-BBFE-696A4FC7CFFC}" presName="rootText" presStyleLbl="node4" presStyleIdx="28" presStyleCnt="56" custScaleX="118725">
        <dgm:presLayoutVars>
          <dgm:chPref val="3"/>
        </dgm:presLayoutVars>
      </dgm:prSet>
      <dgm:spPr/>
      <dgm:t>
        <a:bodyPr/>
        <a:lstStyle/>
        <a:p>
          <a:endParaRPr lang="tr-TR"/>
        </a:p>
      </dgm:t>
    </dgm:pt>
    <dgm:pt modelId="{82407424-A6CF-4252-9BE4-E5984E5115A4}" type="pres">
      <dgm:prSet presAssocID="{E653F506-E5FC-4360-BBFE-696A4FC7CFFC}" presName="rootConnector" presStyleLbl="node4" presStyleIdx="28" presStyleCnt="56"/>
      <dgm:spPr/>
      <dgm:t>
        <a:bodyPr/>
        <a:lstStyle/>
        <a:p>
          <a:endParaRPr lang="tr-TR"/>
        </a:p>
      </dgm:t>
    </dgm:pt>
    <dgm:pt modelId="{1DD751FD-8322-4EFF-9FF3-BC454400920E}" type="pres">
      <dgm:prSet presAssocID="{E653F506-E5FC-4360-BBFE-696A4FC7CFFC}" presName="hierChild4" presStyleCnt="0"/>
      <dgm:spPr/>
    </dgm:pt>
    <dgm:pt modelId="{5A8EF613-1B7F-4284-86C4-302DBD2E3B21}" type="pres">
      <dgm:prSet presAssocID="{E653F506-E5FC-4360-BBFE-696A4FC7CFFC}" presName="hierChild5" presStyleCnt="0"/>
      <dgm:spPr/>
    </dgm:pt>
    <dgm:pt modelId="{702AA86A-249B-4E8C-A81E-02BCC1EB81A3}" type="pres">
      <dgm:prSet presAssocID="{8F6D8954-BE24-43F8-A72B-5483EE5258F5}" presName="Name37" presStyleLbl="parChTrans1D4" presStyleIdx="29" presStyleCnt="56"/>
      <dgm:spPr/>
      <dgm:t>
        <a:bodyPr/>
        <a:lstStyle/>
        <a:p>
          <a:endParaRPr lang="tr-TR"/>
        </a:p>
      </dgm:t>
    </dgm:pt>
    <dgm:pt modelId="{84A15EF6-4A0D-4CA8-A143-284FF078DDEC}" type="pres">
      <dgm:prSet presAssocID="{F6EFFE1F-6B48-402C-B01B-3B8B61825B18}" presName="hierRoot2" presStyleCnt="0">
        <dgm:presLayoutVars>
          <dgm:hierBranch val="init"/>
        </dgm:presLayoutVars>
      </dgm:prSet>
      <dgm:spPr/>
    </dgm:pt>
    <dgm:pt modelId="{2814D5C9-AB61-4B6A-AE89-72129C3225CB}" type="pres">
      <dgm:prSet presAssocID="{F6EFFE1F-6B48-402C-B01B-3B8B61825B18}" presName="rootComposite" presStyleCnt="0"/>
      <dgm:spPr/>
    </dgm:pt>
    <dgm:pt modelId="{00147DD0-EDAB-4E6F-8AE5-F21783FF0245}" type="pres">
      <dgm:prSet presAssocID="{F6EFFE1F-6B48-402C-B01B-3B8B61825B18}" presName="rootText" presStyleLbl="node4" presStyleIdx="29" presStyleCnt="56" custScaleX="118725">
        <dgm:presLayoutVars>
          <dgm:chPref val="3"/>
        </dgm:presLayoutVars>
      </dgm:prSet>
      <dgm:spPr/>
      <dgm:t>
        <a:bodyPr/>
        <a:lstStyle/>
        <a:p>
          <a:endParaRPr lang="tr-TR"/>
        </a:p>
      </dgm:t>
    </dgm:pt>
    <dgm:pt modelId="{2293565A-5EA9-4B9D-B53D-08D040814CCD}" type="pres">
      <dgm:prSet presAssocID="{F6EFFE1F-6B48-402C-B01B-3B8B61825B18}" presName="rootConnector" presStyleLbl="node4" presStyleIdx="29" presStyleCnt="56"/>
      <dgm:spPr/>
      <dgm:t>
        <a:bodyPr/>
        <a:lstStyle/>
        <a:p>
          <a:endParaRPr lang="tr-TR"/>
        </a:p>
      </dgm:t>
    </dgm:pt>
    <dgm:pt modelId="{3357F784-F8A4-4A1F-9780-8084F9FBE730}" type="pres">
      <dgm:prSet presAssocID="{F6EFFE1F-6B48-402C-B01B-3B8B61825B18}" presName="hierChild4" presStyleCnt="0"/>
      <dgm:spPr/>
    </dgm:pt>
    <dgm:pt modelId="{E87E8410-2FA3-4600-BC4A-D9A3B88BE30F}" type="pres">
      <dgm:prSet presAssocID="{F6EFFE1F-6B48-402C-B01B-3B8B61825B18}" presName="hierChild5" presStyleCnt="0"/>
      <dgm:spPr/>
    </dgm:pt>
    <dgm:pt modelId="{2E8053C4-EBB1-4A12-86D0-3913FB21A757}" type="pres">
      <dgm:prSet presAssocID="{29DCAB08-F9B3-4704-8EC8-F9AF479E2FAC}" presName="Name37" presStyleLbl="parChTrans1D4" presStyleIdx="30" presStyleCnt="56"/>
      <dgm:spPr/>
      <dgm:t>
        <a:bodyPr/>
        <a:lstStyle/>
        <a:p>
          <a:endParaRPr lang="tr-TR"/>
        </a:p>
      </dgm:t>
    </dgm:pt>
    <dgm:pt modelId="{BD1BB391-4395-4E4B-A532-C966FE4E74E7}" type="pres">
      <dgm:prSet presAssocID="{2F47CD97-FF8C-444E-8DFB-D5358D61D23F}" presName="hierRoot2" presStyleCnt="0">
        <dgm:presLayoutVars>
          <dgm:hierBranch val="init"/>
        </dgm:presLayoutVars>
      </dgm:prSet>
      <dgm:spPr/>
    </dgm:pt>
    <dgm:pt modelId="{72859D4D-BF40-4A36-8421-AA25C4DE05B9}" type="pres">
      <dgm:prSet presAssocID="{2F47CD97-FF8C-444E-8DFB-D5358D61D23F}" presName="rootComposite" presStyleCnt="0"/>
      <dgm:spPr/>
    </dgm:pt>
    <dgm:pt modelId="{476CDE72-3290-448A-937F-F2B163EC05B4}" type="pres">
      <dgm:prSet presAssocID="{2F47CD97-FF8C-444E-8DFB-D5358D61D23F}" presName="rootText" presStyleLbl="node4" presStyleIdx="30" presStyleCnt="56" custScaleX="118725">
        <dgm:presLayoutVars>
          <dgm:chPref val="3"/>
        </dgm:presLayoutVars>
      </dgm:prSet>
      <dgm:spPr/>
      <dgm:t>
        <a:bodyPr/>
        <a:lstStyle/>
        <a:p>
          <a:endParaRPr lang="tr-TR"/>
        </a:p>
      </dgm:t>
    </dgm:pt>
    <dgm:pt modelId="{82113CF6-DC9F-4147-AB3D-10437765E1CC}" type="pres">
      <dgm:prSet presAssocID="{2F47CD97-FF8C-444E-8DFB-D5358D61D23F}" presName="rootConnector" presStyleLbl="node4" presStyleIdx="30" presStyleCnt="56"/>
      <dgm:spPr/>
      <dgm:t>
        <a:bodyPr/>
        <a:lstStyle/>
        <a:p>
          <a:endParaRPr lang="tr-TR"/>
        </a:p>
      </dgm:t>
    </dgm:pt>
    <dgm:pt modelId="{A5189903-F78A-4BBE-929D-DF16C5CEE623}" type="pres">
      <dgm:prSet presAssocID="{2F47CD97-FF8C-444E-8DFB-D5358D61D23F}" presName="hierChild4" presStyleCnt="0"/>
      <dgm:spPr/>
    </dgm:pt>
    <dgm:pt modelId="{807C7039-9762-411D-BC9A-E64F1075BE66}" type="pres">
      <dgm:prSet presAssocID="{2F47CD97-FF8C-444E-8DFB-D5358D61D23F}" presName="hierChild5" presStyleCnt="0"/>
      <dgm:spPr/>
    </dgm:pt>
    <dgm:pt modelId="{71A64FC1-43E3-4441-BDDC-A6F6218FFAE5}" type="pres">
      <dgm:prSet presAssocID="{D9346E01-3975-4CD4-BC3C-B2E92864AF3F}" presName="Name37" presStyleLbl="parChTrans1D4" presStyleIdx="31" presStyleCnt="56"/>
      <dgm:spPr/>
      <dgm:t>
        <a:bodyPr/>
        <a:lstStyle/>
        <a:p>
          <a:endParaRPr lang="tr-TR"/>
        </a:p>
      </dgm:t>
    </dgm:pt>
    <dgm:pt modelId="{CD576FF1-B6EA-4CCC-ACDD-12E1AFD496D2}" type="pres">
      <dgm:prSet presAssocID="{EC9C8504-0E3F-4B20-BC18-3CFA5365716C}" presName="hierRoot2" presStyleCnt="0">
        <dgm:presLayoutVars>
          <dgm:hierBranch val="init"/>
        </dgm:presLayoutVars>
      </dgm:prSet>
      <dgm:spPr/>
    </dgm:pt>
    <dgm:pt modelId="{F64059E1-8064-4957-A5DB-A8FEB0FA2D83}" type="pres">
      <dgm:prSet presAssocID="{EC9C8504-0E3F-4B20-BC18-3CFA5365716C}" presName="rootComposite" presStyleCnt="0"/>
      <dgm:spPr/>
    </dgm:pt>
    <dgm:pt modelId="{032F31ED-B444-4148-8080-DC8FC7D3DB20}" type="pres">
      <dgm:prSet presAssocID="{EC9C8504-0E3F-4B20-BC18-3CFA5365716C}" presName="rootText" presStyleLbl="node4" presStyleIdx="31" presStyleCnt="56" custScaleX="118725">
        <dgm:presLayoutVars>
          <dgm:chPref val="3"/>
        </dgm:presLayoutVars>
      </dgm:prSet>
      <dgm:spPr/>
      <dgm:t>
        <a:bodyPr/>
        <a:lstStyle/>
        <a:p>
          <a:endParaRPr lang="tr-TR"/>
        </a:p>
      </dgm:t>
    </dgm:pt>
    <dgm:pt modelId="{B6EB0BC2-D975-435A-80DF-860351E2E034}" type="pres">
      <dgm:prSet presAssocID="{EC9C8504-0E3F-4B20-BC18-3CFA5365716C}" presName="rootConnector" presStyleLbl="node4" presStyleIdx="31" presStyleCnt="56"/>
      <dgm:spPr/>
      <dgm:t>
        <a:bodyPr/>
        <a:lstStyle/>
        <a:p>
          <a:endParaRPr lang="tr-TR"/>
        </a:p>
      </dgm:t>
    </dgm:pt>
    <dgm:pt modelId="{61AA600D-B872-4359-BAF7-A8884ABFC061}" type="pres">
      <dgm:prSet presAssocID="{EC9C8504-0E3F-4B20-BC18-3CFA5365716C}" presName="hierChild4" presStyleCnt="0"/>
      <dgm:spPr/>
    </dgm:pt>
    <dgm:pt modelId="{BA6BCA9E-2B65-4024-8661-1DF55DB87742}" type="pres">
      <dgm:prSet presAssocID="{EC9C8504-0E3F-4B20-BC18-3CFA5365716C}" presName="hierChild5" presStyleCnt="0"/>
      <dgm:spPr/>
    </dgm:pt>
    <dgm:pt modelId="{69C3D240-B47E-45AD-8D81-3BE7BB1CD609}" type="pres">
      <dgm:prSet presAssocID="{91B769E1-6CD7-446D-BCCC-D97A7958972F}" presName="Name37" presStyleLbl="parChTrans1D4" presStyleIdx="32" presStyleCnt="56"/>
      <dgm:spPr/>
      <dgm:t>
        <a:bodyPr/>
        <a:lstStyle/>
        <a:p>
          <a:endParaRPr lang="tr-TR"/>
        </a:p>
      </dgm:t>
    </dgm:pt>
    <dgm:pt modelId="{D8157009-AC3B-4C97-9490-AA0C7E54A979}" type="pres">
      <dgm:prSet presAssocID="{0EDEAA2A-B0B2-4E07-A2C0-0B4D53BDC496}" presName="hierRoot2" presStyleCnt="0">
        <dgm:presLayoutVars>
          <dgm:hierBranch val="init"/>
        </dgm:presLayoutVars>
      </dgm:prSet>
      <dgm:spPr/>
    </dgm:pt>
    <dgm:pt modelId="{D4B4296B-9B4B-414F-AACE-B57694F6CB54}" type="pres">
      <dgm:prSet presAssocID="{0EDEAA2A-B0B2-4E07-A2C0-0B4D53BDC496}" presName="rootComposite" presStyleCnt="0"/>
      <dgm:spPr/>
    </dgm:pt>
    <dgm:pt modelId="{CFB59F79-8585-4D89-9BBE-BD3D6FBD420B}" type="pres">
      <dgm:prSet presAssocID="{0EDEAA2A-B0B2-4E07-A2C0-0B4D53BDC496}" presName="rootText" presStyleLbl="node4" presStyleIdx="32" presStyleCnt="56" custScaleX="118579" custScaleY="137676">
        <dgm:presLayoutVars>
          <dgm:chPref val="3"/>
        </dgm:presLayoutVars>
      </dgm:prSet>
      <dgm:spPr/>
      <dgm:t>
        <a:bodyPr/>
        <a:lstStyle/>
        <a:p>
          <a:endParaRPr lang="tr-TR"/>
        </a:p>
      </dgm:t>
    </dgm:pt>
    <dgm:pt modelId="{2D1F3317-1344-4DF3-9A91-419718F24DB2}" type="pres">
      <dgm:prSet presAssocID="{0EDEAA2A-B0B2-4E07-A2C0-0B4D53BDC496}" presName="rootConnector" presStyleLbl="node4" presStyleIdx="32" presStyleCnt="56"/>
      <dgm:spPr/>
      <dgm:t>
        <a:bodyPr/>
        <a:lstStyle/>
        <a:p>
          <a:endParaRPr lang="tr-TR"/>
        </a:p>
      </dgm:t>
    </dgm:pt>
    <dgm:pt modelId="{B58EFFD6-EA19-463F-9328-A78048F336B8}" type="pres">
      <dgm:prSet presAssocID="{0EDEAA2A-B0B2-4E07-A2C0-0B4D53BDC496}" presName="hierChild4" presStyleCnt="0"/>
      <dgm:spPr/>
    </dgm:pt>
    <dgm:pt modelId="{67303927-1094-4698-9D75-DACB94362D01}" type="pres">
      <dgm:prSet presAssocID="{0EDEAA2A-B0B2-4E07-A2C0-0B4D53BDC496}" presName="hierChild5" presStyleCnt="0"/>
      <dgm:spPr/>
    </dgm:pt>
    <dgm:pt modelId="{53CCF86D-5334-4CC5-9597-AEE170DEF9CD}" type="pres">
      <dgm:prSet presAssocID="{E883311A-58F1-43C0-BDF1-E905B14923D2}" presName="hierChild5" presStyleCnt="0"/>
      <dgm:spPr/>
    </dgm:pt>
    <dgm:pt modelId="{3A5EC572-BB2A-4807-925F-BB49D5CF9605}" type="pres">
      <dgm:prSet presAssocID="{4EC5D627-D879-438C-AA4B-57DFC9756C7B}" presName="Name37" presStyleLbl="parChTrans1D3" presStyleIdx="6" presStyleCnt="11"/>
      <dgm:spPr/>
      <dgm:t>
        <a:bodyPr/>
        <a:lstStyle/>
        <a:p>
          <a:endParaRPr lang="tr-TR"/>
        </a:p>
      </dgm:t>
    </dgm:pt>
    <dgm:pt modelId="{CBBB8C79-B870-46DE-AF15-4D616648E27C}" type="pres">
      <dgm:prSet presAssocID="{CCCEBC92-6B10-4CED-9736-9F5D7B31A340}" presName="hierRoot2" presStyleCnt="0">
        <dgm:presLayoutVars>
          <dgm:hierBranch val="init"/>
        </dgm:presLayoutVars>
      </dgm:prSet>
      <dgm:spPr/>
    </dgm:pt>
    <dgm:pt modelId="{E072E7B2-74E8-493F-96B0-B10EC31922CF}" type="pres">
      <dgm:prSet presAssocID="{CCCEBC92-6B10-4CED-9736-9F5D7B31A340}" presName="rootComposite" presStyleCnt="0"/>
      <dgm:spPr/>
    </dgm:pt>
    <dgm:pt modelId="{A5CC8792-8A4C-4FD3-8C69-8685E4E44389}" type="pres">
      <dgm:prSet presAssocID="{CCCEBC92-6B10-4CED-9736-9F5D7B31A340}" presName="rootText" presStyleLbl="node3" presStyleIdx="6" presStyleCnt="11" custScaleX="122030">
        <dgm:presLayoutVars>
          <dgm:chPref val="3"/>
        </dgm:presLayoutVars>
      </dgm:prSet>
      <dgm:spPr/>
      <dgm:t>
        <a:bodyPr/>
        <a:lstStyle/>
        <a:p>
          <a:endParaRPr lang="tr-TR"/>
        </a:p>
      </dgm:t>
    </dgm:pt>
    <dgm:pt modelId="{90339CA8-6A99-44C0-81B4-059BC602D670}" type="pres">
      <dgm:prSet presAssocID="{CCCEBC92-6B10-4CED-9736-9F5D7B31A340}" presName="rootConnector" presStyleLbl="node3" presStyleIdx="6" presStyleCnt="11"/>
      <dgm:spPr/>
      <dgm:t>
        <a:bodyPr/>
        <a:lstStyle/>
        <a:p>
          <a:endParaRPr lang="tr-TR"/>
        </a:p>
      </dgm:t>
    </dgm:pt>
    <dgm:pt modelId="{062389C0-3E79-4ABA-9A7A-559DAB3ADE7F}" type="pres">
      <dgm:prSet presAssocID="{CCCEBC92-6B10-4CED-9736-9F5D7B31A340}" presName="hierChild4" presStyleCnt="0"/>
      <dgm:spPr/>
    </dgm:pt>
    <dgm:pt modelId="{B247CDC3-71D2-4AB0-A960-C804E4CD11E7}" type="pres">
      <dgm:prSet presAssocID="{6B627D02-C49E-4A30-A3FE-C951C018343E}" presName="Name37" presStyleLbl="parChTrans1D4" presStyleIdx="33" presStyleCnt="56"/>
      <dgm:spPr/>
      <dgm:t>
        <a:bodyPr/>
        <a:lstStyle/>
        <a:p>
          <a:endParaRPr lang="tr-TR"/>
        </a:p>
      </dgm:t>
    </dgm:pt>
    <dgm:pt modelId="{7112ADF9-DFE7-41E7-A7E9-05B33DAF1323}" type="pres">
      <dgm:prSet presAssocID="{E6250F32-89B8-425F-9636-D037E17AE1E4}" presName="hierRoot2" presStyleCnt="0">
        <dgm:presLayoutVars>
          <dgm:hierBranch val="init"/>
        </dgm:presLayoutVars>
      </dgm:prSet>
      <dgm:spPr/>
    </dgm:pt>
    <dgm:pt modelId="{3ECEB68B-96E4-4396-993F-1A2B640742A9}" type="pres">
      <dgm:prSet presAssocID="{E6250F32-89B8-425F-9636-D037E17AE1E4}" presName="rootComposite" presStyleCnt="0"/>
      <dgm:spPr/>
    </dgm:pt>
    <dgm:pt modelId="{B0F70718-29A8-48D3-85D7-2251AD7A69B7}" type="pres">
      <dgm:prSet presAssocID="{E6250F32-89B8-425F-9636-D037E17AE1E4}" presName="rootText" presStyleLbl="node4" presStyleIdx="33" presStyleCnt="56" custScaleX="117429" custScaleY="136719">
        <dgm:presLayoutVars>
          <dgm:chPref val="3"/>
        </dgm:presLayoutVars>
      </dgm:prSet>
      <dgm:spPr/>
      <dgm:t>
        <a:bodyPr/>
        <a:lstStyle/>
        <a:p>
          <a:endParaRPr lang="tr-TR"/>
        </a:p>
      </dgm:t>
    </dgm:pt>
    <dgm:pt modelId="{4510B73D-17B1-44F7-A27A-8CE2D7D64684}" type="pres">
      <dgm:prSet presAssocID="{E6250F32-89B8-425F-9636-D037E17AE1E4}" presName="rootConnector" presStyleLbl="node4" presStyleIdx="33" presStyleCnt="56"/>
      <dgm:spPr/>
      <dgm:t>
        <a:bodyPr/>
        <a:lstStyle/>
        <a:p>
          <a:endParaRPr lang="tr-TR"/>
        </a:p>
      </dgm:t>
    </dgm:pt>
    <dgm:pt modelId="{48F176E6-D811-4580-8091-BD91537CA447}" type="pres">
      <dgm:prSet presAssocID="{E6250F32-89B8-425F-9636-D037E17AE1E4}" presName="hierChild4" presStyleCnt="0"/>
      <dgm:spPr/>
    </dgm:pt>
    <dgm:pt modelId="{2FFA23F2-2F07-42A2-8C81-1CA012BE56EF}" type="pres">
      <dgm:prSet presAssocID="{E6250F32-89B8-425F-9636-D037E17AE1E4}" presName="hierChild5" presStyleCnt="0"/>
      <dgm:spPr/>
    </dgm:pt>
    <dgm:pt modelId="{B1BC1706-7400-4D8E-95CA-4BBC1E1A4C2E}" type="pres">
      <dgm:prSet presAssocID="{41E9FD98-6A5D-45FD-A598-5F484169A273}" presName="Name37" presStyleLbl="parChTrans1D4" presStyleIdx="34" presStyleCnt="56"/>
      <dgm:spPr/>
      <dgm:t>
        <a:bodyPr/>
        <a:lstStyle/>
        <a:p>
          <a:endParaRPr lang="tr-TR"/>
        </a:p>
      </dgm:t>
    </dgm:pt>
    <dgm:pt modelId="{192585D7-4E31-4C71-9840-83A41EF56F44}" type="pres">
      <dgm:prSet presAssocID="{F747D21D-3E89-40ED-9905-436EEBA4FF02}" presName="hierRoot2" presStyleCnt="0">
        <dgm:presLayoutVars>
          <dgm:hierBranch val="init"/>
        </dgm:presLayoutVars>
      </dgm:prSet>
      <dgm:spPr/>
    </dgm:pt>
    <dgm:pt modelId="{27656A83-64B6-4E66-B580-7F588E2F5510}" type="pres">
      <dgm:prSet presAssocID="{F747D21D-3E89-40ED-9905-436EEBA4FF02}" presName="rootComposite" presStyleCnt="0"/>
      <dgm:spPr/>
    </dgm:pt>
    <dgm:pt modelId="{262CB4B6-BD84-4056-B54A-18F7BF330FBB}" type="pres">
      <dgm:prSet presAssocID="{F747D21D-3E89-40ED-9905-436EEBA4FF02}" presName="rootText" presStyleLbl="node4" presStyleIdx="34" presStyleCnt="56" custScaleX="118725">
        <dgm:presLayoutVars>
          <dgm:chPref val="3"/>
        </dgm:presLayoutVars>
      </dgm:prSet>
      <dgm:spPr/>
      <dgm:t>
        <a:bodyPr/>
        <a:lstStyle/>
        <a:p>
          <a:endParaRPr lang="tr-TR"/>
        </a:p>
      </dgm:t>
    </dgm:pt>
    <dgm:pt modelId="{32BE1E8C-F670-4C0E-B602-379345F7744A}" type="pres">
      <dgm:prSet presAssocID="{F747D21D-3E89-40ED-9905-436EEBA4FF02}" presName="rootConnector" presStyleLbl="node4" presStyleIdx="34" presStyleCnt="56"/>
      <dgm:spPr/>
      <dgm:t>
        <a:bodyPr/>
        <a:lstStyle/>
        <a:p>
          <a:endParaRPr lang="tr-TR"/>
        </a:p>
      </dgm:t>
    </dgm:pt>
    <dgm:pt modelId="{E0AFAC90-C3B3-47F7-ACCE-83A8344511F5}" type="pres">
      <dgm:prSet presAssocID="{F747D21D-3E89-40ED-9905-436EEBA4FF02}" presName="hierChild4" presStyleCnt="0"/>
      <dgm:spPr/>
    </dgm:pt>
    <dgm:pt modelId="{8BE05FED-7AB0-41E3-9996-C74FDA708C33}" type="pres">
      <dgm:prSet presAssocID="{F747D21D-3E89-40ED-9905-436EEBA4FF02}" presName="hierChild5" presStyleCnt="0"/>
      <dgm:spPr/>
    </dgm:pt>
    <dgm:pt modelId="{ABE7AA35-2CE7-4A60-83FF-72B9276660A2}" type="pres">
      <dgm:prSet presAssocID="{985D120A-8E02-4703-94E4-3A27D854F190}" presName="Name37" presStyleLbl="parChTrans1D4" presStyleIdx="35" presStyleCnt="56"/>
      <dgm:spPr/>
      <dgm:t>
        <a:bodyPr/>
        <a:lstStyle/>
        <a:p>
          <a:endParaRPr lang="tr-TR"/>
        </a:p>
      </dgm:t>
    </dgm:pt>
    <dgm:pt modelId="{DB594CAC-927C-4317-B06F-3EFE8055C84C}" type="pres">
      <dgm:prSet presAssocID="{D3366BC1-931F-4350-854B-0F8E25DAF2CA}" presName="hierRoot2" presStyleCnt="0">
        <dgm:presLayoutVars>
          <dgm:hierBranch val="init"/>
        </dgm:presLayoutVars>
      </dgm:prSet>
      <dgm:spPr/>
    </dgm:pt>
    <dgm:pt modelId="{18613077-0B1C-4908-BC98-67B3DE2E02E8}" type="pres">
      <dgm:prSet presAssocID="{D3366BC1-931F-4350-854B-0F8E25DAF2CA}" presName="rootComposite" presStyleCnt="0"/>
      <dgm:spPr/>
    </dgm:pt>
    <dgm:pt modelId="{E1D050CE-D9C5-414F-84A0-A93C4DEC8BFE}" type="pres">
      <dgm:prSet presAssocID="{D3366BC1-931F-4350-854B-0F8E25DAF2CA}" presName="rootText" presStyleLbl="node4" presStyleIdx="35" presStyleCnt="56" custScaleX="118725">
        <dgm:presLayoutVars>
          <dgm:chPref val="3"/>
        </dgm:presLayoutVars>
      </dgm:prSet>
      <dgm:spPr/>
      <dgm:t>
        <a:bodyPr/>
        <a:lstStyle/>
        <a:p>
          <a:endParaRPr lang="tr-TR"/>
        </a:p>
      </dgm:t>
    </dgm:pt>
    <dgm:pt modelId="{8A94283C-7C2F-4CEB-BFCE-581BD6C1B89A}" type="pres">
      <dgm:prSet presAssocID="{D3366BC1-931F-4350-854B-0F8E25DAF2CA}" presName="rootConnector" presStyleLbl="node4" presStyleIdx="35" presStyleCnt="56"/>
      <dgm:spPr/>
      <dgm:t>
        <a:bodyPr/>
        <a:lstStyle/>
        <a:p>
          <a:endParaRPr lang="tr-TR"/>
        </a:p>
      </dgm:t>
    </dgm:pt>
    <dgm:pt modelId="{ACF9C551-84DA-4595-9F87-08996F2F4455}" type="pres">
      <dgm:prSet presAssocID="{D3366BC1-931F-4350-854B-0F8E25DAF2CA}" presName="hierChild4" presStyleCnt="0"/>
      <dgm:spPr/>
    </dgm:pt>
    <dgm:pt modelId="{48B62FED-3EFE-40E6-AC44-0D49B9796C94}" type="pres">
      <dgm:prSet presAssocID="{D3366BC1-931F-4350-854B-0F8E25DAF2CA}" presName="hierChild5" presStyleCnt="0"/>
      <dgm:spPr/>
    </dgm:pt>
    <dgm:pt modelId="{8E2E3BE1-923F-48F6-80CB-CF546CB5420B}" type="pres">
      <dgm:prSet presAssocID="{8E3EAD9D-8F11-401D-B09A-61EC06E05C1B}" presName="Name37" presStyleLbl="parChTrans1D4" presStyleIdx="36" presStyleCnt="56"/>
      <dgm:spPr/>
      <dgm:t>
        <a:bodyPr/>
        <a:lstStyle/>
        <a:p>
          <a:endParaRPr lang="tr-TR"/>
        </a:p>
      </dgm:t>
    </dgm:pt>
    <dgm:pt modelId="{5C634170-866F-47C7-9FB4-5FAD503E9838}" type="pres">
      <dgm:prSet presAssocID="{BECE1405-0B35-41B9-8289-BC1CA6105C9D}" presName="hierRoot2" presStyleCnt="0">
        <dgm:presLayoutVars>
          <dgm:hierBranch val="init"/>
        </dgm:presLayoutVars>
      </dgm:prSet>
      <dgm:spPr/>
    </dgm:pt>
    <dgm:pt modelId="{27C3A7F7-91CD-4878-9A94-C727B6705BC9}" type="pres">
      <dgm:prSet presAssocID="{BECE1405-0B35-41B9-8289-BC1CA6105C9D}" presName="rootComposite" presStyleCnt="0"/>
      <dgm:spPr/>
    </dgm:pt>
    <dgm:pt modelId="{8B836DB8-9EA4-443C-8096-ECFE9587B76B}" type="pres">
      <dgm:prSet presAssocID="{BECE1405-0B35-41B9-8289-BC1CA6105C9D}" presName="rootText" presStyleLbl="node4" presStyleIdx="36" presStyleCnt="56" custScaleX="118725">
        <dgm:presLayoutVars>
          <dgm:chPref val="3"/>
        </dgm:presLayoutVars>
      </dgm:prSet>
      <dgm:spPr/>
      <dgm:t>
        <a:bodyPr/>
        <a:lstStyle/>
        <a:p>
          <a:endParaRPr lang="tr-TR"/>
        </a:p>
      </dgm:t>
    </dgm:pt>
    <dgm:pt modelId="{55C2D6B1-1B2B-4009-BBEA-E7CE4E43DC13}" type="pres">
      <dgm:prSet presAssocID="{BECE1405-0B35-41B9-8289-BC1CA6105C9D}" presName="rootConnector" presStyleLbl="node4" presStyleIdx="36" presStyleCnt="56"/>
      <dgm:spPr/>
      <dgm:t>
        <a:bodyPr/>
        <a:lstStyle/>
        <a:p>
          <a:endParaRPr lang="tr-TR"/>
        </a:p>
      </dgm:t>
    </dgm:pt>
    <dgm:pt modelId="{793F74F5-78DA-44E2-814B-D0646C85BFD6}" type="pres">
      <dgm:prSet presAssocID="{BECE1405-0B35-41B9-8289-BC1CA6105C9D}" presName="hierChild4" presStyleCnt="0"/>
      <dgm:spPr/>
    </dgm:pt>
    <dgm:pt modelId="{FB28178B-1F06-49AB-BC72-F3BB5DC12974}" type="pres">
      <dgm:prSet presAssocID="{BECE1405-0B35-41B9-8289-BC1CA6105C9D}" presName="hierChild5" presStyleCnt="0"/>
      <dgm:spPr/>
    </dgm:pt>
    <dgm:pt modelId="{18A9834F-6085-477D-82DF-A2C7C3147A4F}" type="pres">
      <dgm:prSet presAssocID="{50B3BE46-7E20-49B9-86BC-B7715C89BC7A}" presName="Name37" presStyleLbl="parChTrans1D4" presStyleIdx="37" presStyleCnt="56"/>
      <dgm:spPr/>
      <dgm:t>
        <a:bodyPr/>
        <a:lstStyle/>
        <a:p>
          <a:endParaRPr lang="tr-TR"/>
        </a:p>
      </dgm:t>
    </dgm:pt>
    <dgm:pt modelId="{C9DE4B25-3BFD-4B96-8977-EF0410034360}" type="pres">
      <dgm:prSet presAssocID="{6D0759E6-9956-4AA9-8BB5-D985789D4D12}" presName="hierRoot2" presStyleCnt="0">
        <dgm:presLayoutVars>
          <dgm:hierBranch val="init"/>
        </dgm:presLayoutVars>
      </dgm:prSet>
      <dgm:spPr/>
    </dgm:pt>
    <dgm:pt modelId="{C3F64C85-DE06-4CD1-84AB-96E65D8E8579}" type="pres">
      <dgm:prSet presAssocID="{6D0759E6-9956-4AA9-8BB5-D985789D4D12}" presName="rootComposite" presStyleCnt="0"/>
      <dgm:spPr/>
    </dgm:pt>
    <dgm:pt modelId="{721EB2B9-5F2B-4FFF-9051-0FA5E94303E1}" type="pres">
      <dgm:prSet presAssocID="{6D0759E6-9956-4AA9-8BB5-D985789D4D12}" presName="rootText" presStyleLbl="node4" presStyleIdx="37" presStyleCnt="56" custScaleX="118725">
        <dgm:presLayoutVars>
          <dgm:chPref val="3"/>
        </dgm:presLayoutVars>
      </dgm:prSet>
      <dgm:spPr/>
      <dgm:t>
        <a:bodyPr/>
        <a:lstStyle/>
        <a:p>
          <a:endParaRPr lang="tr-TR"/>
        </a:p>
      </dgm:t>
    </dgm:pt>
    <dgm:pt modelId="{659DE5AB-DD12-4D2F-AA58-D9C8BD446B9A}" type="pres">
      <dgm:prSet presAssocID="{6D0759E6-9956-4AA9-8BB5-D985789D4D12}" presName="rootConnector" presStyleLbl="node4" presStyleIdx="37" presStyleCnt="56"/>
      <dgm:spPr/>
      <dgm:t>
        <a:bodyPr/>
        <a:lstStyle/>
        <a:p>
          <a:endParaRPr lang="tr-TR"/>
        </a:p>
      </dgm:t>
    </dgm:pt>
    <dgm:pt modelId="{8ABEEADF-4C92-46F2-A387-ED01B34D9BA5}" type="pres">
      <dgm:prSet presAssocID="{6D0759E6-9956-4AA9-8BB5-D985789D4D12}" presName="hierChild4" presStyleCnt="0"/>
      <dgm:spPr/>
    </dgm:pt>
    <dgm:pt modelId="{4E5DBD26-0BDF-4A9C-92DC-5B9F76FACE40}" type="pres">
      <dgm:prSet presAssocID="{6D0759E6-9956-4AA9-8BB5-D985789D4D12}" presName="hierChild5" presStyleCnt="0"/>
      <dgm:spPr/>
    </dgm:pt>
    <dgm:pt modelId="{ABC10BBA-6EE0-4094-B1A8-A373A7770A2C}" type="pres">
      <dgm:prSet presAssocID="{CEF34BF9-F30A-4138-A615-4375800ED320}" presName="Name37" presStyleLbl="parChTrans1D4" presStyleIdx="38" presStyleCnt="56"/>
      <dgm:spPr/>
      <dgm:t>
        <a:bodyPr/>
        <a:lstStyle/>
        <a:p>
          <a:endParaRPr lang="tr-TR"/>
        </a:p>
      </dgm:t>
    </dgm:pt>
    <dgm:pt modelId="{435A03AF-AC6D-42E8-9A29-337D28EA61E5}" type="pres">
      <dgm:prSet presAssocID="{BC0F4616-A76F-4CE0-AA05-914486AC797B}" presName="hierRoot2" presStyleCnt="0">
        <dgm:presLayoutVars>
          <dgm:hierBranch val="init"/>
        </dgm:presLayoutVars>
      </dgm:prSet>
      <dgm:spPr/>
    </dgm:pt>
    <dgm:pt modelId="{BE567AD4-D21F-43EC-8D2A-D8BE46615DC5}" type="pres">
      <dgm:prSet presAssocID="{BC0F4616-A76F-4CE0-AA05-914486AC797B}" presName="rootComposite" presStyleCnt="0"/>
      <dgm:spPr/>
    </dgm:pt>
    <dgm:pt modelId="{DBA6ADC8-8384-4411-96AB-B3254E4F3E89}" type="pres">
      <dgm:prSet presAssocID="{BC0F4616-A76F-4CE0-AA05-914486AC797B}" presName="rootText" presStyleLbl="node4" presStyleIdx="38" presStyleCnt="56" custScaleX="118725">
        <dgm:presLayoutVars>
          <dgm:chPref val="3"/>
        </dgm:presLayoutVars>
      </dgm:prSet>
      <dgm:spPr/>
      <dgm:t>
        <a:bodyPr/>
        <a:lstStyle/>
        <a:p>
          <a:endParaRPr lang="tr-TR"/>
        </a:p>
      </dgm:t>
    </dgm:pt>
    <dgm:pt modelId="{8063F67B-F284-40E0-9F14-960F809C5D7B}" type="pres">
      <dgm:prSet presAssocID="{BC0F4616-A76F-4CE0-AA05-914486AC797B}" presName="rootConnector" presStyleLbl="node4" presStyleIdx="38" presStyleCnt="56"/>
      <dgm:spPr/>
      <dgm:t>
        <a:bodyPr/>
        <a:lstStyle/>
        <a:p>
          <a:endParaRPr lang="tr-TR"/>
        </a:p>
      </dgm:t>
    </dgm:pt>
    <dgm:pt modelId="{2820B89E-72B7-4A11-8953-9D17161AF7CC}" type="pres">
      <dgm:prSet presAssocID="{BC0F4616-A76F-4CE0-AA05-914486AC797B}" presName="hierChild4" presStyleCnt="0"/>
      <dgm:spPr/>
    </dgm:pt>
    <dgm:pt modelId="{B83B4152-3D82-419A-A195-17B40D44DDFD}" type="pres">
      <dgm:prSet presAssocID="{BC0F4616-A76F-4CE0-AA05-914486AC797B}" presName="hierChild5" presStyleCnt="0"/>
      <dgm:spPr/>
    </dgm:pt>
    <dgm:pt modelId="{F25F51F2-6998-4519-B3A5-2F570B219F85}" type="pres">
      <dgm:prSet presAssocID="{BBCF47EF-287E-4B13-8F0F-F3BE0B6928B5}" presName="Name37" presStyleLbl="parChTrans1D4" presStyleIdx="39" presStyleCnt="56"/>
      <dgm:spPr/>
      <dgm:t>
        <a:bodyPr/>
        <a:lstStyle/>
        <a:p>
          <a:endParaRPr lang="tr-TR"/>
        </a:p>
      </dgm:t>
    </dgm:pt>
    <dgm:pt modelId="{0F4DFAD6-4AFF-49D0-85F2-47C41087B1F9}" type="pres">
      <dgm:prSet presAssocID="{B107D9BC-9C76-4760-A670-AD8307DB4A8B}" presName="hierRoot2" presStyleCnt="0">
        <dgm:presLayoutVars>
          <dgm:hierBranch val="init"/>
        </dgm:presLayoutVars>
      </dgm:prSet>
      <dgm:spPr/>
    </dgm:pt>
    <dgm:pt modelId="{725B6415-6F6E-40BB-AB92-00D28EEC0EBC}" type="pres">
      <dgm:prSet presAssocID="{B107D9BC-9C76-4760-A670-AD8307DB4A8B}" presName="rootComposite" presStyleCnt="0"/>
      <dgm:spPr/>
    </dgm:pt>
    <dgm:pt modelId="{7306B4C5-C388-414A-980A-71CF78381FE9}" type="pres">
      <dgm:prSet presAssocID="{B107D9BC-9C76-4760-A670-AD8307DB4A8B}" presName="rootText" presStyleLbl="node4" presStyleIdx="39" presStyleCnt="56" custScaleX="118579">
        <dgm:presLayoutVars>
          <dgm:chPref val="3"/>
        </dgm:presLayoutVars>
      </dgm:prSet>
      <dgm:spPr/>
      <dgm:t>
        <a:bodyPr/>
        <a:lstStyle/>
        <a:p>
          <a:endParaRPr lang="tr-TR"/>
        </a:p>
      </dgm:t>
    </dgm:pt>
    <dgm:pt modelId="{C1666E0C-CF18-4FE9-B622-CA605CFC0499}" type="pres">
      <dgm:prSet presAssocID="{B107D9BC-9C76-4760-A670-AD8307DB4A8B}" presName="rootConnector" presStyleLbl="node4" presStyleIdx="39" presStyleCnt="56"/>
      <dgm:spPr/>
      <dgm:t>
        <a:bodyPr/>
        <a:lstStyle/>
        <a:p>
          <a:endParaRPr lang="tr-TR"/>
        </a:p>
      </dgm:t>
    </dgm:pt>
    <dgm:pt modelId="{60CB766D-4EC6-4A6D-A860-8AD56F99F25D}" type="pres">
      <dgm:prSet presAssocID="{B107D9BC-9C76-4760-A670-AD8307DB4A8B}" presName="hierChild4" presStyleCnt="0"/>
      <dgm:spPr/>
    </dgm:pt>
    <dgm:pt modelId="{1A682868-73D2-4CF4-8550-D97D72A77A3E}" type="pres">
      <dgm:prSet presAssocID="{B107D9BC-9C76-4760-A670-AD8307DB4A8B}" presName="hierChild5" presStyleCnt="0"/>
      <dgm:spPr/>
    </dgm:pt>
    <dgm:pt modelId="{4C13B3EE-B641-4C5D-AF18-4D8FF09B76C0}" type="pres">
      <dgm:prSet presAssocID="{CCCEBC92-6B10-4CED-9736-9F5D7B31A340}" presName="hierChild5" presStyleCnt="0"/>
      <dgm:spPr/>
    </dgm:pt>
    <dgm:pt modelId="{7C8BEA8A-4D46-4FCC-BE6F-FC263071D646}" type="pres">
      <dgm:prSet presAssocID="{B1DA9679-1914-47B0-BB69-F2B6D38B2113}" presName="Name37" presStyleLbl="parChTrans1D3" presStyleIdx="7" presStyleCnt="11"/>
      <dgm:spPr/>
      <dgm:t>
        <a:bodyPr/>
        <a:lstStyle/>
        <a:p>
          <a:endParaRPr lang="tr-TR"/>
        </a:p>
      </dgm:t>
    </dgm:pt>
    <dgm:pt modelId="{B854A239-A3A4-4C9C-9657-ED3451DA1C2B}" type="pres">
      <dgm:prSet presAssocID="{54CC455A-CD4A-4349-95F8-02650D357E8D}" presName="hierRoot2" presStyleCnt="0">
        <dgm:presLayoutVars>
          <dgm:hierBranch val="init"/>
        </dgm:presLayoutVars>
      </dgm:prSet>
      <dgm:spPr/>
    </dgm:pt>
    <dgm:pt modelId="{90A02645-E665-49DF-BE81-3AD144CBE04B}" type="pres">
      <dgm:prSet presAssocID="{54CC455A-CD4A-4349-95F8-02650D357E8D}" presName="rootComposite" presStyleCnt="0"/>
      <dgm:spPr/>
    </dgm:pt>
    <dgm:pt modelId="{5040640F-CB1E-4268-8858-F87C3E72BBA1}" type="pres">
      <dgm:prSet presAssocID="{54CC455A-CD4A-4349-95F8-02650D357E8D}" presName="rootText" presStyleLbl="node3" presStyleIdx="7" presStyleCnt="11" custScaleX="122030" custScaleY="149448">
        <dgm:presLayoutVars>
          <dgm:chPref val="3"/>
        </dgm:presLayoutVars>
      </dgm:prSet>
      <dgm:spPr/>
      <dgm:t>
        <a:bodyPr/>
        <a:lstStyle/>
        <a:p>
          <a:endParaRPr lang="tr-TR"/>
        </a:p>
      </dgm:t>
    </dgm:pt>
    <dgm:pt modelId="{980D30F1-8049-4993-9C65-EC9A6A97D610}" type="pres">
      <dgm:prSet presAssocID="{54CC455A-CD4A-4349-95F8-02650D357E8D}" presName="rootConnector" presStyleLbl="node3" presStyleIdx="7" presStyleCnt="11"/>
      <dgm:spPr/>
      <dgm:t>
        <a:bodyPr/>
        <a:lstStyle/>
        <a:p>
          <a:endParaRPr lang="tr-TR"/>
        </a:p>
      </dgm:t>
    </dgm:pt>
    <dgm:pt modelId="{D1D873C2-B3F4-4F73-96D8-092FCD3D4F3E}" type="pres">
      <dgm:prSet presAssocID="{54CC455A-CD4A-4349-95F8-02650D357E8D}" presName="hierChild4" presStyleCnt="0"/>
      <dgm:spPr/>
    </dgm:pt>
    <dgm:pt modelId="{97B8D86D-2144-45FF-A86F-F1F3C8F8A8AC}" type="pres">
      <dgm:prSet presAssocID="{44E5886B-7784-4A4D-BC7C-14062AB7B94C}" presName="Name37" presStyleLbl="parChTrans1D4" presStyleIdx="40" presStyleCnt="56"/>
      <dgm:spPr/>
      <dgm:t>
        <a:bodyPr/>
        <a:lstStyle/>
        <a:p>
          <a:endParaRPr lang="tr-TR"/>
        </a:p>
      </dgm:t>
    </dgm:pt>
    <dgm:pt modelId="{BA8F470A-8D1D-4C63-B478-06A7AC96409B}" type="pres">
      <dgm:prSet presAssocID="{32CFE678-BE5F-43B5-9009-F499067AB237}" presName="hierRoot2" presStyleCnt="0">
        <dgm:presLayoutVars>
          <dgm:hierBranch val="init"/>
        </dgm:presLayoutVars>
      </dgm:prSet>
      <dgm:spPr/>
    </dgm:pt>
    <dgm:pt modelId="{9D1C23F6-7085-4A13-83DF-FEAF3717A9DA}" type="pres">
      <dgm:prSet presAssocID="{32CFE678-BE5F-43B5-9009-F499067AB237}" presName="rootComposite" presStyleCnt="0"/>
      <dgm:spPr/>
    </dgm:pt>
    <dgm:pt modelId="{6D930FFF-E21E-4609-856F-152AC40C0901}" type="pres">
      <dgm:prSet presAssocID="{32CFE678-BE5F-43B5-9009-F499067AB237}" presName="rootText" presStyleLbl="node4" presStyleIdx="40" presStyleCnt="56" custScaleX="117429" custScaleY="166908">
        <dgm:presLayoutVars>
          <dgm:chPref val="3"/>
        </dgm:presLayoutVars>
      </dgm:prSet>
      <dgm:spPr/>
      <dgm:t>
        <a:bodyPr/>
        <a:lstStyle/>
        <a:p>
          <a:endParaRPr lang="tr-TR"/>
        </a:p>
      </dgm:t>
    </dgm:pt>
    <dgm:pt modelId="{9652EF95-9BD5-45B6-B749-3CDEEA19AB00}" type="pres">
      <dgm:prSet presAssocID="{32CFE678-BE5F-43B5-9009-F499067AB237}" presName="rootConnector" presStyleLbl="node4" presStyleIdx="40" presStyleCnt="56"/>
      <dgm:spPr/>
      <dgm:t>
        <a:bodyPr/>
        <a:lstStyle/>
        <a:p>
          <a:endParaRPr lang="tr-TR"/>
        </a:p>
      </dgm:t>
    </dgm:pt>
    <dgm:pt modelId="{337F988E-BECA-4426-83BE-59B8C4318AC2}" type="pres">
      <dgm:prSet presAssocID="{32CFE678-BE5F-43B5-9009-F499067AB237}" presName="hierChild4" presStyleCnt="0"/>
      <dgm:spPr/>
    </dgm:pt>
    <dgm:pt modelId="{68B675F7-84C1-49CC-9950-54B478E822D2}" type="pres">
      <dgm:prSet presAssocID="{32CFE678-BE5F-43B5-9009-F499067AB237}" presName="hierChild5" presStyleCnt="0"/>
      <dgm:spPr/>
    </dgm:pt>
    <dgm:pt modelId="{AD1ED2D2-BFB8-4FD8-95FD-1DD2BC294146}" type="pres">
      <dgm:prSet presAssocID="{C664C9FB-4132-4E40-A457-D0B5372423DE}" presName="Name37" presStyleLbl="parChTrans1D4" presStyleIdx="41" presStyleCnt="56"/>
      <dgm:spPr/>
      <dgm:t>
        <a:bodyPr/>
        <a:lstStyle/>
        <a:p>
          <a:endParaRPr lang="tr-TR"/>
        </a:p>
      </dgm:t>
    </dgm:pt>
    <dgm:pt modelId="{6BE41466-5995-4BBC-9D1F-F5BE54D09AF5}" type="pres">
      <dgm:prSet presAssocID="{CF42453B-5DB4-4105-AF1E-3E374F3C19B2}" presName="hierRoot2" presStyleCnt="0">
        <dgm:presLayoutVars>
          <dgm:hierBranch val="init"/>
        </dgm:presLayoutVars>
      </dgm:prSet>
      <dgm:spPr/>
    </dgm:pt>
    <dgm:pt modelId="{CE8DC7CB-42D7-4C60-9EFB-F9DDE63E6C92}" type="pres">
      <dgm:prSet presAssocID="{CF42453B-5DB4-4105-AF1E-3E374F3C19B2}" presName="rootComposite" presStyleCnt="0"/>
      <dgm:spPr/>
    </dgm:pt>
    <dgm:pt modelId="{C030AB0E-31F2-4C14-BB4F-547398C53526}" type="pres">
      <dgm:prSet presAssocID="{CF42453B-5DB4-4105-AF1E-3E374F3C19B2}" presName="rootText" presStyleLbl="node4" presStyleIdx="41" presStyleCnt="56" custScaleX="118579" custScaleY="230230">
        <dgm:presLayoutVars>
          <dgm:chPref val="3"/>
        </dgm:presLayoutVars>
      </dgm:prSet>
      <dgm:spPr/>
      <dgm:t>
        <a:bodyPr/>
        <a:lstStyle/>
        <a:p>
          <a:endParaRPr lang="tr-TR"/>
        </a:p>
      </dgm:t>
    </dgm:pt>
    <dgm:pt modelId="{402F1CFE-282E-4241-B579-9CCDA90C10D6}" type="pres">
      <dgm:prSet presAssocID="{CF42453B-5DB4-4105-AF1E-3E374F3C19B2}" presName="rootConnector" presStyleLbl="node4" presStyleIdx="41" presStyleCnt="56"/>
      <dgm:spPr/>
      <dgm:t>
        <a:bodyPr/>
        <a:lstStyle/>
        <a:p>
          <a:endParaRPr lang="tr-TR"/>
        </a:p>
      </dgm:t>
    </dgm:pt>
    <dgm:pt modelId="{01C67417-6CF7-4E91-AB42-7BBCC49767DA}" type="pres">
      <dgm:prSet presAssocID="{CF42453B-5DB4-4105-AF1E-3E374F3C19B2}" presName="hierChild4" presStyleCnt="0"/>
      <dgm:spPr/>
    </dgm:pt>
    <dgm:pt modelId="{EF53CEF9-E3DB-4078-91E3-4DC0C2396FA8}" type="pres">
      <dgm:prSet presAssocID="{CF42453B-5DB4-4105-AF1E-3E374F3C19B2}" presName="hierChild5" presStyleCnt="0"/>
      <dgm:spPr/>
    </dgm:pt>
    <dgm:pt modelId="{EFDF4377-8CA8-4D31-8600-BD8A334AADAF}" type="pres">
      <dgm:prSet presAssocID="{F4AC34F0-D735-40EA-89B3-95BDAF7741B5}" presName="Name37" presStyleLbl="parChTrans1D4" presStyleIdx="42" presStyleCnt="56"/>
      <dgm:spPr/>
      <dgm:t>
        <a:bodyPr/>
        <a:lstStyle/>
        <a:p>
          <a:endParaRPr lang="tr-TR"/>
        </a:p>
      </dgm:t>
    </dgm:pt>
    <dgm:pt modelId="{3AC581C0-F911-43B4-9045-CE0652D7E16B}" type="pres">
      <dgm:prSet presAssocID="{C4545C85-7843-421E-8A7F-4EE41F1FB453}" presName="hierRoot2" presStyleCnt="0">
        <dgm:presLayoutVars>
          <dgm:hierBranch val="init"/>
        </dgm:presLayoutVars>
      </dgm:prSet>
      <dgm:spPr/>
    </dgm:pt>
    <dgm:pt modelId="{FC3BFF83-7C8E-4EF2-B634-3A4A6CAF1B2B}" type="pres">
      <dgm:prSet presAssocID="{C4545C85-7843-421E-8A7F-4EE41F1FB453}" presName="rootComposite" presStyleCnt="0"/>
      <dgm:spPr/>
    </dgm:pt>
    <dgm:pt modelId="{8C664A5B-C196-4C1D-B18A-561990E2CDD1}" type="pres">
      <dgm:prSet presAssocID="{C4545C85-7843-421E-8A7F-4EE41F1FB453}" presName="rootText" presStyleLbl="node4" presStyleIdx="42" presStyleCnt="56" custScaleX="118579" custScaleY="217462">
        <dgm:presLayoutVars>
          <dgm:chPref val="3"/>
        </dgm:presLayoutVars>
      </dgm:prSet>
      <dgm:spPr/>
      <dgm:t>
        <a:bodyPr/>
        <a:lstStyle/>
        <a:p>
          <a:endParaRPr lang="tr-TR"/>
        </a:p>
      </dgm:t>
    </dgm:pt>
    <dgm:pt modelId="{CDA395C1-B5DF-4402-9584-09755A3B0ED3}" type="pres">
      <dgm:prSet presAssocID="{C4545C85-7843-421E-8A7F-4EE41F1FB453}" presName="rootConnector" presStyleLbl="node4" presStyleIdx="42" presStyleCnt="56"/>
      <dgm:spPr/>
      <dgm:t>
        <a:bodyPr/>
        <a:lstStyle/>
        <a:p>
          <a:endParaRPr lang="tr-TR"/>
        </a:p>
      </dgm:t>
    </dgm:pt>
    <dgm:pt modelId="{3C83E5A0-C359-4F3D-87F1-9C036D2037EB}" type="pres">
      <dgm:prSet presAssocID="{C4545C85-7843-421E-8A7F-4EE41F1FB453}" presName="hierChild4" presStyleCnt="0"/>
      <dgm:spPr/>
    </dgm:pt>
    <dgm:pt modelId="{907E6202-6EC7-4286-9059-A0725DDF3219}" type="pres">
      <dgm:prSet presAssocID="{C4545C85-7843-421E-8A7F-4EE41F1FB453}" presName="hierChild5" presStyleCnt="0"/>
      <dgm:spPr/>
    </dgm:pt>
    <dgm:pt modelId="{C21E7DF1-9E9B-4DEA-B629-85A26FDF5A51}" type="pres">
      <dgm:prSet presAssocID="{E8A26CFC-F4FD-439C-B1A4-B323BB97B201}" presName="Name37" presStyleLbl="parChTrans1D4" presStyleIdx="43" presStyleCnt="56"/>
      <dgm:spPr/>
      <dgm:t>
        <a:bodyPr/>
        <a:lstStyle/>
        <a:p>
          <a:endParaRPr lang="tr-TR"/>
        </a:p>
      </dgm:t>
    </dgm:pt>
    <dgm:pt modelId="{139376A2-D2A4-41E5-96A6-DA2A94259E83}" type="pres">
      <dgm:prSet presAssocID="{697C9D58-D68D-4C33-9F13-6015B00EEF9A}" presName="hierRoot2" presStyleCnt="0">
        <dgm:presLayoutVars>
          <dgm:hierBranch val="init"/>
        </dgm:presLayoutVars>
      </dgm:prSet>
      <dgm:spPr/>
    </dgm:pt>
    <dgm:pt modelId="{11C3DC9D-E335-4D25-A08D-71CEDD953B90}" type="pres">
      <dgm:prSet presAssocID="{697C9D58-D68D-4C33-9F13-6015B00EEF9A}" presName="rootComposite" presStyleCnt="0"/>
      <dgm:spPr/>
    </dgm:pt>
    <dgm:pt modelId="{7F4EBA53-A975-40B0-9434-551189679C70}" type="pres">
      <dgm:prSet presAssocID="{697C9D58-D68D-4C33-9F13-6015B00EEF9A}" presName="rootText" presStyleLbl="node4" presStyleIdx="43" presStyleCnt="56" custScaleX="118579" custScaleY="234269">
        <dgm:presLayoutVars>
          <dgm:chPref val="3"/>
        </dgm:presLayoutVars>
      </dgm:prSet>
      <dgm:spPr/>
      <dgm:t>
        <a:bodyPr/>
        <a:lstStyle/>
        <a:p>
          <a:endParaRPr lang="tr-TR"/>
        </a:p>
      </dgm:t>
    </dgm:pt>
    <dgm:pt modelId="{B29B0F8E-A6F1-4600-80DE-BD71C7E9D30D}" type="pres">
      <dgm:prSet presAssocID="{697C9D58-D68D-4C33-9F13-6015B00EEF9A}" presName="rootConnector" presStyleLbl="node4" presStyleIdx="43" presStyleCnt="56"/>
      <dgm:spPr/>
      <dgm:t>
        <a:bodyPr/>
        <a:lstStyle/>
        <a:p>
          <a:endParaRPr lang="tr-TR"/>
        </a:p>
      </dgm:t>
    </dgm:pt>
    <dgm:pt modelId="{EBD11EB2-0100-4960-A30C-2A77436EEE73}" type="pres">
      <dgm:prSet presAssocID="{697C9D58-D68D-4C33-9F13-6015B00EEF9A}" presName="hierChild4" presStyleCnt="0"/>
      <dgm:spPr/>
    </dgm:pt>
    <dgm:pt modelId="{5A32F8AB-480C-4C18-AF78-E16A3DC70ABE}" type="pres">
      <dgm:prSet presAssocID="{697C9D58-D68D-4C33-9F13-6015B00EEF9A}" presName="hierChild5" presStyleCnt="0"/>
      <dgm:spPr/>
    </dgm:pt>
    <dgm:pt modelId="{DFD43E0E-1812-49F9-92C8-FF31289F85B9}" type="pres">
      <dgm:prSet presAssocID="{54CC455A-CD4A-4349-95F8-02650D357E8D}" presName="hierChild5" presStyleCnt="0"/>
      <dgm:spPr/>
    </dgm:pt>
    <dgm:pt modelId="{250283B5-A5DD-4943-ABB7-3C6C08AD0379}" type="pres">
      <dgm:prSet presAssocID="{2E76A6D5-CB61-4892-8983-CED9A5406900}" presName="Name37" presStyleLbl="parChTrans1D3" presStyleIdx="8" presStyleCnt="11"/>
      <dgm:spPr/>
      <dgm:t>
        <a:bodyPr/>
        <a:lstStyle/>
        <a:p>
          <a:endParaRPr lang="tr-TR"/>
        </a:p>
      </dgm:t>
    </dgm:pt>
    <dgm:pt modelId="{36CC8025-7B64-4B08-8682-ECB10498E5AE}" type="pres">
      <dgm:prSet presAssocID="{93BE8312-60FF-4A18-9EA6-AD54CFE90231}" presName="hierRoot2" presStyleCnt="0">
        <dgm:presLayoutVars>
          <dgm:hierBranch val="init"/>
        </dgm:presLayoutVars>
      </dgm:prSet>
      <dgm:spPr/>
    </dgm:pt>
    <dgm:pt modelId="{5E680AC4-7B55-4FA0-AD38-47BDE9DD0439}" type="pres">
      <dgm:prSet presAssocID="{93BE8312-60FF-4A18-9EA6-AD54CFE90231}" presName="rootComposite" presStyleCnt="0"/>
      <dgm:spPr/>
    </dgm:pt>
    <dgm:pt modelId="{6CC55C5E-030A-46DE-86B2-3E2DB7BB9AA8}" type="pres">
      <dgm:prSet presAssocID="{93BE8312-60FF-4A18-9EA6-AD54CFE90231}" presName="rootText" presStyleLbl="node3" presStyleIdx="8" presStyleCnt="11" custScaleX="122030">
        <dgm:presLayoutVars>
          <dgm:chPref val="3"/>
        </dgm:presLayoutVars>
      </dgm:prSet>
      <dgm:spPr/>
      <dgm:t>
        <a:bodyPr/>
        <a:lstStyle/>
        <a:p>
          <a:endParaRPr lang="tr-TR"/>
        </a:p>
      </dgm:t>
    </dgm:pt>
    <dgm:pt modelId="{21F04321-3D2A-4429-B412-8A021340603D}" type="pres">
      <dgm:prSet presAssocID="{93BE8312-60FF-4A18-9EA6-AD54CFE90231}" presName="rootConnector" presStyleLbl="node3" presStyleIdx="8" presStyleCnt="11"/>
      <dgm:spPr/>
      <dgm:t>
        <a:bodyPr/>
        <a:lstStyle/>
        <a:p>
          <a:endParaRPr lang="tr-TR"/>
        </a:p>
      </dgm:t>
    </dgm:pt>
    <dgm:pt modelId="{14DC88EC-4E1E-4209-AE6B-A63908F9A9B8}" type="pres">
      <dgm:prSet presAssocID="{93BE8312-60FF-4A18-9EA6-AD54CFE90231}" presName="hierChild4" presStyleCnt="0"/>
      <dgm:spPr/>
    </dgm:pt>
    <dgm:pt modelId="{28385871-3B12-4112-B997-98D64516446B}" type="pres">
      <dgm:prSet presAssocID="{75834D1C-3C9F-4088-A4C8-9B3C9DEB1291}" presName="Name37" presStyleLbl="parChTrans1D4" presStyleIdx="44" presStyleCnt="56"/>
      <dgm:spPr/>
      <dgm:t>
        <a:bodyPr/>
        <a:lstStyle/>
        <a:p>
          <a:endParaRPr lang="tr-TR"/>
        </a:p>
      </dgm:t>
    </dgm:pt>
    <dgm:pt modelId="{5574F500-014F-414B-B7E8-7FAE4AD06406}" type="pres">
      <dgm:prSet presAssocID="{94A7FF32-3129-4C7F-8F40-839B6A4688CB}" presName="hierRoot2" presStyleCnt="0">
        <dgm:presLayoutVars>
          <dgm:hierBranch val="init"/>
        </dgm:presLayoutVars>
      </dgm:prSet>
      <dgm:spPr/>
    </dgm:pt>
    <dgm:pt modelId="{763BB8CD-ECE7-4B1D-B813-398D4DE86D6E}" type="pres">
      <dgm:prSet presAssocID="{94A7FF32-3129-4C7F-8F40-839B6A4688CB}" presName="rootComposite" presStyleCnt="0"/>
      <dgm:spPr/>
    </dgm:pt>
    <dgm:pt modelId="{524F662D-19D3-420B-A1A7-7202B760C712}" type="pres">
      <dgm:prSet presAssocID="{94A7FF32-3129-4C7F-8F40-839B6A4688CB}" presName="rootText" presStyleLbl="node4" presStyleIdx="44" presStyleCnt="56" custScaleX="117429">
        <dgm:presLayoutVars>
          <dgm:chPref val="3"/>
        </dgm:presLayoutVars>
      </dgm:prSet>
      <dgm:spPr/>
      <dgm:t>
        <a:bodyPr/>
        <a:lstStyle/>
        <a:p>
          <a:endParaRPr lang="tr-TR"/>
        </a:p>
      </dgm:t>
    </dgm:pt>
    <dgm:pt modelId="{BAF2533A-881D-4AC1-92B8-4E86E105AAF2}" type="pres">
      <dgm:prSet presAssocID="{94A7FF32-3129-4C7F-8F40-839B6A4688CB}" presName="rootConnector" presStyleLbl="node4" presStyleIdx="44" presStyleCnt="56"/>
      <dgm:spPr/>
      <dgm:t>
        <a:bodyPr/>
        <a:lstStyle/>
        <a:p>
          <a:endParaRPr lang="tr-TR"/>
        </a:p>
      </dgm:t>
    </dgm:pt>
    <dgm:pt modelId="{2B64FFE8-F41A-4E15-96D6-79D87A17CEBC}" type="pres">
      <dgm:prSet presAssocID="{94A7FF32-3129-4C7F-8F40-839B6A4688CB}" presName="hierChild4" presStyleCnt="0"/>
      <dgm:spPr/>
    </dgm:pt>
    <dgm:pt modelId="{3D669E8F-837E-45B8-A664-7A23E8852CBE}" type="pres">
      <dgm:prSet presAssocID="{94A7FF32-3129-4C7F-8F40-839B6A4688CB}" presName="hierChild5" presStyleCnt="0"/>
      <dgm:spPr/>
    </dgm:pt>
    <dgm:pt modelId="{8CBE1289-4AEF-476F-A26D-D978B712BB4A}" type="pres">
      <dgm:prSet presAssocID="{B9503C49-581A-41E5-9CDE-2CBF0D336334}" presName="Name37" presStyleLbl="parChTrans1D4" presStyleIdx="45" presStyleCnt="56"/>
      <dgm:spPr/>
      <dgm:t>
        <a:bodyPr/>
        <a:lstStyle/>
        <a:p>
          <a:endParaRPr lang="tr-TR"/>
        </a:p>
      </dgm:t>
    </dgm:pt>
    <dgm:pt modelId="{6FBAF846-1A34-4ABD-971B-6F6B506B593E}" type="pres">
      <dgm:prSet presAssocID="{843CC71B-BE4A-4148-814F-DE65779C755C}" presName="hierRoot2" presStyleCnt="0">
        <dgm:presLayoutVars>
          <dgm:hierBranch val="init"/>
        </dgm:presLayoutVars>
      </dgm:prSet>
      <dgm:spPr/>
    </dgm:pt>
    <dgm:pt modelId="{90C77350-4845-4123-99E4-EB55EB7E74BF}" type="pres">
      <dgm:prSet presAssocID="{843CC71B-BE4A-4148-814F-DE65779C755C}" presName="rootComposite" presStyleCnt="0"/>
      <dgm:spPr/>
    </dgm:pt>
    <dgm:pt modelId="{D95718B3-FD93-4B56-8A35-162E099AEC7C}" type="pres">
      <dgm:prSet presAssocID="{843CC71B-BE4A-4148-814F-DE65779C755C}" presName="rootText" presStyleLbl="node4" presStyleIdx="45" presStyleCnt="56" custScaleX="118725">
        <dgm:presLayoutVars>
          <dgm:chPref val="3"/>
        </dgm:presLayoutVars>
      </dgm:prSet>
      <dgm:spPr/>
      <dgm:t>
        <a:bodyPr/>
        <a:lstStyle/>
        <a:p>
          <a:endParaRPr lang="tr-TR"/>
        </a:p>
      </dgm:t>
    </dgm:pt>
    <dgm:pt modelId="{206F194D-4ECD-457E-A879-C015E356B4D7}" type="pres">
      <dgm:prSet presAssocID="{843CC71B-BE4A-4148-814F-DE65779C755C}" presName="rootConnector" presStyleLbl="node4" presStyleIdx="45" presStyleCnt="56"/>
      <dgm:spPr/>
      <dgm:t>
        <a:bodyPr/>
        <a:lstStyle/>
        <a:p>
          <a:endParaRPr lang="tr-TR"/>
        </a:p>
      </dgm:t>
    </dgm:pt>
    <dgm:pt modelId="{8C48C81F-03C5-4266-BBE9-1EB4CECDC027}" type="pres">
      <dgm:prSet presAssocID="{843CC71B-BE4A-4148-814F-DE65779C755C}" presName="hierChild4" presStyleCnt="0"/>
      <dgm:spPr/>
    </dgm:pt>
    <dgm:pt modelId="{24734378-BC4A-434B-8E03-E62917DE4C74}" type="pres">
      <dgm:prSet presAssocID="{843CC71B-BE4A-4148-814F-DE65779C755C}" presName="hierChild5" presStyleCnt="0"/>
      <dgm:spPr/>
    </dgm:pt>
    <dgm:pt modelId="{8E9DA0E2-60DD-402C-A1B7-48CF92D097B7}" type="pres">
      <dgm:prSet presAssocID="{D7925904-502A-4706-B505-E2CB35487CEE}" presName="Name37" presStyleLbl="parChTrans1D4" presStyleIdx="46" presStyleCnt="56"/>
      <dgm:spPr/>
      <dgm:t>
        <a:bodyPr/>
        <a:lstStyle/>
        <a:p>
          <a:endParaRPr lang="tr-TR"/>
        </a:p>
      </dgm:t>
    </dgm:pt>
    <dgm:pt modelId="{84ED445D-5B6E-4D64-A9C9-0C4114737A46}" type="pres">
      <dgm:prSet presAssocID="{A997670A-5350-409D-8533-3CA5F38EC263}" presName="hierRoot2" presStyleCnt="0">
        <dgm:presLayoutVars>
          <dgm:hierBranch val="init"/>
        </dgm:presLayoutVars>
      </dgm:prSet>
      <dgm:spPr/>
    </dgm:pt>
    <dgm:pt modelId="{9271ED69-EE9B-4874-876D-F2D80E8B3839}" type="pres">
      <dgm:prSet presAssocID="{A997670A-5350-409D-8533-3CA5F38EC263}" presName="rootComposite" presStyleCnt="0"/>
      <dgm:spPr/>
    </dgm:pt>
    <dgm:pt modelId="{B3F4F474-C0EE-4C60-BA05-BD4FBF9BEDC9}" type="pres">
      <dgm:prSet presAssocID="{A997670A-5350-409D-8533-3CA5F38EC263}" presName="rootText" presStyleLbl="node4" presStyleIdx="46" presStyleCnt="56" custScaleX="118579">
        <dgm:presLayoutVars>
          <dgm:chPref val="3"/>
        </dgm:presLayoutVars>
      </dgm:prSet>
      <dgm:spPr/>
      <dgm:t>
        <a:bodyPr/>
        <a:lstStyle/>
        <a:p>
          <a:endParaRPr lang="tr-TR"/>
        </a:p>
      </dgm:t>
    </dgm:pt>
    <dgm:pt modelId="{92B20ED0-C0DC-4DCA-87D8-C9D8A3AB4A6C}" type="pres">
      <dgm:prSet presAssocID="{A997670A-5350-409D-8533-3CA5F38EC263}" presName="rootConnector" presStyleLbl="node4" presStyleIdx="46" presStyleCnt="56"/>
      <dgm:spPr/>
      <dgm:t>
        <a:bodyPr/>
        <a:lstStyle/>
        <a:p>
          <a:endParaRPr lang="tr-TR"/>
        </a:p>
      </dgm:t>
    </dgm:pt>
    <dgm:pt modelId="{064DE8E8-03A9-4E5D-91BE-384041A943C0}" type="pres">
      <dgm:prSet presAssocID="{A997670A-5350-409D-8533-3CA5F38EC263}" presName="hierChild4" presStyleCnt="0"/>
      <dgm:spPr/>
    </dgm:pt>
    <dgm:pt modelId="{34550088-7086-4F14-9FF1-563903CED429}" type="pres">
      <dgm:prSet presAssocID="{A997670A-5350-409D-8533-3CA5F38EC263}" presName="hierChild5" presStyleCnt="0"/>
      <dgm:spPr/>
    </dgm:pt>
    <dgm:pt modelId="{DCCB622E-01B7-4B46-8D7E-4E95296C5561}" type="pres">
      <dgm:prSet presAssocID="{853E637C-1194-4BAD-A6A1-3690D1B97DE2}" presName="Name37" presStyleLbl="parChTrans1D4" presStyleIdx="47" presStyleCnt="56"/>
      <dgm:spPr/>
      <dgm:t>
        <a:bodyPr/>
        <a:lstStyle/>
        <a:p>
          <a:endParaRPr lang="tr-TR"/>
        </a:p>
      </dgm:t>
    </dgm:pt>
    <dgm:pt modelId="{73F0D3DA-D124-4C7E-826B-C1FEB1DDF19D}" type="pres">
      <dgm:prSet presAssocID="{B839EB4A-CA43-4A89-A1E1-FD91031A0E3D}" presName="hierRoot2" presStyleCnt="0">
        <dgm:presLayoutVars>
          <dgm:hierBranch val="init"/>
        </dgm:presLayoutVars>
      </dgm:prSet>
      <dgm:spPr/>
    </dgm:pt>
    <dgm:pt modelId="{F37C744E-6415-4D66-AAF9-8F14D38FC21B}" type="pres">
      <dgm:prSet presAssocID="{B839EB4A-CA43-4A89-A1E1-FD91031A0E3D}" presName="rootComposite" presStyleCnt="0"/>
      <dgm:spPr/>
    </dgm:pt>
    <dgm:pt modelId="{16EDBB62-EDB7-4028-A3A2-883034DA095E}" type="pres">
      <dgm:prSet presAssocID="{B839EB4A-CA43-4A89-A1E1-FD91031A0E3D}" presName="rootText" presStyleLbl="node4" presStyleIdx="47" presStyleCnt="56" custScaleX="118579">
        <dgm:presLayoutVars>
          <dgm:chPref val="3"/>
        </dgm:presLayoutVars>
      </dgm:prSet>
      <dgm:spPr/>
      <dgm:t>
        <a:bodyPr/>
        <a:lstStyle/>
        <a:p>
          <a:endParaRPr lang="tr-TR"/>
        </a:p>
      </dgm:t>
    </dgm:pt>
    <dgm:pt modelId="{42CF06FA-E012-41EE-8967-87EDBA5817F1}" type="pres">
      <dgm:prSet presAssocID="{B839EB4A-CA43-4A89-A1E1-FD91031A0E3D}" presName="rootConnector" presStyleLbl="node4" presStyleIdx="47" presStyleCnt="56"/>
      <dgm:spPr/>
      <dgm:t>
        <a:bodyPr/>
        <a:lstStyle/>
        <a:p>
          <a:endParaRPr lang="tr-TR"/>
        </a:p>
      </dgm:t>
    </dgm:pt>
    <dgm:pt modelId="{765FF732-C13F-4383-A1CF-2C6DB45832DF}" type="pres">
      <dgm:prSet presAssocID="{B839EB4A-CA43-4A89-A1E1-FD91031A0E3D}" presName="hierChild4" presStyleCnt="0"/>
      <dgm:spPr/>
    </dgm:pt>
    <dgm:pt modelId="{D6D06AD3-030D-4BAA-8832-B63767A94AF8}" type="pres">
      <dgm:prSet presAssocID="{B839EB4A-CA43-4A89-A1E1-FD91031A0E3D}" presName="hierChild5" presStyleCnt="0"/>
      <dgm:spPr/>
    </dgm:pt>
    <dgm:pt modelId="{5F254104-797D-4D64-B885-5E311CC0E933}" type="pres">
      <dgm:prSet presAssocID="{93BE8312-60FF-4A18-9EA6-AD54CFE90231}" presName="hierChild5" presStyleCnt="0"/>
      <dgm:spPr/>
    </dgm:pt>
    <dgm:pt modelId="{19C6EFBB-6565-47FF-89B7-B53E6C4CEBDD}" type="pres">
      <dgm:prSet presAssocID="{56328005-7EE0-431F-BDB6-C9BBD4535452}" presName="Name37" presStyleLbl="parChTrans1D3" presStyleIdx="9" presStyleCnt="11"/>
      <dgm:spPr/>
      <dgm:t>
        <a:bodyPr/>
        <a:lstStyle/>
        <a:p>
          <a:endParaRPr lang="tr-TR"/>
        </a:p>
      </dgm:t>
    </dgm:pt>
    <dgm:pt modelId="{FC4C435F-B66E-47DE-AE67-81EC616F5547}" type="pres">
      <dgm:prSet presAssocID="{C3357074-9C8C-40BA-A836-5CA61323EB1A}" presName="hierRoot2" presStyleCnt="0">
        <dgm:presLayoutVars>
          <dgm:hierBranch val="init"/>
        </dgm:presLayoutVars>
      </dgm:prSet>
      <dgm:spPr/>
    </dgm:pt>
    <dgm:pt modelId="{6E107B4D-92D0-4950-8904-1C51D1B458EF}" type="pres">
      <dgm:prSet presAssocID="{C3357074-9C8C-40BA-A836-5CA61323EB1A}" presName="rootComposite" presStyleCnt="0"/>
      <dgm:spPr/>
    </dgm:pt>
    <dgm:pt modelId="{671D9DDB-D638-47FA-B5F5-C16F5197F411}" type="pres">
      <dgm:prSet presAssocID="{C3357074-9C8C-40BA-A836-5CA61323EB1A}" presName="rootText" presStyleLbl="node3" presStyleIdx="9" presStyleCnt="11" custScaleX="122030">
        <dgm:presLayoutVars>
          <dgm:chPref val="3"/>
        </dgm:presLayoutVars>
      </dgm:prSet>
      <dgm:spPr/>
      <dgm:t>
        <a:bodyPr/>
        <a:lstStyle/>
        <a:p>
          <a:endParaRPr lang="tr-TR"/>
        </a:p>
      </dgm:t>
    </dgm:pt>
    <dgm:pt modelId="{A06D472D-82F3-4179-8C95-343391DA28F6}" type="pres">
      <dgm:prSet presAssocID="{C3357074-9C8C-40BA-A836-5CA61323EB1A}" presName="rootConnector" presStyleLbl="node3" presStyleIdx="9" presStyleCnt="11"/>
      <dgm:spPr/>
      <dgm:t>
        <a:bodyPr/>
        <a:lstStyle/>
        <a:p>
          <a:endParaRPr lang="tr-TR"/>
        </a:p>
      </dgm:t>
    </dgm:pt>
    <dgm:pt modelId="{60B4E69C-ECF2-48D8-9E07-149E43153A35}" type="pres">
      <dgm:prSet presAssocID="{C3357074-9C8C-40BA-A836-5CA61323EB1A}" presName="hierChild4" presStyleCnt="0"/>
      <dgm:spPr/>
    </dgm:pt>
    <dgm:pt modelId="{F2850BC2-9475-4B9F-BDA2-AA19F8DDE998}" type="pres">
      <dgm:prSet presAssocID="{FAB385CE-74C9-4D4F-A1A5-15C2AC9D18E0}" presName="Name37" presStyleLbl="parChTrans1D4" presStyleIdx="48" presStyleCnt="56"/>
      <dgm:spPr/>
      <dgm:t>
        <a:bodyPr/>
        <a:lstStyle/>
        <a:p>
          <a:endParaRPr lang="tr-TR"/>
        </a:p>
      </dgm:t>
    </dgm:pt>
    <dgm:pt modelId="{BE93A913-6DC2-4E2F-B168-DC21C7EB9E03}" type="pres">
      <dgm:prSet presAssocID="{4E72ACA5-18AA-4764-B7FA-41E766E34B23}" presName="hierRoot2" presStyleCnt="0">
        <dgm:presLayoutVars>
          <dgm:hierBranch val="init"/>
        </dgm:presLayoutVars>
      </dgm:prSet>
      <dgm:spPr/>
    </dgm:pt>
    <dgm:pt modelId="{CE55F37D-AFCB-415E-9A44-0356D3AAF545}" type="pres">
      <dgm:prSet presAssocID="{4E72ACA5-18AA-4764-B7FA-41E766E34B23}" presName="rootComposite" presStyleCnt="0"/>
      <dgm:spPr/>
    </dgm:pt>
    <dgm:pt modelId="{DC58BA5D-C875-4AF3-BB12-3874258E408D}" type="pres">
      <dgm:prSet presAssocID="{4E72ACA5-18AA-4764-B7FA-41E766E34B23}" presName="rootText" presStyleLbl="node4" presStyleIdx="48" presStyleCnt="56" custScaleX="117429" custScaleY="130957">
        <dgm:presLayoutVars>
          <dgm:chPref val="3"/>
        </dgm:presLayoutVars>
      </dgm:prSet>
      <dgm:spPr/>
      <dgm:t>
        <a:bodyPr/>
        <a:lstStyle/>
        <a:p>
          <a:endParaRPr lang="tr-TR"/>
        </a:p>
      </dgm:t>
    </dgm:pt>
    <dgm:pt modelId="{438B9E4C-890B-49C2-83F5-67454D83AD0F}" type="pres">
      <dgm:prSet presAssocID="{4E72ACA5-18AA-4764-B7FA-41E766E34B23}" presName="rootConnector" presStyleLbl="node4" presStyleIdx="48" presStyleCnt="56"/>
      <dgm:spPr/>
      <dgm:t>
        <a:bodyPr/>
        <a:lstStyle/>
        <a:p>
          <a:endParaRPr lang="tr-TR"/>
        </a:p>
      </dgm:t>
    </dgm:pt>
    <dgm:pt modelId="{24F6E41D-4989-4DEC-A641-100D95C92144}" type="pres">
      <dgm:prSet presAssocID="{4E72ACA5-18AA-4764-B7FA-41E766E34B23}" presName="hierChild4" presStyleCnt="0"/>
      <dgm:spPr/>
    </dgm:pt>
    <dgm:pt modelId="{C9571C38-4C8D-4633-AFA1-95D2D9AD74EB}" type="pres">
      <dgm:prSet presAssocID="{4E72ACA5-18AA-4764-B7FA-41E766E34B23}" presName="hierChild5" presStyleCnt="0"/>
      <dgm:spPr/>
    </dgm:pt>
    <dgm:pt modelId="{62E94D45-A38C-4510-8F77-2C7CABD6FD05}" type="pres">
      <dgm:prSet presAssocID="{06B86893-C170-4D83-8279-EAA21D0E124E}" presName="Name37" presStyleLbl="parChTrans1D4" presStyleIdx="49" presStyleCnt="56"/>
      <dgm:spPr/>
      <dgm:t>
        <a:bodyPr/>
        <a:lstStyle/>
        <a:p>
          <a:endParaRPr lang="tr-TR"/>
        </a:p>
      </dgm:t>
    </dgm:pt>
    <dgm:pt modelId="{0C631497-3346-456E-8CDE-999E94641918}" type="pres">
      <dgm:prSet presAssocID="{DD936D03-697C-4B91-9797-9EF02B29DE1C}" presName="hierRoot2" presStyleCnt="0">
        <dgm:presLayoutVars>
          <dgm:hierBranch val="init"/>
        </dgm:presLayoutVars>
      </dgm:prSet>
      <dgm:spPr/>
    </dgm:pt>
    <dgm:pt modelId="{27FDCD83-1618-4B31-9DC3-4D008C6DBB63}" type="pres">
      <dgm:prSet presAssocID="{DD936D03-697C-4B91-9797-9EF02B29DE1C}" presName="rootComposite" presStyleCnt="0"/>
      <dgm:spPr/>
    </dgm:pt>
    <dgm:pt modelId="{5A300110-BBEE-4A18-9403-13331D4F1114}" type="pres">
      <dgm:prSet presAssocID="{DD936D03-697C-4B91-9797-9EF02B29DE1C}" presName="rootText" presStyleLbl="node4" presStyleIdx="49" presStyleCnt="56" custScaleX="118579">
        <dgm:presLayoutVars>
          <dgm:chPref val="3"/>
        </dgm:presLayoutVars>
      </dgm:prSet>
      <dgm:spPr/>
      <dgm:t>
        <a:bodyPr/>
        <a:lstStyle/>
        <a:p>
          <a:endParaRPr lang="tr-TR"/>
        </a:p>
      </dgm:t>
    </dgm:pt>
    <dgm:pt modelId="{D0BCF1E6-A471-4B6B-B837-D52867CFE306}" type="pres">
      <dgm:prSet presAssocID="{DD936D03-697C-4B91-9797-9EF02B29DE1C}" presName="rootConnector" presStyleLbl="node4" presStyleIdx="49" presStyleCnt="56"/>
      <dgm:spPr/>
      <dgm:t>
        <a:bodyPr/>
        <a:lstStyle/>
        <a:p>
          <a:endParaRPr lang="tr-TR"/>
        </a:p>
      </dgm:t>
    </dgm:pt>
    <dgm:pt modelId="{D8F8D05C-2701-436D-80AC-3DABCA26E791}" type="pres">
      <dgm:prSet presAssocID="{DD936D03-697C-4B91-9797-9EF02B29DE1C}" presName="hierChild4" presStyleCnt="0"/>
      <dgm:spPr/>
    </dgm:pt>
    <dgm:pt modelId="{F7A97A6E-C1DB-4A1F-B8E2-3156470A4DA0}" type="pres">
      <dgm:prSet presAssocID="{DD936D03-697C-4B91-9797-9EF02B29DE1C}" presName="hierChild5" presStyleCnt="0"/>
      <dgm:spPr/>
    </dgm:pt>
    <dgm:pt modelId="{0F2A3B2A-CB58-44C1-AA4D-965AA4E5F801}" type="pres">
      <dgm:prSet presAssocID="{D1F13672-FC22-44CC-B962-0EECE9438117}" presName="Name37" presStyleLbl="parChTrans1D4" presStyleIdx="50" presStyleCnt="56"/>
      <dgm:spPr/>
      <dgm:t>
        <a:bodyPr/>
        <a:lstStyle/>
        <a:p>
          <a:endParaRPr lang="tr-TR"/>
        </a:p>
      </dgm:t>
    </dgm:pt>
    <dgm:pt modelId="{5950C84F-13B6-4B30-95EF-F2AC4731EC74}" type="pres">
      <dgm:prSet presAssocID="{6782BA31-732A-4DA1-A008-FDB28C3F0D2A}" presName="hierRoot2" presStyleCnt="0">
        <dgm:presLayoutVars>
          <dgm:hierBranch val="init"/>
        </dgm:presLayoutVars>
      </dgm:prSet>
      <dgm:spPr/>
    </dgm:pt>
    <dgm:pt modelId="{E25AA89D-5D75-4888-99CE-AE32B445CF79}" type="pres">
      <dgm:prSet presAssocID="{6782BA31-732A-4DA1-A008-FDB28C3F0D2A}" presName="rootComposite" presStyleCnt="0"/>
      <dgm:spPr/>
    </dgm:pt>
    <dgm:pt modelId="{7A13505D-A18A-454A-8BBB-FC96E81668C5}" type="pres">
      <dgm:prSet presAssocID="{6782BA31-732A-4DA1-A008-FDB28C3F0D2A}" presName="rootText" presStyleLbl="node4" presStyleIdx="50" presStyleCnt="56" custScaleX="118579">
        <dgm:presLayoutVars>
          <dgm:chPref val="3"/>
        </dgm:presLayoutVars>
      </dgm:prSet>
      <dgm:spPr/>
      <dgm:t>
        <a:bodyPr/>
        <a:lstStyle/>
        <a:p>
          <a:endParaRPr lang="tr-TR"/>
        </a:p>
      </dgm:t>
    </dgm:pt>
    <dgm:pt modelId="{8CA3CB43-FBF1-4CFA-89F7-EB34B4F08376}" type="pres">
      <dgm:prSet presAssocID="{6782BA31-732A-4DA1-A008-FDB28C3F0D2A}" presName="rootConnector" presStyleLbl="node4" presStyleIdx="50" presStyleCnt="56"/>
      <dgm:spPr/>
      <dgm:t>
        <a:bodyPr/>
        <a:lstStyle/>
        <a:p>
          <a:endParaRPr lang="tr-TR"/>
        </a:p>
      </dgm:t>
    </dgm:pt>
    <dgm:pt modelId="{E2F1590D-2938-48C2-BCEA-561193CBB5D3}" type="pres">
      <dgm:prSet presAssocID="{6782BA31-732A-4DA1-A008-FDB28C3F0D2A}" presName="hierChild4" presStyleCnt="0"/>
      <dgm:spPr/>
    </dgm:pt>
    <dgm:pt modelId="{C395B140-DA81-4051-A13F-36ABA16FE1CA}" type="pres">
      <dgm:prSet presAssocID="{6782BA31-732A-4DA1-A008-FDB28C3F0D2A}" presName="hierChild5" presStyleCnt="0"/>
      <dgm:spPr/>
    </dgm:pt>
    <dgm:pt modelId="{1BFE45E6-C3C2-480F-8063-AF754FCCE3AC}" type="pres">
      <dgm:prSet presAssocID="{330C76B0-866D-4337-992D-9D5BBE999A9C}" presName="Name37" presStyleLbl="parChTrans1D4" presStyleIdx="51" presStyleCnt="56"/>
      <dgm:spPr/>
      <dgm:t>
        <a:bodyPr/>
        <a:lstStyle/>
        <a:p>
          <a:endParaRPr lang="tr-TR"/>
        </a:p>
      </dgm:t>
    </dgm:pt>
    <dgm:pt modelId="{83BE0DF8-8880-4455-9B5A-347BA2A9D85B}" type="pres">
      <dgm:prSet presAssocID="{BF259CE3-6941-408D-87E7-78F4D66A856B}" presName="hierRoot2" presStyleCnt="0">
        <dgm:presLayoutVars>
          <dgm:hierBranch val="init"/>
        </dgm:presLayoutVars>
      </dgm:prSet>
      <dgm:spPr/>
    </dgm:pt>
    <dgm:pt modelId="{6A79F84F-C56F-47A5-8427-2B33FA3412A5}" type="pres">
      <dgm:prSet presAssocID="{BF259CE3-6941-408D-87E7-78F4D66A856B}" presName="rootComposite" presStyleCnt="0"/>
      <dgm:spPr/>
    </dgm:pt>
    <dgm:pt modelId="{DC2349D7-16DF-4659-94F9-A12775D36AE9}" type="pres">
      <dgm:prSet presAssocID="{BF259CE3-6941-408D-87E7-78F4D66A856B}" presName="rootText" presStyleLbl="node4" presStyleIdx="51" presStyleCnt="56" custScaleX="118579">
        <dgm:presLayoutVars>
          <dgm:chPref val="3"/>
        </dgm:presLayoutVars>
      </dgm:prSet>
      <dgm:spPr/>
      <dgm:t>
        <a:bodyPr/>
        <a:lstStyle/>
        <a:p>
          <a:endParaRPr lang="tr-TR"/>
        </a:p>
      </dgm:t>
    </dgm:pt>
    <dgm:pt modelId="{81B51C4A-7AE6-45DA-8E65-113C94E05651}" type="pres">
      <dgm:prSet presAssocID="{BF259CE3-6941-408D-87E7-78F4D66A856B}" presName="rootConnector" presStyleLbl="node4" presStyleIdx="51" presStyleCnt="56"/>
      <dgm:spPr/>
      <dgm:t>
        <a:bodyPr/>
        <a:lstStyle/>
        <a:p>
          <a:endParaRPr lang="tr-TR"/>
        </a:p>
      </dgm:t>
    </dgm:pt>
    <dgm:pt modelId="{B07A0607-007F-40E1-B178-82AE73EBEA6B}" type="pres">
      <dgm:prSet presAssocID="{BF259CE3-6941-408D-87E7-78F4D66A856B}" presName="hierChild4" presStyleCnt="0"/>
      <dgm:spPr/>
    </dgm:pt>
    <dgm:pt modelId="{B52DF22C-C702-4E82-8A6E-DD575775A13B}" type="pres">
      <dgm:prSet presAssocID="{BF259CE3-6941-408D-87E7-78F4D66A856B}" presName="hierChild5" presStyleCnt="0"/>
      <dgm:spPr/>
    </dgm:pt>
    <dgm:pt modelId="{ACB9203C-ECED-4045-8807-8E5624804B6C}" type="pres">
      <dgm:prSet presAssocID="{C3357074-9C8C-40BA-A836-5CA61323EB1A}" presName="hierChild5" presStyleCnt="0"/>
      <dgm:spPr/>
    </dgm:pt>
    <dgm:pt modelId="{DCEE3BA0-E00A-4461-8B8B-6FCF24E39389}" type="pres">
      <dgm:prSet presAssocID="{0445846A-5234-4BCE-AB61-7CC5DF393F9A}" presName="Name37" presStyleLbl="parChTrans1D3" presStyleIdx="10" presStyleCnt="11"/>
      <dgm:spPr/>
      <dgm:t>
        <a:bodyPr/>
        <a:lstStyle/>
        <a:p>
          <a:endParaRPr lang="tr-TR"/>
        </a:p>
      </dgm:t>
    </dgm:pt>
    <dgm:pt modelId="{2B0BB38A-6190-4D6A-AD8F-66D2538101FE}" type="pres">
      <dgm:prSet presAssocID="{C558FDEB-193B-421E-81D3-EE6F32969F7E}" presName="hierRoot2" presStyleCnt="0">
        <dgm:presLayoutVars>
          <dgm:hierBranch val="init"/>
        </dgm:presLayoutVars>
      </dgm:prSet>
      <dgm:spPr/>
    </dgm:pt>
    <dgm:pt modelId="{32FABF3B-033C-43ED-9D52-065A3FDDC60A}" type="pres">
      <dgm:prSet presAssocID="{C558FDEB-193B-421E-81D3-EE6F32969F7E}" presName="rootComposite" presStyleCnt="0"/>
      <dgm:spPr/>
    </dgm:pt>
    <dgm:pt modelId="{370C695A-599E-40C0-8A42-33A5D2972CDA}" type="pres">
      <dgm:prSet presAssocID="{C558FDEB-193B-421E-81D3-EE6F32969F7E}" presName="rootText" presStyleLbl="node3" presStyleIdx="10" presStyleCnt="11" custScaleX="122030">
        <dgm:presLayoutVars>
          <dgm:chPref val="3"/>
        </dgm:presLayoutVars>
      </dgm:prSet>
      <dgm:spPr/>
      <dgm:t>
        <a:bodyPr/>
        <a:lstStyle/>
        <a:p>
          <a:endParaRPr lang="tr-TR"/>
        </a:p>
      </dgm:t>
    </dgm:pt>
    <dgm:pt modelId="{46781EE4-5D0F-4BB5-A303-8B299755839F}" type="pres">
      <dgm:prSet presAssocID="{C558FDEB-193B-421E-81D3-EE6F32969F7E}" presName="rootConnector" presStyleLbl="node3" presStyleIdx="10" presStyleCnt="11"/>
      <dgm:spPr/>
      <dgm:t>
        <a:bodyPr/>
        <a:lstStyle/>
        <a:p>
          <a:endParaRPr lang="tr-TR"/>
        </a:p>
      </dgm:t>
    </dgm:pt>
    <dgm:pt modelId="{A69F6317-2C20-4C30-8F80-2840689D3E30}" type="pres">
      <dgm:prSet presAssocID="{C558FDEB-193B-421E-81D3-EE6F32969F7E}" presName="hierChild4" presStyleCnt="0"/>
      <dgm:spPr/>
    </dgm:pt>
    <dgm:pt modelId="{35E1FAB6-A167-42BE-9E36-819AA8FE6989}" type="pres">
      <dgm:prSet presAssocID="{1EAD86CA-8034-4511-84A9-FAE7ECFA05BC}" presName="Name37" presStyleLbl="parChTrans1D4" presStyleIdx="52" presStyleCnt="56"/>
      <dgm:spPr/>
      <dgm:t>
        <a:bodyPr/>
        <a:lstStyle/>
        <a:p>
          <a:endParaRPr lang="tr-TR"/>
        </a:p>
      </dgm:t>
    </dgm:pt>
    <dgm:pt modelId="{14430F85-574D-46B6-9684-4ED2D5C7CC26}" type="pres">
      <dgm:prSet presAssocID="{865FD127-6124-4550-8491-6B3005B96C45}" presName="hierRoot2" presStyleCnt="0">
        <dgm:presLayoutVars>
          <dgm:hierBranch val="init"/>
        </dgm:presLayoutVars>
      </dgm:prSet>
      <dgm:spPr/>
    </dgm:pt>
    <dgm:pt modelId="{FC92220A-1F0C-4D17-9012-9613FFCAB4B8}" type="pres">
      <dgm:prSet presAssocID="{865FD127-6124-4550-8491-6B3005B96C45}" presName="rootComposite" presStyleCnt="0"/>
      <dgm:spPr/>
    </dgm:pt>
    <dgm:pt modelId="{B8F7110E-608E-473B-915B-949F1272366F}" type="pres">
      <dgm:prSet presAssocID="{865FD127-6124-4550-8491-6B3005B96C45}" presName="rootText" presStyleLbl="node4" presStyleIdx="52" presStyleCnt="56" custScaleX="117429">
        <dgm:presLayoutVars>
          <dgm:chPref val="3"/>
        </dgm:presLayoutVars>
      </dgm:prSet>
      <dgm:spPr/>
      <dgm:t>
        <a:bodyPr/>
        <a:lstStyle/>
        <a:p>
          <a:endParaRPr lang="tr-TR"/>
        </a:p>
      </dgm:t>
    </dgm:pt>
    <dgm:pt modelId="{6CF447B9-D137-4A9D-BE44-EDFD391210DF}" type="pres">
      <dgm:prSet presAssocID="{865FD127-6124-4550-8491-6B3005B96C45}" presName="rootConnector" presStyleLbl="node4" presStyleIdx="52" presStyleCnt="56"/>
      <dgm:spPr/>
      <dgm:t>
        <a:bodyPr/>
        <a:lstStyle/>
        <a:p>
          <a:endParaRPr lang="tr-TR"/>
        </a:p>
      </dgm:t>
    </dgm:pt>
    <dgm:pt modelId="{F60E10C1-1C7C-4D5E-8012-2B74AC316E1C}" type="pres">
      <dgm:prSet presAssocID="{865FD127-6124-4550-8491-6B3005B96C45}" presName="hierChild4" presStyleCnt="0"/>
      <dgm:spPr/>
    </dgm:pt>
    <dgm:pt modelId="{CCE48815-F6B1-4EC4-88C5-F50E3F54742D}" type="pres">
      <dgm:prSet presAssocID="{865FD127-6124-4550-8491-6B3005B96C45}" presName="hierChild5" presStyleCnt="0"/>
      <dgm:spPr/>
    </dgm:pt>
    <dgm:pt modelId="{7B5DD997-EF47-4ECB-B1EA-65CD1083A84B}" type="pres">
      <dgm:prSet presAssocID="{2635F4F7-DADC-4954-94F1-BCDA22A84EA2}" presName="Name37" presStyleLbl="parChTrans1D4" presStyleIdx="53" presStyleCnt="56"/>
      <dgm:spPr/>
      <dgm:t>
        <a:bodyPr/>
        <a:lstStyle/>
        <a:p>
          <a:endParaRPr lang="tr-TR"/>
        </a:p>
      </dgm:t>
    </dgm:pt>
    <dgm:pt modelId="{AEF3FA02-F0E3-41D5-8872-2A43DCC6A0F5}" type="pres">
      <dgm:prSet presAssocID="{3527C0C3-1727-4877-92E1-269D9506FDBA}" presName="hierRoot2" presStyleCnt="0">
        <dgm:presLayoutVars>
          <dgm:hierBranch val="init"/>
        </dgm:presLayoutVars>
      </dgm:prSet>
      <dgm:spPr/>
    </dgm:pt>
    <dgm:pt modelId="{8DB71D5A-663F-43B8-86D0-6678D1962A8A}" type="pres">
      <dgm:prSet presAssocID="{3527C0C3-1727-4877-92E1-269D9506FDBA}" presName="rootComposite" presStyleCnt="0"/>
      <dgm:spPr/>
    </dgm:pt>
    <dgm:pt modelId="{A89A3808-C58E-4F76-A12D-0B0A4D188D89}" type="pres">
      <dgm:prSet presAssocID="{3527C0C3-1727-4877-92E1-269D9506FDBA}" presName="rootText" presStyleLbl="node4" presStyleIdx="53" presStyleCnt="56" custScaleX="118579" custScaleY="131216">
        <dgm:presLayoutVars>
          <dgm:chPref val="3"/>
        </dgm:presLayoutVars>
      </dgm:prSet>
      <dgm:spPr/>
      <dgm:t>
        <a:bodyPr/>
        <a:lstStyle/>
        <a:p>
          <a:endParaRPr lang="tr-TR"/>
        </a:p>
      </dgm:t>
    </dgm:pt>
    <dgm:pt modelId="{CFF90ADB-3260-40DE-BC0D-941DA5AB5BBE}" type="pres">
      <dgm:prSet presAssocID="{3527C0C3-1727-4877-92E1-269D9506FDBA}" presName="rootConnector" presStyleLbl="node4" presStyleIdx="53" presStyleCnt="56"/>
      <dgm:spPr/>
      <dgm:t>
        <a:bodyPr/>
        <a:lstStyle/>
        <a:p>
          <a:endParaRPr lang="tr-TR"/>
        </a:p>
      </dgm:t>
    </dgm:pt>
    <dgm:pt modelId="{15530375-6472-4BB2-B687-94F6FCBF70FB}" type="pres">
      <dgm:prSet presAssocID="{3527C0C3-1727-4877-92E1-269D9506FDBA}" presName="hierChild4" presStyleCnt="0"/>
      <dgm:spPr/>
    </dgm:pt>
    <dgm:pt modelId="{4D813469-0F89-473C-A0F9-D99C6C2A3F2C}" type="pres">
      <dgm:prSet presAssocID="{3527C0C3-1727-4877-92E1-269D9506FDBA}" presName="hierChild5" presStyleCnt="0"/>
      <dgm:spPr/>
    </dgm:pt>
    <dgm:pt modelId="{8E254624-35E3-49A8-A471-7D165E869A77}" type="pres">
      <dgm:prSet presAssocID="{D0CD4AA3-9FCF-416F-BD1A-BE1C5F6A3D2E}" presName="Name37" presStyleLbl="parChTrans1D4" presStyleIdx="54" presStyleCnt="56"/>
      <dgm:spPr/>
      <dgm:t>
        <a:bodyPr/>
        <a:lstStyle/>
        <a:p>
          <a:endParaRPr lang="tr-TR"/>
        </a:p>
      </dgm:t>
    </dgm:pt>
    <dgm:pt modelId="{85EE4D08-3FE2-4023-9E70-966B4B9730B2}" type="pres">
      <dgm:prSet presAssocID="{24C6315B-E5F4-4752-8027-35AE4FE423EA}" presName="hierRoot2" presStyleCnt="0">
        <dgm:presLayoutVars>
          <dgm:hierBranch val="init"/>
        </dgm:presLayoutVars>
      </dgm:prSet>
      <dgm:spPr/>
    </dgm:pt>
    <dgm:pt modelId="{64201AFF-8F3D-4B1A-A114-EB9D3027EB8E}" type="pres">
      <dgm:prSet presAssocID="{24C6315B-E5F4-4752-8027-35AE4FE423EA}" presName="rootComposite" presStyleCnt="0"/>
      <dgm:spPr/>
    </dgm:pt>
    <dgm:pt modelId="{0347B611-2A2C-47B2-AB22-BF77195FC1CE}" type="pres">
      <dgm:prSet presAssocID="{24C6315B-E5F4-4752-8027-35AE4FE423EA}" presName="rootText" presStyleLbl="node4" presStyleIdx="54" presStyleCnt="56" custScaleX="118579">
        <dgm:presLayoutVars>
          <dgm:chPref val="3"/>
        </dgm:presLayoutVars>
      </dgm:prSet>
      <dgm:spPr/>
      <dgm:t>
        <a:bodyPr/>
        <a:lstStyle/>
        <a:p>
          <a:endParaRPr lang="tr-TR"/>
        </a:p>
      </dgm:t>
    </dgm:pt>
    <dgm:pt modelId="{255F1C9E-6B1B-4A60-A558-4B8E9BD54302}" type="pres">
      <dgm:prSet presAssocID="{24C6315B-E5F4-4752-8027-35AE4FE423EA}" presName="rootConnector" presStyleLbl="node4" presStyleIdx="54" presStyleCnt="56"/>
      <dgm:spPr/>
      <dgm:t>
        <a:bodyPr/>
        <a:lstStyle/>
        <a:p>
          <a:endParaRPr lang="tr-TR"/>
        </a:p>
      </dgm:t>
    </dgm:pt>
    <dgm:pt modelId="{3141CB77-554D-4AB1-9095-24B3BB139320}" type="pres">
      <dgm:prSet presAssocID="{24C6315B-E5F4-4752-8027-35AE4FE423EA}" presName="hierChild4" presStyleCnt="0"/>
      <dgm:spPr/>
    </dgm:pt>
    <dgm:pt modelId="{4A6B0D62-DFDB-4144-B25E-CE34F835AFF9}" type="pres">
      <dgm:prSet presAssocID="{24C6315B-E5F4-4752-8027-35AE4FE423EA}" presName="hierChild5" presStyleCnt="0"/>
      <dgm:spPr/>
    </dgm:pt>
    <dgm:pt modelId="{D1D750D7-FCA4-4AA5-983B-66B7C28F4F26}" type="pres">
      <dgm:prSet presAssocID="{A2F070F8-452E-4470-8EA2-B23532FF8D96}" presName="Name37" presStyleLbl="parChTrans1D4" presStyleIdx="55" presStyleCnt="56"/>
      <dgm:spPr/>
      <dgm:t>
        <a:bodyPr/>
        <a:lstStyle/>
        <a:p>
          <a:endParaRPr lang="tr-TR"/>
        </a:p>
      </dgm:t>
    </dgm:pt>
    <dgm:pt modelId="{CD743767-AA7B-4066-A31C-546B9C7B173A}" type="pres">
      <dgm:prSet presAssocID="{664CF63C-E4CE-4C3F-9ABB-D36B13A4AFEB}" presName="hierRoot2" presStyleCnt="0">
        <dgm:presLayoutVars>
          <dgm:hierBranch val="init"/>
        </dgm:presLayoutVars>
      </dgm:prSet>
      <dgm:spPr/>
    </dgm:pt>
    <dgm:pt modelId="{D6260C4F-0AFC-4EB6-A56C-2573B437F049}" type="pres">
      <dgm:prSet presAssocID="{664CF63C-E4CE-4C3F-9ABB-D36B13A4AFEB}" presName="rootComposite" presStyleCnt="0"/>
      <dgm:spPr/>
    </dgm:pt>
    <dgm:pt modelId="{4CF16F1D-063F-4ECF-8BD4-3853B266718E}" type="pres">
      <dgm:prSet presAssocID="{664CF63C-E4CE-4C3F-9ABB-D36B13A4AFEB}" presName="rootText" presStyleLbl="node4" presStyleIdx="55" presStyleCnt="56" custScaleX="118579">
        <dgm:presLayoutVars>
          <dgm:chPref val="3"/>
        </dgm:presLayoutVars>
      </dgm:prSet>
      <dgm:spPr/>
      <dgm:t>
        <a:bodyPr/>
        <a:lstStyle/>
        <a:p>
          <a:endParaRPr lang="tr-TR"/>
        </a:p>
      </dgm:t>
    </dgm:pt>
    <dgm:pt modelId="{111FF868-F68A-41EC-AE33-6B0CC44DE028}" type="pres">
      <dgm:prSet presAssocID="{664CF63C-E4CE-4C3F-9ABB-D36B13A4AFEB}" presName="rootConnector" presStyleLbl="node4" presStyleIdx="55" presStyleCnt="56"/>
      <dgm:spPr/>
      <dgm:t>
        <a:bodyPr/>
        <a:lstStyle/>
        <a:p>
          <a:endParaRPr lang="tr-TR"/>
        </a:p>
      </dgm:t>
    </dgm:pt>
    <dgm:pt modelId="{B0A8450D-1D89-4DD5-A525-0B4A051AA370}" type="pres">
      <dgm:prSet presAssocID="{664CF63C-E4CE-4C3F-9ABB-D36B13A4AFEB}" presName="hierChild4" presStyleCnt="0"/>
      <dgm:spPr/>
    </dgm:pt>
    <dgm:pt modelId="{BBA6DE13-8A48-4BBE-9098-1BA63CCD00DE}" type="pres">
      <dgm:prSet presAssocID="{664CF63C-E4CE-4C3F-9ABB-D36B13A4AFEB}" presName="hierChild5" presStyleCnt="0"/>
      <dgm:spPr/>
    </dgm:pt>
    <dgm:pt modelId="{A4891AEC-7BCD-4BE3-846F-3B460749BD60}" type="pres">
      <dgm:prSet presAssocID="{C558FDEB-193B-421E-81D3-EE6F32969F7E}" presName="hierChild5" presStyleCnt="0"/>
      <dgm:spPr/>
    </dgm:pt>
    <dgm:pt modelId="{BC5E8637-E3A4-4087-B108-9B2F49F91DC7}" type="pres">
      <dgm:prSet presAssocID="{609C6040-D873-43D0-B8BA-EFF6D1934E09}" presName="hierChild5" presStyleCnt="0"/>
      <dgm:spPr/>
    </dgm:pt>
    <dgm:pt modelId="{136CB990-AF63-49A1-8A1B-437366CED58D}" type="pres">
      <dgm:prSet presAssocID="{10394310-CFAD-479A-A8E2-2E6737E8F278}" presName="hierChild3" presStyleCnt="0"/>
      <dgm:spPr/>
    </dgm:pt>
    <dgm:pt modelId="{18D08343-52D9-4D8C-B94A-6CEBFD6BA8D7}" type="pres">
      <dgm:prSet presAssocID="{B25E239B-EBCF-48F4-9AEC-9D950501DA62}" presName="Name111" presStyleLbl="parChTrans1D2" presStyleIdx="2" presStyleCnt="6"/>
      <dgm:spPr/>
      <dgm:t>
        <a:bodyPr/>
        <a:lstStyle/>
        <a:p>
          <a:endParaRPr lang="tr-TR"/>
        </a:p>
      </dgm:t>
    </dgm:pt>
    <dgm:pt modelId="{07A23174-8282-4D7E-A183-E8882EF08F2A}" type="pres">
      <dgm:prSet presAssocID="{0D844017-8824-4EE4-98B5-B8DF89884FBD}" presName="hierRoot3" presStyleCnt="0">
        <dgm:presLayoutVars>
          <dgm:hierBranch/>
        </dgm:presLayoutVars>
      </dgm:prSet>
      <dgm:spPr/>
    </dgm:pt>
    <dgm:pt modelId="{D1F3C9E8-C992-4209-B53E-2A8265017850}" type="pres">
      <dgm:prSet presAssocID="{0D844017-8824-4EE4-98B5-B8DF89884FBD}" presName="rootComposite3" presStyleCnt="0"/>
      <dgm:spPr/>
    </dgm:pt>
    <dgm:pt modelId="{449E5079-01BA-4D7A-ACAA-306781344FA0}" type="pres">
      <dgm:prSet presAssocID="{0D844017-8824-4EE4-98B5-B8DF89884FBD}" presName="rootText3" presStyleLbl="asst1" presStyleIdx="0" presStyleCnt="4" custScaleX="209514">
        <dgm:presLayoutVars>
          <dgm:chPref val="3"/>
        </dgm:presLayoutVars>
      </dgm:prSet>
      <dgm:spPr/>
      <dgm:t>
        <a:bodyPr/>
        <a:lstStyle/>
        <a:p>
          <a:endParaRPr lang="tr-TR"/>
        </a:p>
      </dgm:t>
    </dgm:pt>
    <dgm:pt modelId="{C9F92D14-0AF2-4FB0-A03B-C265CE546D2C}" type="pres">
      <dgm:prSet presAssocID="{0D844017-8824-4EE4-98B5-B8DF89884FBD}" presName="rootConnector3" presStyleLbl="asst1" presStyleIdx="0" presStyleCnt="4"/>
      <dgm:spPr/>
      <dgm:t>
        <a:bodyPr/>
        <a:lstStyle/>
        <a:p>
          <a:endParaRPr lang="tr-TR"/>
        </a:p>
      </dgm:t>
    </dgm:pt>
    <dgm:pt modelId="{7CBADE91-98B1-4EA4-8628-F01865BA7D0D}" type="pres">
      <dgm:prSet presAssocID="{0D844017-8824-4EE4-98B5-B8DF89884FBD}" presName="hierChild6" presStyleCnt="0"/>
      <dgm:spPr/>
    </dgm:pt>
    <dgm:pt modelId="{52710245-353A-4AD7-B462-C316FE408C67}" type="pres">
      <dgm:prSet presAssocID="{0D844017-8824-4EE4-98B5-B8DF89884FBD}" presName="hierChild7" presStyleCnt="0"/>
      <dgm:spPr/>
    </dgm:pt>
    <dgm:pt modelId="{355581B2-B65C-43A6-BA76-6F6FB19BD50D}" type="pres">
      <dgm:prSet presAssocID="{9595A993-FCD5-4EE4-8382-52A69B09D264}" presName="Name111" presStyleLbl="parChTrans1D2" presStyleIdx="3" presStyleCnt="6"/>
      <dgm:spPr/>
      <dgm:t>
        <a:bodyPr/>
        <a:lstStyle/>
        <a:p>
          <a:endParaRPr lang="tr-TR"/>
        </a:p>
      </dgm:t>
    </dgm:pt>
    <dgm:pt modelId="{EC7F4983-DD72-4926-8495-417A738589AC}" type="pres">
      <dgm:prSet presAssocID="{C634C660-3F08-4737-983E-BC4E46730E60}" presName="hierRoot3" presStyleCnt="0">
        <dgm:presLayoutVars>
          <dgm:hierBranch/>
        </dgm:presLayoutVars>
      </dgm:prSet>
      <dgm:spPr/>
    </dgm:pt>
    <dgm:pt modelId="{ED654AB3-1F0D-4F28-8E8B-8888659194BA}" type="pres">
      <dgm:prSet presAssocID="{C634C660-3F08-4737-983E-BC4E46730E60}" presName="rootComposite3" presStyleCnt="0"/>
      <dgm:spPr/>
    </dgm:pt>
    <dgm:pt modelId="{DD3934CC-731A-4EDB-B0BF-8D3468187259}" type="pres">
      <dgm:prSet presAssocID="{C634C660-3F08-4737-983E-BC4E46730E60}" presName="rootText3" presStyleLbl="asst1" presStyleIdx="1" presStyleCnt="4" custScaleX="209514">
        <dgm:presLayoutVars>
          <dgm:chPref val="3"/>
        </dgm:presLayoutVars>
      </dgm:prSet>
      <dgm:spPr/>
      <dgm:t>
        <a:bodyPr/>
        <a:lstStyle/>
        <a:p>
          <a:endParaRPr lang="tr-TR"/>
        </a:p>
      </dgm:t>
    </dgm:pt>
    <dgm:pt modelId="{21AE4516-4E77-43A4-B98C-338861F8E3B6}" type="pres">
      <dgm:prSet presAssocID="{C634C660-3F08-4737-983E-BC4E46730E60}" presName="rootConnector3" presStyleLbl="asst1" presStyleIdx="1" presStyleCnt="4"/>
      <dgm:spPr/>
      <dgm:t>
        <a:bodyPr/>
        <a:lstStyle/>
        <a:p>
          <a:endParaRPr lang="tr-TR"/>
        </a:p>
      </dgm:t>
    </dgm:pt>
    <dgm:pt modelId="{9F1D7E9F-971A-434D-9FD7-BA8D3A52DD02}" type="pres">
      <dgm:prSet presAssocID="{C634C660-3F08-4737-983E-BC4E46730E60}" presName="hierChild6" presStyleCnt="0"/>
      <dgm:spPr/>
    </dgm:pt>
    <dgm:pt modelId="{47B79182-E296-4A27-BB58-3928D405E544}" type="pres">
      <dgm:prSet presAssocID="{C634C660-3F08-4737-983E-BC4E46730E60}" presName="hierChild7" presStyleCnt="0"/>
      <dgm:spPr/>
    </dgm:pt>
    <dgm:pt modelId="{EC46F2F6-70EC-4E92-B601-73B7144FC1BA}" type="pres">
      <dgm:prSet presAssocID="{F8AC3784-F07C-4A96-A8A3-7B4B570FCDCC}" presName="Name111" presStyleLbl="parChTrans1D2" presStyleIdx="4" presStyleCnt="6"/>
      <dgm:spPr/>
      <dgm:t>
        <a:bodyPr/>
        <a:lstStyle/>
        <a:p>
          <a:endParaRPr lang="tr-TR"/>
        </a:p>
      </dgm:t>
    </dgm:pt>
    <dgm:pt modelId="{33C6642D-E592-48CA-950A-FB4DFC8812B8}" type="pres">
      <dgm:prSet presAssocID="{1C24A6BF-B111-4254-97C3-0F2E9D8101A0}" presName="hierRoot3" presStyleCnt="0">
        <dgm:presLayoutVars>
          <dgm:hierBranch/>
        </dgm:presLayoutVars>
      </dgm:prSet>
      <dgm:spPr/>
    </dgm:pt>
    <dgm:pt modelId="{12F4BC54-34EA-4666-ACA7-8B1D5E700918}" type="pres">
      <dgm:prSet presAssocID="{1C24A6BF-B111-4254-97C3-0F2E9D8101A0}" presName="rootComposite3" presStyleCnt="0"/>
      <dgm:spPr/>
    </dgm:pt>
    <dgm:pt modelId="{87069C5E-B98D-4179-AC1F-97973048C960}" type="pres">
      <dgm:prSet presAssocID="{1C24A6BF-B111-4254-97C3-0F2E9D8101A0}" presName="rootText3" presStyleLbl="asst1" presStyleIdx="2" presStyleCnt="4" custScaleX="209514">
        <dgm:presLayoutVars>
          <dgm:chPref val="3"/>
        </dgm:presLayoutVars>
      </dgm:prSet>
      <dgm:spPr/>
      <dgm:t>
        <a:bodyPr/>
        <a:lstStyle/>
        <a:p>
          <a:endParaRPr lang="tr-TR"/>
        </a:p>
      </dgm:t>
    </dgm:pt>
    <dgm:pt modelId="{ABCB872A-7606-4F76-AA79-CB7AF9DDCDB6}" type="pres">
      <dgm:prSet presAssocID="{1C24A6BF-B111-4254-97C3-0F2E9D8101A0}" presName="rootConnector3" presStyleLbl="asst1" presStyleIdx="2" presStyleCnt="4"/>
      <dgm:spPr/>
      <dgm:t>
        <a:bodyPr/>
        <a:lstStyle/>
        <a:p>
          <a:endParaRPr lang="tr-TR"/>
        </a:p>
      </dgm:t>
    </dgm:pt>
    <dgm:pt modelId="{F59961E0-0CF4-43B5-A96B-791110F82617}" type="pres">
      <dgm:prSet presAssocID="{1C24A6BF-B111-4254-97C3-0F2E9D8101A0}" presName="hierChild6" presStyleCnt="0"/>
      <dgm:spPr/>
    </dgm:pt>
    <dgm:pt modelId="{69951EA8-D061-4203-887D-340E9CF8637B}" type="pres">
      <dgm:prSet presAssocID="{1C24A6BF-B111-4254-97C3-0F2E9D8101A0}" presName="hierChild7" presStyleCnt="0"/>
      <dgm:spPr/>
    </dgm:pt>
    <dgm:pt modelId="{FBE740FC-DBBE-4DEC-BE7C-4169B660AE7C}" type="pres">
      <dgm:prSet presAssocID="{285498ED-C03F-4316-9879-9D648B6382C9}" presName="Name111" presStyleLbl="parChTrans1D2" presStyleIdx="5" presStyleCnt="6"/>
      <dgm:spPr/>
      <dgm:t>
        <a:bodyPr/>
        <a:lstStyle/>
        <a:p>
          <a:endParaRPr lang="tr-TR"/>
        </a:p>
      </dgm:t>
    </dgm:pt>
    <dgm:pt modelId="{0062F2A4-0FBE-42F2-BAC3-431E827DECF5}" type="pres">
      <dgm:prSet presAssocID="{600BE7BE-433F-4083-9E12-9F720D312717}" presName="hierRoot3" presStyleCnt="0">
        <dgm:presLayoutVars>
          <dgm:hierBranch/>
        </dgm:presLayoutVars>
      </dgm:prSet>
      <dgm:spPr/>
    </dgm:pt>
    <dgm:pt modelId="{47CE2776-AEED-4542-922E-6707A8606A7A}" type="pres">
      <dgm:prSet presAssocID="{600BE7BE-433F-4083-9E12-9F720D312717}" presName="rootComposite3" presStyleCnt="0"/>
      <dgm:spPr/>
    </dgm:pt>
    <dgm:pt modelId="{8B8B038F-675C-45F3-AFB9-BAD288ACABD5}" type="pres">
      <dgm:prSet presAssocID="{600BE7BE-433F-4083-9E12-9F720D312717}" presName="rootText3" presStyleLbl="asst1" presStyleIdx="3" presStyleCnt="4" custScaleX="209514">
        <dgm:presLayoutVars>
          <dgm:chPref val="3"/>
        </dgm:presLayoutVars>
      </dgm:prSet>
      <dgm:spPr/>
      <dgm:t>
        <a:bodyPr/>
        <a:lstStyle/>
        <a:p>
          <a:endParaRPr lang="tr-TR"/>
        </a:p>
      </dgm:t>
    </dgm:pt>
    <dgm:pt modelId="{CB9CB2CF-D985-470E-8BBD-FDA664225669}" type="pres">
      <dgm:prSet presAssocID="{600BE7BE-433F-4083-9E12-9F720D312717}" presName="rootConnector3" presStyleLbl="asst1" presStyleIdx="3" presStyleCnt="4"/>
      <dgm:spPr/>
      <dgm:t>
        <a:bodyPr/>
        <a:lstStyle/>
        <a:p>
          <a:endParaRPr lang="tr-TR"/>
        </a:p>
      </dgm:t>
    </dgm:pt>
    <dgm:pt modelId="{DBECACFB-8205-41BF-B44A-BDCF46383341}" type="pres">
      <dgm:prSet presAssocID="{600BE7BE-433F-4083-9E12-9F720D312717}" presName="hierChild6" presStyleCnt="0"/>
      <dgm:spPr/>
    </dgm:pt>
    <dgm:pt modelId="{A1CEB885-63EB-40A6-A3EF-97CC95B34CEB}" type="pres">
      <dgm:prSet presAssocID="{600BE7BE-433F-4083-9E12-9F720D312717}" presName="hierChild7" presStyleCnt="0"/>
      <dgm:spPr/>
    </dgm:pt>
  </dgm:ptLst>
  <dgm:cxnLst>
    <dgm:cxn modelId="{6B479A13-BCDB-4C3F-97E8-6F34F9607910}" type="presOf" srcId="{29DCAB08-F9B3-4704-8EC8-F9AF479E2FAC}" destId="{2E8053C4-EBB1-4A12-86D0-3913FB21A757}" srcOrd="0" destOrd="0" presId="urn:microsoft.com/office/officeart/2005/8/layout/orgChart1"/>
    <dgm:cxn modelId="{F0BBDB38-BDC2-4B21-BE06-74CD99EFA4F0}" type="presOf" srcId="{2BF82D41-1316-46CF-B20D-E32A5D7FC6AD}" destId="{27E36F6E-E10D-42D9-B66D-BC6DA1644262}" srcOrd="0" destOrd="0" presId="urn:microsoft.com/office/officeart/2005/8/layout/orgChart1"/>
    <dgm:cxn modelId="{CC3125FB-E8F5-42F4-A60A-C66E6937AB2C}" srcId="{E883311A-58F1-43C0-BDF1-E905B14923D2}" destId="{0EDEAA2A-B0B2-4E07-A2C0-0B4D53BDC496}" srcOrd="8" destOrd="0" parTransId="{91B769E1-6CD7-446D-BCCC-D97A7958972F}" sibTransId="{E676578F-AFA1-4909-9978-8E7FED4EFF91}"/>
    <dgm:cxn modelId="{0251EDFC-DC08-4397-AB15-E54AF43E9B60}" type="presOf" srcId="{4EC5D627-D879-438C-AA4B-57DFC9756C7B}" destId="{3A5EC572-BB2A-4807-925F-BB49D5CF9605}" srcOrd="0" destOrd="0" presId="urn:microsoft.com/office/officeart/2005/8/layout/orgChart1"/>
    <dgm:cxn modelId="{CC76D674-B47A-4942-9B2B-DE8FCBD73287}" type="presOf" srcId="{F2D6EFAA-D89E-49BB-AC05-06DF800123CB}" destId="{F1A49E13-D1CB-4211-B42F-1E39AC062B3D}" srcOrd="0" destOrd="0" presId="urn:microsoft.com/office/officeart/2005/8/layout/orgChart1"/>
    <dgm:cxn modelId="{BEB41B79-44D6-4353-8507-014CC029A071}" type="presOf" srcId="{0D844017-8824-4EE4-98B5-B8DF89884FBD}" destId="{449E5079-01BA-4D7A-ACAA-306781344FA0}" srcOrd="0" destOrd="0" presId="urn:microsoft.com/office/officeart/2005/8/layout/orgChart1"/>
    <dgm:cxn modelId="{1A02ABE2-3360-43BA-90FF-E1FFB5227972}" type="presOf" srcId="{2BF82D41-1316-46CF-B20D-E32A5D7FC6AD}" destId="{7892E3CB-6E13-4368-B71B-6E8D7443DC88}" srcOrd="1" destOrd="0" presId="urn:microsoft.com/office/officeart/2005/8/layout/orgChart1"/>
    <dgm:cxn modelId="{CAC001B6-3D92-4559-BE33-25EE2BB8EA10}" type="presOf" srcId="{3527C0C3-1727-4877-92E1-269D9506FDBA}" destId="{A89A3808-C58E-4F76-A12D-0B0A4D188D89}" srcOrd="0" destOrd="0" presId="urn:microsoft.com/office/officeart/2005/8/layout/orgChart1"/>
    <dgm:cxn modelId="{1A6A7D83-B4DA-42E4-874C-291125016BBC}" type="presOf" srcId="{996AE2C3-6531-4C8C-85DA-E37EB0AE6AE7}" destId="{D6D5DD5F-2E9C-4858-BE53-88ECCD66559E}" srcOrd="0" destOrd="0" presId="urn:microsoft.com/office/officeart/2005/8/layout/orgChart1"/>
    <dgm:cxn modelId="{973FEAB9-362A-4AC8-B9BE-1C9152FDA936}" srcId="{C558FDEB-193B-421E-81D3-EE6F32969F7E}" destId="{24C6315B-E5F4-4752-8027-35AE4FE423EA}" srcOrd="2" destOrd="0" parTransId="{D0CD4AA3-9FCF-416F-BD1A-BE1C5F6A3D2E}" sibTransId="{2F888FFC-D006-4E47-A3AE-EFF255FA8771}"/>
    <dgm:cxn modelId="{E725AA18-76DE-45E0-B98E-A866E0BF0E54}" type="presOf" srcId="{E0E50C77-5A0A-452B-BF09-379717C5226D}" destId="{846B97CA-7A6E-4888-9AA2-23D6FB5F839D}" srcOrd="0" destOrd="0" presId="urn:microsoft.com/office/officeart/2005/8/layout/orgChart1"/>
    <dgm:cxn modelId="{B7826CF4-87A1-42C3-A43D-379C2A86E49B}" srcId="{10394310-CFAD-479A-A8E2-2E6737E8F278}" destId="{1C24A6BF-B111-4254-97C3-0F2E9D8101A0}" srcOrd="2" destOrd="0" parTransId="{F8AC3784-F07C-4A96-A8A3-7B4B570FCDCC}" sibTransId="{5B3B82A7-747A-4259-837C-A0AB98DF0A27}"/>
    <dgm:cxn modelId="{E6E05D2E-C951-4025-B2E4-0DC658EA98F9}" srcId="{D789E4DF-56AB-4A72-B09E-DC74063487D6}" destId="{EEFA96EB-88BB-4F3D-B239-D07A6DDE3188}" srcOrd="1" destOrd="0" parTransId="{5701DACE-2E21-4457-A288-7FD71FC763DD}" sibTransId="{DC091091-BE11-4911-BD21-F7CA34843308}"/>
    <dgm:cxn modelId="{63EB5913-261D-4648-A38B-AD32FDA06DBB}" type="presOf" srcId="{BECE1405-0B35-41B9-8289-BC1CA6105C9D}" destId="{8B836DB8-9EA4-443C-8096-ECFE9587B76B}" srcOrd="0" destOrd="0" presId="urn:microsoft.com/office/officeart/2005/8/layout/orgChart1"/>
    <dgm:cxn modelId="{FA2C5BE6-30E4-4BC9-B321-4AF212E5FACE}" type="presOf" srcId="{2F47CD97-FF8C-444E-8DFB-D5358D61D23F}" destId="{476CDE72-3290-448A-937F-F2B163EC05B4}" srcOrd="0" destOrd="0" presId="urn:microsoft.com/office/officeart/2005/8/layout/orgChart1"/>
    <dgm:cxn modelId="{B46E272C-2807-4CC2-9D69-9220C82AC27F}" type="presOf" srcId="{1A751770-9562-4B1B-9B27-DF6D1894FC48}" destId="{EE57F8F1-CCDA-432C-9E96-7B3C295D70FB}" srcOrd="0" destOrd="0" presId="urn:microsoft.com/office/officeart/2005/8/layout/orgChart1"/>
    <dgm:cxn modelId="{EDD68692-75D0-41F1-B5DD-871C58601C4A}" type="presOf" srcId="{919F2E1D-894E-4E9A-BA20-E45B5A341F6F}" destId="{8235DF2D-6122-409A-AF9C-E57C7594B745}" srcOrd="1" destOrd="0" presId="urn:microsoft.com/office/officeart/2005/8/layout/orgChart1"/>
    <dgm:cxn modelId="{DC6EEB6A-4703-4C54-AB33-0040750D88F0}" type="presOf" srcId="{41E9FD98-6A5D-45FD-A598-5F484169A273}" destId="{B1BC1706-7400-4D8E-95CA-4BBC1E1A4C2E}" srcOrd="0" destOrd="0" presId="urn:microsoft.com/office/officeart/2005/8/layout/orgChart1"/>
    <dgm:cxn modelId="{543D3371-73C0-4BA8-8F06-9C6B80A880BC}" type="presOf" srcId="{E883311A-58F1-43C0-BDF1-E905B14923D2}" destId="{FD19542D-BDED-490F-8658-F06E04631115}" srcOrd="1" destOrd="0" presId="urn:microsoft.com/office/officeart/2005/8/layout/orgChart1"/>
    <dgm:cxn modelId="{8055C77C-892E-46E4-BD77-949CB2D74361}" type="presOf" srcId="{2117ACDE-7891-4B38-9EA3-C93324D003CE}" destId="{C8EBB3A9-8A37-4937-AE5F-A42D0FE9CE3A}" srcOrd="0" destOrd="0" presId="urn:microsoft.com/office/officeart/2005/8/layout/orgChart1"/>
    <dgm:cxn modelId="{8EF1A9B8-A6B1-41EB-B6DF-23D67C195927}" type="presOf" srcId="{CF42453B-5DB4-4105-AF1E-3E374F3C19B2}" destId="{402F1CFE-282E-4241-B579-9CCDA90C10D6}" srcOrd="1" destOrd="0" presId="urn:microsoft.com/office/officeart/2005/8/layout/orgChart1"/>
    <dgm:cxn modelId="{52B547C8-BE54-487E-AA3E-FD17FA406F31}" type="presOf" srcId="{6D0759E6-9956-4AA9-8BB5-D985789D4D12}" destId="{721EB2B9-5F2B-4FFF-9051-0FA5E94303E1}" srcOrd="0" destOrd="0" presId="urn:microsoft.com/office/officeart/2005/8/layout/orgChart1"/>
    <dgm:cxn modelId="{A2BD580A-E75F-4736-B4A1-0E9701C4C0ED}" type="presOf" srcId="{DD936D03-697C-4B91-9797-9EF02B29DE1C}" destId="{5A300110-BBEE-4A18-9403-13331D4F1114}" srcOrd="0" destOrd="0" presId="urn:microsoft.com/office/officeart/2005/8/layout/orgChart1"/>
    <dgm:cxn modelId="{710CC2CB-7703-403F-9D26-3315DFBDDFF3}" type="presOf" srcId="{AA216E2F-9D77-432F-B0CB-5DDD80822F47}" destId="{70FFCA45-3772-4F53-803F-719E4E2B36F8}" srcOrd="0" destOrd="0" presId="urn:microsoft.com/office/officeart/2005/8/layout/orgChart1"/>
    <dgm:cxn modelId="{CBE8E8F4-D6B1-4800-9BAF-D9FF4CE8B0FA}" type="presOf" srcId="{D789E4DF-56AB-4A72-B09E-DC74063487D6}" destId="{7ACB4BC9-164C-4EDE-9A73-0D860925E7B5}" srcOrd="1" destOrd="0" presId="urn:microsoft.com/office/officeart/2005/8/layout/orgChart1"/>
    <dgm:cxn modelId="{FFBC2391-CCF4-4D34-92A4-EF003E44B68F}" type="presOf" srcId="{75834D1C-3C9F-4088-A4C8-9B3C9DEB1291}" destId="{28385871-3B12-4112-B997-98D64516446B}" srcOrd="0" destOrd="0" presId="urn:microsoft.com/office/officeart/2005/8/layout/orgChart1"/>
    <dgm:cxn modelId="{C0DA08F3-1727-4235-86B4-A55BEE5EDFAA}" type="presOf" srcId="{D01A2359-A22D-41DC-965E-463AAD6DEC4D}" destId="{AFAA1CB7-F81E-4D7F-8DDB-E13DCF915B4F}" srcOrd="0" destOrd="0" presId="urn:microsoft.com/office/officeart/2005/8/layout/orgChart1"/>
    <dgm:cxn modelId="{33E7A93A-8DD7-4BA3-A88B-4B44F44B732E}" type="presOf" srcId="{A0F33815-6F71-4AAD-9638-CC2653B72A4D}" destId="{D5A30A55-0924-49C1-977D-33103C630CD6}" srcOrd="0" destOrd="0" presId="urn:microsoft.com/office/officeart/2005/8/layout/orgChart1"/>
    <dgm:cxn modelId="{6A146441-9153-4B74-A6D4-9B78B7DAE00E}" srcId="{088C8172-BF48-47A3-92C9-BAA3B5B80DC0}" destId="{1A751770-9562-4B1B-9B27-DF6D1894FC48}" srcOrd="5" destOrd="0" parTransId="{C05A8A67-B5D4-4F20-AB4E-13EB59936CE6}" sibTransId="{EF96BAC6-58A6-4676-89E8-E05E40CCC524}"/>
    <dgm:cxn modelId="{ED7A4699-F2E7-450A-9BC1-0EAA0626252F}" type="presOf" srcId="{CCCEBC92-6B10-4CED-9736-9F5D7B31A340}" destId="{A5CC8792-8A4C-4FD3-8C69-8685E4E44389}" srcOrd="0" destOrd="0" presId="urn:microsoft.com/office/officeart/2005/8/layout/orgChart1"/>
    <dgm:cxn modelId="{8A2F543A-FF17-4C8A-9542-4774C9736BFB}" srcId="{470694A6-BF79-4A56-888A-D8DFAB6ED736}" destId="{2BF82D41-1316-46CF-B20D-E32A5D7FC6AD}" srcOrd="0" destOrd="0" parTransId="{A0F33815-6F71-4AAD-9638-CC2653B72A4D}" sibTransId="{9A6750C6-3BFD-4F22-AF29-96BD4B392E03}"/>
    <dgm:cxn modelId="{1D075D97-3CDE-4DB5-83D9-E4431F9B4D23}" type="presOf" srcId="{6627D280-CBD8-46BD-A7D7-43CCAF8573C5}" destId="{A54D7DB3-B303-43AB-BEC7-C2528CAD66FC}" srcOrd="1" destOrd="0" presId="urn:microsoft.com/office/officeart/2005/8/layout/orgChart1"/>
    <dgm:cxn modelId="{768464CD-6BAB-4DBA-98EC-6E3D72CE98BC}" srcId="{93BE8312-60FF-4A18-9EA6-AD54CFE90231}" destId="{B839EB4A-CA43-4A89-A1E1-FD91031A0E3D}" srcOrd="3" destOrd="0" parTransId="{853E637C-1194-4BAD-A6A1-3690D1B97DE2}" sibTransId="{C3153417-86DE-4943-857A-4AC77D4438EF}"/>
    <dgm:cxn modelId="{C5E700E6-978B-45A6-8925-92E4A39AC802}" srcId="{77D444E7-07C1-4D5D-B9FF-896775508B7C}" destId="{A2F5D6BE-3A81-402E-895B-E39D44C7C85E}" srcOrd="2" destOrd="0" parTransId="{4AD44D94-CF89-4091-B5C7-66A91B5ADEB1}" sibTransId="{DAD8B52A-63D6-46A6-B5B7-39DA7E576B6D}"/>
    <dgm:cxn modelId="{C8FFDCFA-ECD1-4460-BC87-5D448CBC355C}" srcId="{29380AB8-E98F-400E-906E-80A6272D0598}" destId="{10394310-CFAD-479A-A8E2-2E6737E8F278}" srcOrd="0" destOrd="0" parTransId="{20BD3997-EA8F-467C-86CF-57795518F7D0}" sibTransId="{6ECC2712-D489-475C-876F-942D1B822956}"/>
    <dgm:cxn modelId="{A2023B3E-66D5-4765-B384-33DE5218CB99}" srcId="{CCCEBC92-6B10-4CED-9736-9F5D7B31A340}" destId="{D3366BC1-931F-4350-854B-0F8E25DAF2CA}" srcOrd="2" destOrd="0" parTransId="{985D120A-8E02-4703-94E4-3A27D854F190}" sibTransId="{BCE17909-7E60-47D7-8825-A687C471B559}"/>
    <dgm:cxn modelId="{54901F7E-3E8C-4DE9-9A82-249C569D119D}" type="presOf" srcId="{985D120A-8E02-4703-94E4-3A27D854F190}" destId="{ABE7AA35-2CE7-4A60-83FF-72B9276660A2}" srcOrd="0" destOrd="0" presId="urn:microsoft.com/office/officeart/2005/8/layout/orgChart1"/>
    <dgm:cxn modelId="{87D66723-F03B-44AA-92FB-FEDF4A1F2394}" type="presOf" srcId="{F747D21D-3E89-40ED-9905-436EEBA4FF02}" destId="{32BE1E8C-F670-4C0E-B602-379345F7744A}" srcOrd="1" destOrd="0" presId="urn:microsoft.com/office/officeart/2005/8/layout/orgChart1"/>
    <dgm:cxn modelId="{ED2855AD-70C5-4EE5-9AAA-867120C0499E}" type="presOf" srcId="{B42F5C02-9CB0-4140-B558-C42DB281761E}" destId="{D6FF6828-40D0-4812-9A04-EAFF3857C875}" srcOrd="0" destOrd="0" presId="urn:microsoft.com/office/officeart/2005/8/layout/orgChart1"/>
    <dgm:cxn modelId="{F28BE8BF-BF44-48D1-9003-D6DBA72E9538}" srcId="{088C8172-BF48-47A3-92C9-BAA3B5B80DC0}" destId="{674D51A2-CB06-43D4-8FC5-66580E735D8D}" srcOrd="4" destOrd="0" parTransId="{40227270-05DB-4E37-9E95-C5FFAEE344AA}" sibTransId="{03D97BBB-B445-4DEF-9801-59A4B09E9E22}"/>
    <dgm:cxn modelId="{D1A7166D-EF55-4E81-A203-E7C9FDCF4062}" type="presOf" srcId="{E6250F32-89B8-425F-9636-D037E17AE1E4}" destId="{B0F70718-29A8-48D3-85D7-2251AD7A69B7}" srcOrd="0" destOrd="0" presId="urn:microsoft.com/office/officeart/2005/8/layout/orgChart1"/>
    <dgm:cxn modelId="{5BA0EB78-DFEF-4429-B72F-3C47E66958D3}" type="presOf" srcId="{865FD127-6124-4550-8491-6B3005B96C45}" destId="{6CF447B9-D137-4A9D-BE44-EDFD391210DF}" srcOrd="1" destOrd="0" presId="urn:microsoft.com/office/officeart/2005/8/layout/orgChart1"/>
    <dgm:cxn modelId="{2D8AEF52-BDF7-461B-975F-CF79E87AE1B2}" type="presOf" srcId="{C664C9FB-4132-4E40-A457-D0B5372423DE}" destId="{AD1ED2D2-BFB8-4FD8-95FD-1DD2BC294146}" srcOrd="0" destOrd="0" presId="urn:microsoft.com/office/officeart/2005/8/layout/orgChart1"/>
    <dgm:cxn modelId="{50BB7B63-660F-474B-AA47-69915DE53CB2}" srcId="{99994473-2E43-49F1-82D3-29CD46A6613A}" destId="{D789E4DF-56AB-4A72-B09E-DC74063487D6}" srcOrd="3" destOrd="0" parTransId="{CD29FA23-2829-455D-9E82-3FBA303FE57C}" sibTransId="{89C58416-E8F3-4B58-ABA0-3E3410342D1B}"/>
    <dgm:cxn modelId="{C565084A-87E7-46C6-9384-91FED2E1AA09}" type="presOf" srcId="{865FD127-6124-4550-8491-6B3005B96C45}" destId="{B8F7110E-608E-473B-915B-949F1272366F}" srcOrd="0" destOrd="0" presId="urn:microsoft.com/office/officeart/2005/8/layout/orgChart1"/>
    <dgm:cxn modelId="{5085DACB-27FA-4069-ABD9-9559C3A4E229}" type="presOf" srcId="{674D51A2-CB06-43D4-8FC5-66580E735D8D}" destId="{7A5971B3-5203-48F6-9DE0-8EEED758C522}" srcOrd="1" destOrd="0" presId="urn:microsoft.com/office/officeart/2005/8/layout/orgChart1"/>
    <dgm:cxn modelId="{8C5FA09E-57DB-4072-AA79-18348211E4E2}" srcId="{D789E4DF-56AB-4A72-B09E-DC74063487D6}" destId="{637F1051-3303-4721-91C5-5E0839D1BCA8}" srcOrd="4" destOrd="0" parTransId="{1711F813-AFF9-41A5-89B6-53F3994C1A14}" sibTransId="{25B2C925-54EF-49BE-9A57-A20B8E9DF94C}"/>
    <dgm:cxn modelId="{4EA5F59F-C647-4A6B-8D56-507621E4486E}" type="presOf" srcId="{9E0FDE52-AD7F-4233-B586-F31B3AFCDA31}" destId="{2828A5AF-0B53-4C45-804E-1B332AC8AF37}" srcOrd="0" destOrd="0" presId="urn:microsoft.com/office/officeart/2005/8/layout/orgChart1"/>
    <dgm:cxn modelId="{5FDCAA41-2768-4FFE-9181-B6535CC19A63}" type="presOf" srcId="{A8581A17-7EE2-472D-ACFC-71398985F795}" destId="{467BD9F7-59E0-4515-8365-A27DB469AF15}" srcOrd="1" destOrd="0" presId="urn:microsoft.com/office/officeart/2005/8/layout/orgChart1"/>
    <dgm:cxn modelId="{8CDE7954-1499-484C-A74E-F8213C718E9F}" type="presOf" srcId="{94A7FF32-3129-4C7F-8F40-839B6A4688CB}" destId="{524F662D-19D3-420B-A1A7-7202B760C712}" srcOrd="0" destOrd="0" presId="urn:microsoft.com/office/officeart/2005/8/layout/orgChart1"/>
    <dgm:cxn modelId="{8DBF0348-DD2B-4F86-8EE4-1AFCE7ACDD17}" type="presOf" srcId="{088C8172-BF48-47A3-92C9-BAA3B5B80DC0}" destId="{6821DE57-C5AA-466A-B898-88B95F947E5C}" srcOrd="1" destOrd="0" presId="urn:microsoft.com/office/officeart/2005/8/layout/orgChart1"/>
    <dgm:cxn modelId="{AB460C20-28CF-40B3-849A-62804A31675E}" type="presOf" srcId="{A841C47F-EDD3-48DA-BD12-444C1AFF0DD1}" destId="{4AEA1E02-DF48-4061-B133-64E5BA3DF2AE}" srcOrd="0" destOrd="0" presId="urn:microsoft.com/office/officeart/2005/8/layout/orgChart1"/>
    <dgm:cxn modelId="{49EDFF0C-4DA6-496D-9F0E-E8FFA6B2D59A}" srcId="{609C6040-D873-43D0-B8BA-EFF6D1934E09}" destId="{C558FDEB-193B-421E-81D3-EE6F32969F7E}" srcOrd="5" destOrd="0" parTransId="{0445846A-5234-4BCE-AB61-7CC5DF393F9A}" sibTransId="{EFADFA00-6BB7-4F70-9411-68C577508C09}"/>
    <dgm:cxn modelId="{4A662029-9A20-4851-89C3-972F2ABBD2F4}" type="presOf" srcId="{9595A993-FCD5-4EE4-8382-52A69B09D264}" destId="{355581B2-B65C-43A6-BA76-6F6FB19BD50D}" srcOrd="0" destOrd="0" presId="urn:microsoft.com/office/officeart/2005/8/layout/orgChart1"/>
    <dgm:cxn modelId="{3E8DD523-BB93-425C-95BF-061B558B55F7}" type="presOf" srcId="{F8AC3784-F07C-4A96-A8A3-7B4B570FCDCC}" destId="{EC46F2F6-70EC-4E92-B601-73B7144FC1BA}" srcOrd="0" destOrd="0" presId="urn:microsoft.com/office/officeart/2005/8/layout/orgChart1"/>
    <dgm:cxn modelId="{EF83C7DA-6076-45CA-AA59-66C752CDB3B2}" type="presOf" srcId="{50B3BE46-7E20-49B9-86BC-B7715C89BC7A}" destId="{18A9834F-6085-477D-82DF-A2C7C3147A4F}" srcOrd="0" destOrd="0" presId="urn:microsoft.com/office/officeart/2005/8/layout/orgChart1"/>
    <dgm:cxn modelId="{6F6D2941-7A53-44F3-8547-3C69B3695233}" type="presOf" srcId="{8F6D8954-BE24-43F8-A72B-5483EE5258F5}" destId="{702AA86A-249B-4E8C-A81E-02BCC1EB81A3}" srcOrd="0" destOrd="0" presId="urn:microsoft.com/office/officeart/2005/8/layout/orgChart1"/>
    <dgm:cxn modelId="{45D917A2-70F4-429E-9812-4688ABE65F87}" srcId="{088C8172-BF48-47A3-92C9-BAA3B5B80DC0}" destId="{751E95A1-683A-400B-8717-2724C4C0C1E4}" srcOrd="2" destOrd="0" parTransId="{561CEB80-AED2-42CF-A923-53106865C9C8}" sibTransId="{1F7946AF-DFB5-40BF-9E41-1018C6EA02D8}"/>
    <dgm:cxn modelId="{496A7854-29D6-4EC6-9379-6B0B59ED46DE}" type="presOf" srcId="{12EA064A-8CC3-4619-9FD5-0082419B6074}" destId="{FD09D331-7284-4E65-A878-64C8E5C3CB11}" srcOrd="1" destOrd="0" presId="urn:microsoft.com/office/officeart/2005/8/layout/orgChart1"/>
    <dgm:cxn modelId="{019CCA2C-39A8-4321-AB44-3CC4A66B8204}" type="presOf" srcId="{664CF63C-E4CE-4C3F-9ABB-D36B13A4AFEB}" destId="{4CF16F1D-063F-4ECF-8BD4-3853B266718E}" srcOrd="0" destOrd="0" presId="urn:microsoft.com/office/officeart/2005/8/layout/orgChart1"/>
    <dgm:cxn modelId="{392E154E-C8A3-4074-BE05-A5BDDE91F510}" type="presOf" srcId="{6782BA31-732A-4DA1-A008-FDB28C3F0D2A}" destId="{8CA3CB43-FBF1-4CFA-89F7-EB34B4F08376}" srcOrd="1" destOrd="0" presId="urn:microsoft.com/office/officeart/2005/8/layout/orgChart1"/>
    <dgm:cxn modelId="{71293B79-C395-4797-931C-B599BF80AE25}" type="presOf" srcId="{0EDEAA2A-B0B2-4E07-A2C0-0B4D53BDC496}" destId="{2D1F3317-1344-4DF3-9A91-419718F24DB2}" srcOrd="1" destOrd="0" presId="urn:microsoft.com/office/officeart/2005/8/layout/orgChart1"/>
    <dgm:cxn modelId="{D8E67019-C233-4D5D-AB8D-0B6CC42F5BA5}" type="presOf" srcId="{C3357074-9C8C-40BA-A836-5CA61323EB1A}" destId="{671D9DDB-D638-47FA-B5F5-C16F5197F411}" srcOrd="0" destOrd="0" presId="urn:microsoft.com/office/officeart/2005/8/layout/orgChart1"/>
    <dgm:cxn modelId="{8FAFA391-66EA-4FC8-ABF7-1F8484A39D2F}" type="presOf" srcId="{20301F7D-90B0-4457-8ED8-8F22D3187F5C}" destId="{9867717F-A4C0-4257-B561-8B67FF1F7A95}" srcOrd="1" destOrd="0" presId="urn:microsoft.com/office/officeart/2005/8/layout/orgChart1"/>
    <dgm:cxn modelId="{144E6ED1-5738-43A2-B498-0D45D95982D2}" srcId="{4021D9B5-FA8D-4ED3-8E53-BB4D710B8311}" destId="{A841C47F-EDD3-48DA-BD12-444C1AFF0DD1}" srcOrd="3" destOrd="0" parTransId="{5DED8A2E-D04A-489D-9AAD-FEC76A9D4778}" sibTransId="{C8ED8C9C-6241-458E-B267-BA0BE50E0786}"/>
    <dgm:cxn modelId="{02693D68-6973-4589-AC8E-DC18CE759D54}" type="presOf" srcId="{674D51A2-CB06-43D4-8FC5-66580E735D8D}" destId="{53C8E187-8431-46AC-B35F-9FF28CB651A1}" srcOrd="0" destOrd="0" presId="urn:microsoft.com/office/officeart/2005/8/layout/orgChart1"/>
    <dgm:cxn modelId="{DFCF91DE-64C5-46DD-961C-B323D2BC8B9E}" type="presOf" srcId="{54CC455A-CD4A-4349-95F8-02650D357E8D}" destId="{980D30F1-8049-4993-9C65-EC9A6A97D610}" srcOrd="1" destOrd="0" presId="urn:microsoft.com/office/officeart/2005/8/layout/orgChart1"/>
    <dgm:cxn modelId="{C3F8E5EB-B089-427F-AF94-E62093410A86}" srcId="{4021D9B5-FA8D-4ED3-8E53-BB4D710B8311}" destId="{AC13CD99-7BBB-43CB-BCF4-ABAB3EA7CBDD}" srcOrd="4" destOrd="0" parTransId="{D5207719-DC6D-435E-82B9-A28209D4FF03}" sibTransId="{5295E7A1-B7C5-4B3C-B0CF-EAF471FD54FA}"/>
    <dgm:cxn modelId="{F28EE14C-3650-4252-B19B-25885C8DD304}" type="presOf" srcId="{5E9FE79E-DD27-41D9-AFED-0B3881CF9F67}" destId="{1EBAA58C-809B-42C7-8D90-5D3B8B4B33F3}" srcOrd="0" destOrd="0" presId="urn:microsoft.com/office/officeart/2005/8/layout/orgChart1"/>
    <dgm:cxn modelId="{740C4737-EE9F-4013-8DA4-8A017A398430}" type="presOf" srcId="{EEFA96EB-88BB-4F3D-B239-D07A6DDE3188}" destId="{420ADE94-A944-4D75-9FEE-A5B94C2EF654}" srcOrd="0" destOrd="0" presId="urn:microsoft.com/office/officeart/2005/8/layout/orgChart1"/>
    <dgm:cxn modelId="{C5AACCE9-10B0-4FE7-AF3A-3ADB1D2B8009}" srcId="{609C6040-D873-43D0-B8BA-EFF6D1934E09}" destId="{C3357074-9C8C-40BA-A836-5CA61323EB1A}" srcOrd="4" destOrd="0" parTransId="{56328005-7EE0-431F-BDB6-C9BBD4535452}" sibTransId="{2944513D-C8E6-4007-AB6E-ABC5E4F6536A}"/>
    <dgm:cxn modelId="{98AF4DE9-E211-486C-8F6D-25EB8740E710}" srcId="{E883311A-58F1-43C0-BDF1-E905B14923D2}" destId="{2F47CD97-FF8C-444E-8DFB-D5358D61D23F}" srcOrd="6" destOrd="0" parTransId="{29DCAB08-F9B3-4704-8EC8-F9AF479E2FAC}" sibTransId="{E555968A-F3FE-4A90-8FD6-B1D855BD0F5C}"/>
    <dgm:cxn modelId="{5B8D2C95-1211-45D1-89A8-809D170024A6}" srcId="{470694A6-BF79-4A56-888A-D8DFAB6ED736}" destId="{AAAB5B1C-C8C3-42A3-A26A-1165856BF1D2}" srcOrd="2" destOrd="0" parTransId="{7CDD67F5-73F4-4524-9B19-66F2F798F9B3}" sibTransId="{2541800C-9365-4FD2-AE81-40C8475E869B}"/>
    <dgm:cxn modelId="{C9BF64CB-10C7-4710-8747-8259C9CDD22B}" type="presOf" srcId="{F6EFFE1F-6B48-402C-B01B-3B8B61825B18}" destId="{2293565A-5EA9-4B9D-B53D-08D040814CCD}" srcOrd="1" destOrd="0" presId="urn:microsoft.com/office/officeart/2005/8/layout/orgChart1"/>
    <dgm:cxn modelId="{9DAB0B79-DD8C-4624-8240-297C603B724F}" srcId="{10394310-CFAD-479A-A8E2-2E6737E8F278}" destId="{600BE7BE-433F-4083-9E12-9F720D312717}" srcOrd="3" destOrd="0" parTransId="{285498ED-C03F-4316-9879-9D648B6382C9}" sibTransId="{CCE34A46-04F4-486B-84CD-56BA2D9818C5}"/>
    <dgm:cxn modelId="{F4667112-06C8-47C5-8F78-E4D8F5C7D75C}" type="presOf" srcId="{D9346E01-3975-4CD4-BC3C-B2E92864AF3F}" destId="{71A64FC1-43E3-4441-BDDC-A6F6218FFAE5}" srcOrd="0" destOrd="0" presId="urn:microsoft.com/office/officeart/2005/8/layout/orgChart1"/>
    <dgm:cxn modelId="{C3A38159-B5C5-4487-BCFE-AB6002FE8B2A}" type="presOf" srcId="{330C76B0-866D-4337-992D-9D5BBE999A9C}" destId="{1BFE45E6-C3C2-480F-8063-AF754FCCE3AC}" srcOrd="0" destOrd="0" presId="urn:microsoft.com/office/officeart/2005/8/layout/orgChart1"/>
    <dgm:cxn modelId="{7BD8D372-51CB-4180-AE03-04CAACF9F172}" srcId="{609C6040-D873-43D0-B8BA-EFF6D1934E09}" destId="{54CC455A-CD4A-4349-95F8-02650D357E8D}" srcOrd="2" destOrd="0" parTransId="{B1DA9679-1914-47B0-BB69-F2B6D38B2113}" sibTransId="{9B12CA1B-3584-4DEC-B334-766CB125B0CC}"/>
    <dgm:cxn modelId="{055F01C4-32B6-4E10-BE2D-27255BB87749}" type="presOf" srcId="{1711F813-AFF9-41A5-89B6-53F3994C1A14}" destId="{2AB751C0-2D2D-418B-A8F7-35D01BDC5DE1}" srcOrd="0" destOrd="0" presId="urn:microsoft.com/office/officeart/2005/8/layout/orgChart1"/>
    <dgm:cxn modelId="{A359B066-683D-4FF1-B104-3D2531A221BB}" type="presOf" srcId="{94A7FF32-3129-4C7F-8F40-839B6A4688CB}" destId="{BAF2533A-881D-4AC1-92B8-4E86E105AAF2}" srcOrd="1" destOrd="0" presId="urn:microsoft.com/office/officeart/2005/8/layout/orgChart1"/>
    <dgm:cxn modelId="{9F83EDA1-9528-4C64-BF4D-60CAD4F7946A}" type="presOf" srcId="{56328005-7EE0-431F-BDB6-C9BBD4535452}" destId="{19C6EFBB-6565-47FF-89B7-B53E6C4CEBDD}" srcOrd="0" destOrd="0" presId="urn:microsoft.com/office/officeart/2005/8/layout/orgChart1"/>
    <dgm:cxn modelId="{A8EA0B3B-7FDE-462E-9B11-DE8E5FF938D1}" type="presOf" srcId="{A2F5D6BE-3A81-402E-895B-E39D44C7C85E}" destId="{402182B7-D784-4AFB-932C-74A1E928ED56}" srcOrd="0" destOrd="0" presId="urn:microsoft.com/office/officeart/2005/8/layout/orgChart1"/>
    <dgm:cxn modelId="{561B8F5E-6258-4AD9-9102-3A98A687CE81}" type="presOf" srcId="{99994473-2E43-49F1-82D3-29CD46A6613A}" destId="{66FB4634-2010-48B1-8044-06A89C92E9B5}" srcOrd="0" destOrd="0" presId="urn:microsoft.com/office/officeart/2005/8/layout/orgChart1"/>
    <dgm:cxn modelId="{9CACA733-9BC6-4A3A-BD3B-64F068F83E69}" type="presOf" srcId="{E8A26CFC-F4FD-439C-B1A4-B323BB97B201}" destId="{C21E7DF1-9E9B-4DEA-B629-85A26FDF5A51}" srcOrd="0" destOrd="0" presId="urn:microsoft.com/office/officeart/2005/8/layout/orgChart1"/>
    <dgm:cxn modelId="{29E36306-5269-4F3E-B900-FDDC84A0048E}" type="presOf" srcId="{64E3A6A4-24E0-4D6E-9A2A-F2CEFBAA3229}" destId="{6FA966E9-F6A2-4A51-AE59-2EC549447DAE}" srcOrd="1" destOrd="0" presId="urn:microsoft.com/office/officeart/2005/8/layout/orgChart1"/>
    <dgm:cxn modelId="{728C39E4-4924-437B-BA4F-8B828E37D61A}" type="presOf" srcId="{EC9C8504-0E3F-4B20-BC18-3CFA5365716C}" destId="{032F31ED-B444-4148-8080-DC8FC7D3DB20}" srcOrd="0" destOrd="0" presId="urn:microsoft.com/office/officeart/2005/8/layout/orgChart1"/>
    <dgm:cxn modelId="{716EB88B-35B9-413A-A81F-5833E3B4E3D6}" type="presOf" srcId="{20301F7D-90B0-4457-8ED8-8F22D3187F5C}" destId="{60AB6B83-B070-439A-BA87-45447BD71542}" srcOrd="0" destOrd="0" presId="urn:microsoft.com/office/officeart/2005/8/layout/orgChart1"/>
    <dgm:cxn modelId="{9E6F551F-0445-4E48-8F90-AF5B1B5AAD9E}" type="presOf" srcId="{B1DA9679-1914-47B0-BB69-F2B6D38B2113}" destId="{7C8BEA8A-4D46-4FCC-BE6F-FC263071D646}" srcOrd="0" destOrd="0" presId="urn:microsoft.com/office/officeart/2005/8/layout/orgChart1"/>
    <dgm:cxn modelId="{EAB7DEAE-2D30-467E-BE0E-0904556261F2}" type="presOf" srcId="{F6EFFE1F-6B48-402C-B01B-3B8B61825B18}" destId="{00147DD0-EDAB-4E6F-8AE5-F21783FF0245}" srcOrd="0" destOrd="0" presId="urn:microsoft.com/office/officeart/2005/8/layout/orgChart1"/>
    <dgm:cxn modelId="{EF1CBDB1-728E-4706-99CB-0E3500BC5755}" srcId="{C558FDEB-193B-421E-81D3-EE6F32969F7E}" destId="{664CF63C-E4CE-4C3F-9ABB-D36B13A4AFEB}" srcOrd="3" destOrd="0" parTransId="{A2F070F8-452E-4470-8EA2-B23532FF8D96}" sibTransId="{5F92CB57-4678-4D92-AB88-9AE09A601E8B}"/>
    <dgm:cxn modelId="{3D63DBDD-67DC-4A26-BBE4-4979C177AB83}" type="presOf" srcId="{F95E6CAF-03EE-4C7A-BF3F-AC220C7C66D2}" destId="{FE3E2183-A55E-4434-9D41-9BB6CF0F9736}" srcOrd="0" destOrd="0" presId="urn:microsoft.com/office/officeart/2005/8/layout/orgChart1"/>
    <dgm:cxn modelId="{B4D931A0-7277-44FC-9ACF-54352C50230D}" type="presOf" srcId="{6E2AD882-9368-4C80-AA17-CFCD80DFD9CF}" destId="{43A6C74F-4111-48FE-8ED3-A9770FBE85CB}" srcOrd="0" destOrd="0" presId="urn:microsoft.com/office/officeart/2005/8/layout/orgChart1"/>
    <dgm:cxn modelId="{E0379F80-89CB-4A36-A690-CB41EC26AC98}" srcId="{10394310-CFAD-479A-A8E2-2E6737E8F278}" destId="{0D844017-8824-4EE4-98B5-B8DF89884FBD}" srcOrd="0" destOrd="0" parTransId="{B25E239B-EBCF-48F4-9AEC-9D950501DA62}" sibTransId="{9FEC2810-6CA4-4F94-81A1-A41394B06F75}"/>
    <dgm:cxn modelId="{EF201987-1A51-49F0-819B-D7872650C0D2}" type="presOf" srcId="{843CC71B-BE4A-4148-814F-DE65779C755C}" destId="{D95718B3-FD93-4B56-8A35-162E099AEC7C}" srcOrd="0" destOrd="0" presId="urn:microsoft.com/office/officeart/2005/8/layout/orgChart1"/>
    <dgm:cxn modelId="{AA59C578-63F8-4162-97E0-257F3028729C}" type="presOf" srcId="{F4AC34F0-D735-40EA-89B3-95BDAF7741B5}" destId="{EFDF4377-8CA8-4D31-8600-BD8A334AADAF}" srcOrd="0" destOrd="0" presId="urn:microsoft.com/office/officeart/2005/8/layout/orgChart1"/>
    <dgm:cxn modelId="{A00438A7-7D91-4514-AB66-B4DEDC74ADCE}" type="presOf" srcId="{EEFA96EB-88BB-4F3D-B239-D07A6DDE3188}" destId="{38712E8D-BA2F-4589-AAAD-7C1787122FE2}" srcOrd="1" destOrd="0" presId="urn:microsoft.com/office/officeart/2005/8/layout/orgChart1"/>
    <dgm:cxn modelId="{40B570C8-FB6C-4095-81B2-44D75B6509BD}" type="presOf" srcId="{F95E6CAF-03EE-4C7A-BF3F-AC220C7C66D2}" destId="{9CF420A1-4B8E-424B-8131-FFC90F888DB0}" srcOrd="1" destOrd="0" presId="urn:microsoft.com/office/officeart/2005/8/layout/orgChart1"/>
    <dgm:cxn modelId="{E97E1CEF-1158-4E66-A0E4-316DE5C76625}" type="presOf" srcId="{FAB385CE-74C9-4D4F-A1A5-15C2AC9D18E0}" destId="{F2850BC2-9475-4B9F-BDA2-AA19F8DDE998}" srcOrd="0" destOrd="0" presId="urn:microsoft.com/office/officeart/2005/8/layout/orgChart1"/>
    <dgm:cxn modelId="{E62B599E-EDF9-4AE4-B4C6-B864ED73AF78}" type="presOf" srcId="{54CC455A-CD4A-4349-95F8-02650D357E8D}" destId="{5040640F-CB1E-4268-8858-F87C3E72BBA1}" srcOrd="0" destOrd="0" presId="urn:microsoft.com/office/officeart/2005/8/layout/orgChart1"/>
    <dgm:cxn modelId="{71235F5F-B834-4006-8386-8CA6F71C1BA2}" type="presOf" srcId="{AA216E2F-9D77-432F-B0CB-5DDD80822F47}" destId="{4A97DBB0-14E9-450B-BAE5-23F8448B5DA5}" srcOrd="1" destOrd="0" presId="urn:microsoft.com/office/officeart/2005/8/layout/orgChart1"/>
    <dgm:cxn modelId="{E6F68272-664A-4922-BC3E-FF771F108CA4}" type="presOf" srcId="{C558FDEB-193B-421E-81D3-EE6F32969F7E}" destId="{46781EE4-5D0F-4BB5-A303-8B299755839F}" srcOrd="1" destOrd="0" presId="urn:microsoft.com/office/officeart/2005/8/layout/orgChart1"/>
    <dgm:cxn modelId="{C9D3206D-E87C-4B5E-B494-4CBE54588DCC}" type="presOf" srcId="{6E2AD882-9368-4C80-AA17-CFCD80DFD9CF}" destId="{E6CA4E6E-55AA-4254-BFD0-6A4689875CD2}" srcOrd="1" destOrd="0" presId="urn:microsoft.com/office/officeart/2005/8/layout/orgChart1"/>
    <dgm:cxn modelId="{57816617-E225-402A-A275-AAC391EE6BAB}" type="presOf" srcId="{5E9FE79E-DD27-41D9-AFED-0B3881CF9F67}" destId="{560129B9-506B-4C49-AB34-BF1F659A9789}" srcOrd="1" destOrd="0" presId="urn:microsoft.com/office/officeart/2005/8/layout/orgChart1"/>
    <dgm:cxn modelId="{8CB68822-7029-45C7-8B3A-08693F1BC2B1}" type="presOf" srcId="{2FAC4C30-2C72-4BC4-8C08-435F75075C30}" destId="{B83922DA-7C5C-4E9A-97BC-9E7B589DC0DD}" srcOrd="1" destOrd="0" presId="urn:microsoft.com/office/officeart/2005/8/layout/orgChart1"/>
    <dgm:cxn modelId="{AD48F9EF-7CE4-4840-BAF7-366682C45CD1}" srcId="{E883311A-58F1-43C0-BDF1-E905B14923D2}" destId="{F6EFFE1F-6B48-402C-B01B-3B8B61825B18}" srcOrd="5" destOrd="0" parTransId="{8F6D8954-BE24-43F8-A72B-5483EE5258F5}" sibTransId="{824C87D2-C617-4126-962F-D5037D0C668E}"/>
    <dgm:cxn modelId="{F730D01B-328C-4ED7-8D99-E241D62A236C}" type="presOf" srcId="{C4545C85-7843-421E-8A7F-4EE41F1FB453}" destId="{CDA395C1-B5DF-4402-9584-09755A3B0ED3}" srcOrd="1" destOrd="0" presId="urn:microsoft.com/office/officeart/2005/8/layout/orgChart1"/>
    <dgm:cxn modelId="{0226CD62-C659-4057-8775-FBC623E505E0}" srcId="{470694A6-BF79-4A56-888A-D8DFAB6ED736}" destId="{919F2E1D-894E-4E9A-BA20-E45B5A341F6F}" srcOrd="1" destOrd="0" parTransId="{5354D1BC-871D-46CE-9E55-61B32086E443}" sibTransId="{1911E903-2E24-4170-9C04-894721CEBD3C}"/>
    <dgm:cxn modelId="{049FB26D-2ABC-4F7B-B8E1-2370CC5FE640}" type="presOf" srcId="{32CFE678-BE5F-43B5-9009-F499067AB237}" destId="{6D930FFF-E21E-4609-856F-152AC40C0901}" srcOrd="0" destOrd="0" presId="urn:microsoft.com/office/officeart/2005/8/layout/orgChart1"/>
    <dgm:cxn modelId="{B17B6C5B-1ABE-477F-8317-3B05373F506B}" type="presOf" srcId="{A2F5D6BE-3A81-402E-895B-E39D44C7C85E}" destId="{33E22096-663F-48D0-9E74-F1A0F31D0997}" srcOrd="1" destOrd="0" presId="urn:microsoft.com/office/officeart/2005/8/layout/orgChart1"/>
    <dgm:cxn modelId="{B797F717-1842-4129-AC1C-C899B6CDB4A4}" type="presOf" srcId="{A997670A-5350-409D-8533-3CA5F38EC263}" destId="{92B20ED0-C0DC-4DCA-87D8-C9D8A3AB4A6C}" srcOrd="1" destOrd="0" presId="urn:microsoft.com/office/officeart/2005/8/layout/orgChart1"/>
    <dgm:cxn modelId="{CDB97E6F-7D93-4DA3-BE4D-9FB9B6D778BF}" srcId="{CCCEBC92-6B10-4CED-9736-9F5D7B31A340}" destId="{B107D9BC-9C76-4760-A670-AD8307DB4A8B}" srcOrd="6" destOrd="0" parTransId="{BBCF47EF-287E-4B13-8F0F-F3BE0B6928B5}" sibTransId="{7709D1D7-25C0-421C-A69C-B0D34DAD9738}"/>
    <dgm:cxn modelId="{47F74746-BD70-4878-9ECE-3680C9E6CA7D}" type="presOf" srcId="{BECE1405-0B35-41B9-8289-BC1CA6105C9D}" destId="{55C2D6B1-1B2B-4009-BBEA-E7CE4E43DC13}" srcOrd="1" destOrd="0" presId="urn:microsoft.com/office/officeart/2005/8/layout/orgChart1"/>
    <dgm:cxn modelId="{61BDDA9C-18BB-4986-8B55-6A88F6D84C8C}" srcId="{93BE8312-60FF-4A18-9EA6-AD54CFE90231}" destId="{843CC71B-BE4A-4148-814F-DE65779C755C}" srcOrd="1" destOrd="0" parTransId="{B9503C49-581A-41E5-9CDE-2CBF0D336334}" sibTransId="{C3F5EB12-7F73-4931-9FED-DEABBDFD6933}"/>
    <dgm:cxn modelId="{F311422C-4D2B-4FC7-80A6-343A87915050}" type="presOf" srcId="{AC13CD99-7BBB-43CB-BCF4-ABAB3EA7CBDD}" destId="{0AEB890C-2876-41D0-B9BC-F63E242705E1}" srcOrd="0" destOrd="0" presId="urn:microsoft.com/office/officeart/2005/8/layout/orgChart1"/>
    <dgm:cxn modelId="{A1A8A4CC-0894-42DE-AE9E-48D583830AD0}" type="presOf" srcId="{B9503C49-581A-41E5-9CDE-2CBF0D336334}" destId="{8CBE1289-4AEF-476F-A26D-D978B712BB4A}" srcOrd="0" destOrd="0" presId="urn:microsoft.com/office/officeart/2005/8/layout/orgChart1"/>
    <dgm:cxn modelId="{C9874BE1-B87D-4A7F-86AB-72758E59AEA5}" type="presOf" srcId="{6FAA21FE-C43C-4B60-BF5B-937B2B27F49F}" destId="{2C183231-D0AC-47D9-BB65-800101CFB006}" srcOrd="1" destOrd="0" presId="urn:microsoft.com/office/officeart/2005/8/layout/orgChart1"/>
    <dgm:cxn modelId="{CC7BB5BA-5E56-4855-8C42-AC58EE95ABC3}" type="presOf" srcId="{99994473-2E43-49F1-82D3-29CD46A6613A}" destId="{E933F100-10A7-476D-AD16-D3B10E59D873}" srcOrd="1" destOrd="0" presId="urn:microsoft.com/office/officeart/2005/8/layout/orgChart1"/>
    <dgm:cxn modelId="{2716107D-084C-4B91-BCFC-DC66AFB4E9A5}" type="presOf" srcId="{843CC71B-BE4A-4148-814F-DE65779C755C}" destId="{206F194D-4ECD-457E-A879-C015E356B4D7}" srcOrd="1" destOrd="0" presId="urn:microsoft.com/office/officeart/2005/8/layout/orgChart1"/>
    <dgm:cxn modelId="{C24944D1-4992-4856-A4F0-A8F73E2E8958}" type="presOf" srcId="{664CF63C-E4CE-4C3F-9ABB-D36B13A4AFEB}" destId="{111FF868-F68A-41EC-AE33-6B0CC44DE028}" srcOrd="1" destOrd="0" presId="urn:microsoft.com/office/officeart/2005/8/layout/orgChart1"/>
    <dgm:cxn modelId="{8760EFBD-B44B-4E2B-9345-322899395FE5}" type="presOf" srcId="{D7925904-502A-4706-B505-E2CB35487CEE}" destId="{8E9DA0E2-60DD-402C-A1B7-48CF92D097B7}" srcOrd="0" destOrd="0" presId="urn:microsoft.com/office/officeart/2005/8/layout/orgChart1"/>
    <dgm:cxn modelId="{0AFDDAF4-3905-4082-9AC5-D601C0162F91}" type="presOf" srcId="{BC0F4616-A76F-4CE0-AA05-914486AC797B}" destId="{8063F67B-F284-40E0-9F14-960F809C5D7B}" srcOrd="1" destOrd="0" presId="urn:microsoft.com/office/officeart/2005/8/layout/orgChart1"/>
    <dgm:cxn modelId="{369683B4-59D1-4A09-89C8-61FCB37989C1}" type="presOf" srcId="{6627D280-CBD8-46BD-A7D7-43CCAF8573C5}" destId="{CE6E1443-3584-4FBB-AA76-C2B6FD20BD3A}" srcOrd="0" destOrd="0" presId="urn:microsoft.com/office/officeart/2005/8/layout/orgChart1"/>
    <dgm:cxn modelId="{0934F4EF-58F4-41DF-A646-7BA78ED4B590}" type="presOf" srcId="{470694A6-BF79-4A56-888A-D8DFAB6ED736}" destId="{D14AEFF4-B081-4238-9582-6374609AA8E8}" srcOrd="0" destOrd="0" presId="urn:microsoft.com/office/officeart/2005/8/layout/orgChart1"/>
    <dgm:cxn modelId="{5148FAC0-7D75-4AEE-BBB3-6AB258C61739}" srcId="{99994473-2E43-49F1-82D3-29CD46A6613A}" destId="{470694A6-BF79-4A56-888A-D8DFAB6ED736}" srcOrd="0" destOrd="0" parTransId="{0AA80D02-3605-4092-B56E-6252947AB830}" sibTransId="{BBAD3EC1-ED8B-4200-95FC-9AFF0868374A}"/>
    <dgm:cxn modelId="{9E0E439C-8B7D-4D3E-A0BD-9D6FB50A9EDE}" type="presOf" srcId="{D0CD4AA3-9FCF-416F-BD1A-BE1C5F6A3D2E}" destId="{8E254624-35E3-49A8-A471-7D165E869A77}" srcOrd="0" destOrd="0" presId="urn:microsoft.com/office/officeart/2005/8/layout/orgChart1"/>
    <dgm:cxn modelId="{644F4D0A-CC93-4E94-9A33-5A672D9C40AA}" type="presOf" srcId="{E194F0CB-8638-4594-B4DA-BD3C1390D70E}" destId="{C87FF7B0-8150-453B-A463-84F94968E5D6}" srcOrd="1" destOrd="0" presId="urn:microsoft.com/office/officeart/2005/8/layout/orgChart1"/>
    <dgm:cxn modelId="{928BD8C4-5409-4EDF-A783-FFFC8F5926D3}" type="presOf" srcId="{BF259CE3-6941-408D-87E7-78F4D66A856B}" destId="{DC2349D7-16DF-4659-94F9-A12775D36AE9}" srcOrd="0" destOrd="0" presId="urn:microsoft.com/office/officeart/2005/8/layout/orgChart1"/>
    <dgm:cxn modelId="{42A0B036-A9E8-4658-9585-32A694C273EA}" srcId="{E883311A-58F1-43C0-BDF1-E905B14923D2}" destId="{6E2AD882-9368-4C80-AA17-CFCD80DFD9CF}" srcOrd="3" destOrd="0" parTransId="{9C56425A-81B8-425A-AF83-4A80643AEB1C}" sibTransId="{170E1BFC-2EF5-4C78-827C-8B6EE5003449}"/>
    <dgm:cxn modelId="{B607E5FF-3F94-4D0A-B921-1BF3A9F63BCF}" type="presOf" srcId="{A2F070F8-452E-4470-8EA2-B23532FF8D96}" destId="{D1D750D7-FCA4-4AA5-983B-66B7C28F4F26}" srcOrd="0" destOrd="0" presId="urn:microsoft.com/office/officeart/2005/8/layout/orgChart1"/>
    <dgm:cxn modelId="{80912E58-E535-4C74-B363-B107E25B5C01}" type="presOf" srcId="{609C6040-D873-43D0-B8BA-EFF6D1934E09}" destId="{E283D373-8EF1-4E3F-9DE2-B009684B9C5B}" srcOrd="1" destOrd="0" presId="urn:microsoft.com/office/officeart/2005/8/layout/orgChart1"/>
    <dgm:cxn modelId="{29CA3356-B330-4BE5-B055-9850D62FDA31}" srcId="{D789E4DF-56AB-4A72-B09E-DC74063487D6}" destId="{6627D280-CBD8-46BD-A7D7-43CCAF8573C5}" srcOrd="2" destOrd="0" parTransId="{E0E50C77-5A0A-452B-BF09-379717C5226D}" sibTransId="{25C163AA-359E-4E4C-B8C0-BA76DA7339CC}"/>
    <dgm:cxn modelId="{6C98CC33-9CF6-497A-ABFE-1AB5E57D9A8C}" type="presOf" srcId="{5D476914-D522-4474-89A0-458034F18A0C}" destId="{1B71C4E1-1DC7-4FA4-B6A4-4A74DAF9A03A}" srcOrd="0" destOrd="0" presId="urn:microsoft.com/office/officeart/2005/8/layout/orgChart1"/>
    <dgm:cxn modelId="{475A0D1E-3A72-41D7-B875-A0B7AABB7740}" type="presOf" srcId="{10394310-CFAD-479A-A8E2-2E6737E8F278}" destId="{542196DF-03CB-4E02-93DC-9F79A3BA2708}" srcOrd="0" destOrd="0" presId="urn:microsoft.com/office/officeart/2005/8/layout/orgChart1"/>
    <dgm:cxn modelId="{1EF398A3-3FB5-49D0-B03A-7F0CD20BDD42}" srcId="{D789E4DF-56AB-4A72-B09E-DC74063487D6}" destId="{E194F0CB-8638-4594-B4DA-BD3C1390D70E}" srcOrd="0" destOrd="0" parTransId="{35233043-574C-425B-B4A4-9FD5AB7D4857}" sibTransId="{523F8BE7-E47F-4953-8B07-826E9AD92CBF}"/>
    <dgm:cxn modelId="{2A1195B4-E957-45B9-A057-A730490F376F}" srcId="{C3357074-9C8C-40BA-A836-5CA61323EB1A}" destId="{6782BA31-732A-4DA1-A008-FDB28C3F0D2A}" srcOrd="2" destOrd="0" parTransId="{D1F13672-FC22-44CC-B962-0EECE9438117}" sibTransId="{3C1680EA-E4D6-40E5-853E-6FE14C99AA6F}"/>
    <dgm:cxn modelId="{265892D1-EBD5-49D2-AF46-7B80D3BFF4FC}" type="presOf" srcId="{B50221CD-2E8A-4911-84E8-1E92B4A3F565}" destId="{224FAC78-CC9C-4DED-B4F2-B5423FF8E371}" srcOrd="0" destOrd="0" presId="urn:microsoft.com/office/officeart/2005/8/layout/orgChart1"/>
    <dgm:cxn modelId="{9A3E698A-03D2-49A5-8CA7-F46C355B815B}" srcId="{54CC455A-CD4A-4349-95F8-02650D357E8D}" destId="{C4545C85-7843-421E-8A7F-4EE41F1FB453}" srcOrd="2" destOrd="0" parTransId="{F4AC34F0-D735-40EA-89B3-95BDAF7741B5}" sibTransId="{DBA12774-FBD4-4B86-BC84-E7F70BBC1B2B}"/>
    <dgm:cxn modelId="{251E9D37-2A6E-40A6-86B3-E2811F73EB43}" type="presOf" srcId="{D789E4DF-56AB-4A72-B09E-DC74063487D6}" destId="{1CFB3BEA-9AA9-4D4D-AFD5-4EB26671C546}" srcOrd="0" destOrd="0" presId="urn:microsoft.com/office/officeart/2005/8/layout/orgChart1"/>
    <dgm:cxn modelId="{86882C55-55EF-4525-BA65-A1BB4A5949FA}" srcId="{77D444E7-07C1-4D5D-B9FF-896775508B7C}" destId="{2FAC4C30-2C72-4BC4-8C08-435F75075C30}" srcOrd="4" destOrd="0" parTransId="{F2D6EFAA-D89E-49BB-AC05-06DF800123CB}" sibTransId="{B63BF048-B4AA-4B98-95AF-CE88146BAE8E}"/>
    <dgm:cxn modelId="{5306D2E5-5562-4399-8C3D-6C79B2ED61F0}" type="presOf" srcId="{697C9D58-D68D-4C33-9F13-6015B00EEF9A}" destId="{7F4EBA53-A975-40B0-9434-551189679C70}" srcOrd="0" destOrd="0" presId="urn:microsoft.com/office/officeart/2005/8/layout/orgChart1"/>
    <dgm:cxn modelId="{E18E49CF-2D0D-40B3-A910-1D4E0D715CCE}" srcId="{77D444E7-07C1-4D5D-B9FF-896775508B7C}" destId="{5D476914-D522-4474-89A0-458034F18A0C}" srcOrd="3" destOrd="0" parTransId="{8EA18A94-76CC-47E5-AEA5-653BBD44ED55}" sibTransId="{C1C6B982-2487-4636-91D3-44C63333A583}"/>
    <dgm:cxn modelId="{D9560D06-CE5B-48FC-ACD9-BD985940DFCE}" type="presOf" srcId="{CCCEBC92-6B10-4CED-9736-9F5D7B31A340}" destId="{90339CA8-6A99-44C0-81B4-059BC602D670}" srcOrd="1" destOrd="0" presId="urn:microsoft.com/office/officeart/2005/8/layout/orgChart1"/>
    <dgm:cxn modelId="{ED724631-6076-40A5-B2F4-1DA287960558}" srcId="{CCCEBC92-6B10-4CED-9736-9F5D7B31A340}" destId="{E6250F32-89B8-425F-9636-D037E17AE1E4}" srcOrd="0" destOrd="0" parTransId="{6B627D02-C49E-4A30-A3FE-C951C018343E}" sibTransId="{34541039-8C0C-4A19-94B9-BF24300837B4}"/>
    <dgm:cxn modelId="{D60BCF04-1737-4E84-AD8C-4C761B79FB97}" type="presOf" srcId="{DD936D03-697C-4B91-9797-9EF02B29DE1C}" destId="{D0BCF1E6-A471-4B6B-B837-D52867CFE306}" srcOrd="1" destOrd="0" presId="urn:microsoft.com/office/officeart/2005/8/layout/orgChart1"/>
    <dgm:cxn modelId="{8945F6DF-2A58-4A85-A12F-A419CEFC2050}" srcId="{E883311A-58F1-43C0-BDF1-E905B14923D2}" destId="{5E9FE79E-DD27-41D9-AFED-0B3881CF9F67}" srcOrd="1" destOrd="0" parTransId="{57A5474C-395F-4ED0-A994-7397954D1DF4}" sibTransId="{00054E03-C219-4225-B544-A6C4AB9DD68F}"/>
    <dgm:cxn modelId="{C59337A7-1F0D-49AE-BCCA-AA92234C5A58}" type="presOf" srcId="{C634C660-3F08-4737-983E-BC4E46730E60}" destId="{DD3934CC-731A-4EDB-B0BF-8D3468187259}" srcOrd="0" destOrd="0" presId="urn:microsoft.com/office/officeart/2005/8/layout/orgChart1"/>
    <dgm:cxn modelId="{9060868E-0C1D-4015-8A6F-2FD3A7C3B0DC}" type="presOf" srcId="{35233043-574C-425B-B4A4-9FD5AB7D4857}" destId="{1CB52C30-6081-4109-9A47-5570134E2F77}" srcOrd="0" destOrd="0" presId="urn:microsoft.com/office/officeart/2005/8/layout/orgChart1"/>
    <dgm:cxn modelId="{47028B3C-A397-432F-B915-78FE9B9546C1}" type="presOf" srcId="{751E95A1-683A-400B-8717-2724C4C0C1E4}" destId="{ED569C1D-A086-4CF7-BB0E-5D3FF324517B}" srcOrd="1" destOrd="0" presId="urn:microsoft.com/office/officeart/2005/8/layout/orgChart1"/>
    <dgm:cxn modelId="{A6403C95-FCB4-4150-AB21-10B122B29077}" type="presOf" srcId="{420576DF-CE92-46FD-A90E-2563FABAA11C}" destId="{7F0306AC-675C-4FF6-A0CD-8838AE68C7FC}" srcOrd="0" destOrd="0" presId="urn:microsoft.com/office/officeart/2005/8/layout/orgChart1"/>
    <dgm:cxn modelId="{622BC118-49CD-4887-926B-3DCCA3E78460}" type="presOf" srcId="{1F3C928A-6392-4E9B-AFEF-420C0B9E33FE}" destId="{C96D2213-AA47-432E-9577-0757E0EBCA63}" srcOrd="0" destOrd="0" presId="urn:microsoft.com/office/officeart/2005/8/layout/orgChart1"/>
    <dgm:cxn modelId="{A1604439-F70D-447D-A99D-C809B886D302}" type="presOf" srcId="{AAAB5B1C-C8C3-42A3-A26A-1165856BF1D2}" destId="{53ED98AA-A6D5-43BD-A692-BECBD0142472}" srcOrd="0" destOrd="0" presId="urn:microsoft.com/office/officeart/2005/8/layout/orgChart1"/>
    <dgm:cxn modelId="{0047C3D0-469B-4434-853E-7F8EAA0F9E51}" type="presOf" srcId="{BBCF47EF-287E-4B13-8F0F-F3BE0B6928B5}" destId="{F25F51F2-6998-4519-B3A5-2F570B219F85}" srcOrd="0" destOrd="0" presId="urn:microsoft.com/office/officeart/2005/8/layout/orgChart1"/>
    <dgm:cxn modelId="{C1700E34-34C1-435C-8DD1-D2E3EBF9789B}" type="presOf" srcId="{44E5886B-7784-4A4D-BC7C-14062AB7B94C}" destId="{97B8D86D-2144-45FF-A86F-F1F3C8F8A8AC}" srcOrd="0" destOrd="0" presId="urn:microsoft.com/office/officeart/2005/8/layout/orgChart1"/>
    <dgm:cxn modelId="{5E86F4E9-B2ED-45E7-B458-462FB26A582C}" srcId="{93BE8312-60FF-4A18-9EA6-AD54CFE90231}" destId="{A997670A-5350-409D-8533-3CA5F38EC263}" srcOrd="2" destOrd="0" parTransId="{D7925904-502A-4706-B505-E2CB35487CEE}" sibTransId="{DC7B0D0A-4E7E-4241-922A-1A2BF97A571A}"/>
    <dgm:cxn modelId="{54A5626D-8E5C-42B9-ADDD-3D8AD874142C}" type="presOf" srcId="{E653F506-E5FC-4360-BBFE-696A4FC7CFFC}" destId="{257B2F7E-AC7D-4EE8-ADAF-CE561052367E}" srcOrd="0" destOrd="0" presId="urn:microsoft.com/office/officeart/2005/8/layout/orgChart1"/>
    <dgm:cxn modelId="{8C8A488B-0CF1-4ED4-8275-B0ED13D695D7}" type="presOf" srcId="{58388CD6-C3F5-4D11-B568-44B60AC09654}" destId="{85900511-924E-40DB-B0C0-0616F90A164B}" srcOrd="0" destOrd="0" presId="urn:microsoft.com/office/officeart/2005/8/layout/orgChart1"/>
    <dgm:cxn modelId="{57E25D20-9E76-4044-A3E2-3FCD40F9D4D1}" type="presOf" srcId="{B839EB4A-CA43-4A89-A1E1-FD91031A0E3D}" destId="{42CF06FA-E012-41EE-8967-87EDBA5817F1}" srcOrd="1" destOrd="0" presId="urn:microsoft.com/office/officeart/2005/8/layout/orgChart1"/>
    <dgm:cxn modelId="{6E2BA28D-570D-440C-9A35-94433C41E2A4}" type="presOf" srcId="{2E76A6D5-CB61-4892-8983-CED9A5406900}" destId="{250283B5-A5DD-4943-ABB7-3C6C08AD0379}" srcOrd="0" destOrd="0" presId="urn:microsoft.com/office/officeart/2005/8/layout/orgChart1"/>
    <dgm:cxn modelId="{C97C9201-13EF-4F30-ACC3-E81CD7850C86}" type="presOf" srcId="{29380AB8-E98F-400E-906E-80A6272D0598}" destId="{B5E76273-5770-45CA-8169-8CDDCB05C222}" srcOrd="0" destOrd="0" presId="urn:microsoft.com/office/officeart/2005/8/layout/orgChart1"/>
    <dgm:cxn modelId="{FD2A13FC-F059-42BF-8535-1741DD3D32C1}" type="presOf" srcId="{8E3EAD9D-8F11-401D-B09A-61EC06E05C1B}" destId="{8E2E3BE1-923F-48F6-80CB-CF546CB5420B}" srcOrd="0" destOrd="0" presId="urn:microsoft.com/office/officeart/2005/8/layout/orgChart1"/>
    <dgm:cxn modelId="{966C02E8-C4AD-4966-981E-4ED2B92A4292}" type="presOf" srcId="{5D476914-D522-4474-89A0-458034F18A0C}" destId="{78F34446-D293-42D8-8F0B-23A38EF37ACA}" srcOrd="1" destOrd="0" presId="urn:microsoft.com/office/officeart/2005/8/layout/orgChart1"/>
    <dgm:cxn modelId="{D67FF958-528F-4E46-8821-5AE4EFA78D83}" type="presOf" srcId="{12EA064A-8CC3-4619-9FD5-0082419B6074}" destId="{DD4D6429-1959-486B-8C83-B2C3F01CA2A9}" srcOrd="0" destOrd="0" presId="urn:microsoft.com/office/officeart/2005/8/layout/orgChart1"/>
    <dgm:cxn modelId="{DFA14969-1C23-4DE2-97AB-1D4D5363DE13}" type="presOf" srcId="{5701DACE-2E21-4457-A288-7FD71FC763DD}" destId="{066CE618-AFAE-4E87-A189-BA7EED51A6BC}" srcOrd="0" destOrd="0" presId="urn:microsoft.com/office/officeart/2005/8/layout/orgChart1"/>
    <dgm:cxn modelId="{7C29D6F2-10EA-4015-B95E-53B5C1EC5AA8}" type="presOf" srcId="{AAAB5B1C-C8C3-42A3-A26A-1165856BF1D2}" destId="{1AEE2796-BB2E-4F7C-95C2-36A57CDE3334}" srcOrd="1" destOrd="0" presId="urn:microsoft.com/office/officeart/2005/8/layout/orgChart1"/>
    <dgm:cxn modelId="{2E392E26-47A8-4355-AF8E-02C4C5746468}" type="presOf" srcId="{D01A2359-A22D-41DC-965E-463AAD6DEC4D}" destId="{D229B421-0E03-4D58-8EEB-322FBC6384D6}" srcOrd="1" destOrd="0" presId="urn:microsoft.com/office/officeart/2005/8/layout/orgChart1"/>
    <dgm:cxn modelId="{E733BE80-7959-4DC9-9E85-EEE41C7E6D7D}" type="presOf" srcId="{77D444E7-07C1-4D5D-B9FF-896775508B7C}" destId="{9CC384ED-497B-4FE2-AAE5-9466B74B1BDE}" srcOrd="1" destOrd="0" presId="urn:microsoft.com/office/officeart/2005/8/layout/orgChart1"/>
    <dgm:cxn modelId="{88947E25-D253-401E-97EA-86BF9ADC6168}" srcId="{C3357074-9C8C-40BA-A836-5CA61323EB1A}" destId="{DD936D03-697C-4B91-9797-9EF02B29DE1C}" srcOrd="1" destOrd="0" parTransId="{06B86893-C170-4D83-8279-EAA21D0E124E}" sibTransId="{D795EDC1-D7DD-445A-81F6-1BD031F7E31C}"/>
    <dgm:cxn modelId="{E7CD15EA-F84E-4A93-A702-C2DF55EF09BE}" type="presOf" srcId="{2F47CD97-FF8C-444E-8DFB-D5358D61D23F}" destId="{82113CF6-DC9F-4147-AB3D-10437765E1CC}" srcOrd="1" destOrd="0" presId="urn:microsoft.com/office/officeart/2005/8/layout/orgChart1"/>
    <dgm:cxn modelId="{80439066-23C3-442F-9050-1FFE31BED0A8}" type="presOf" srcId="{66BEFFB4-38B4-415F-ADA4-06B62B3399D9}" destId="{0E9275D1-BE8A-4EF2-B888-3882E047FB3C}" srcOrd="0" destOrd="0" presId="urn:microsoft.com/office/officeart/2005/8/layout/orgChart1"/>
    <dgm:cxn modelId="{9DDB8BF7-031D-49D5-8113-BAC612660B1C}" type="presOf" srcId="{023389AF-EC88-40EC-8DB0-507EF04E3F3B}" destId="{51B07BC3-2201-4EC5-AD3D-5B75C0C1E754}" srcOrd="0" destOrd="0" presId="urn:microsoft.com/office/officeart/2005/8/layout/orgChart1"/>
    <dgm:cxn modelId="{766AD2CD-9712-4622-A98F-237F95CA6D02}" type="presOf" srcId="{5F86DD40-FA6A-47A3-B0E1-60B7BF7644EF}" destId="{0F49334D-300B-4735-B2B4-A9EC0E5DEACB}" srcOrd="0" destOrd="0" presId="urn:microsoft.com/office/officeart/2005/8/layout/orgChart1"/>
    <dgm:cxn modelId="{EBFCB3DF-DFEB-4D1D-BBBF-9F2A94DEBA62}" srcId="{088C8172-BF48-47A3-92C9-BAA3B5B80DC0}" destId="{A8581A17-7EE2-472D-ACFC-71398985F795}" srcOrd="0" destOrd="0" parTransId="{5F86DD40-FA6A-47A3-B0E1-60B7BF7644EF}" sibTransId="{0743DF40-21CC-4C6E-AAAD-800558BB0EFA}"/>
    <dgm:cxn modelId="{8FEDB728-EBF8-419A-B2F0-9F846836D219}" type="presOf" srcId="{D3366BC1-931F-4350-854B-0F8E25DAF2CA}" destId="{E1D050CE-D9C5-414F-84A0-A93C4DEC8BFE}" srcOrd="0" destOrd="0" presId="urn:microsoft.com/office/officeart/2005/8/layout/orgChart1"/>
    <dgm:cxn modelId="{B74C9EC2-F332-4A8C-82CF-D3F99DF7B64B}" type="presOf" srcId="{77D444E7-07C1-4D5D-B9FF-896775508B7C}" destId="{2734AE6D-7E4C-462B-AA55-5E06A8BAC55B}" srcOrd="0" destOrd="0" presId="urn:microsoft.com/office/officeart/2005/8/layout/orgChart1"/>
    <dgm:cxn modelId="{DE116BE3-38AF-4DE1-BC4E-DD590BAB37CC}" srcId="{088C8172-BF48-47A3-92C9-BAA3B5B80DC0}" destId="{20301F7D-90B0-4457-8ED8-8F22D3187F5C}" srcOrd="1" destOrd="0" parTransId="{2117ACDE-7891-4B38-9EA3-C93324D003CE}" sibTransId="{719D8BB0-4679-4B52-A9E7-339C1A501243}"/>
    <dgm:cxn modelId="{58FF8B2D-DE5D-4223-8BCE-CD6935005BF0}" type="presOf" srcId="{CF42453B-5DB4-4105-AF1E-3E374F3C19B2}" destId="{C030AB0E-31F2-4C14-BB4F-547398C53526}" srcOrd="0" destOrd="0" presId="urn:microsoft.com/office/officeart/2005/8/layout/orgChart1"/>
    <dgm:cxn modelId="{B95D7E6F-A117-465B-8937-E12C2454D320}" type="presOf" srcId="{40227270-05DB-4E37-9E95-C5FFAEE344AA}" destId="{88041BC2-E4F7-4785-A432-3E9106AA941B}" srcOrd="0" destOrd="0" presId="urn:microsoft.com/office/officeart/2005/8/layout/orgChart1"/>
    <dgm:cxn modelId="{136BB937-5778-41A0-8B06-51CC1A558F4A}" type="presOf" srcId="{4AD44D94-CF89-4091-B5C7-66A91B5ADEB1}" destId="{51C9EFC8-C1B8-4126-AB80-A8CB6629DAB5}" srcOrd="0" destOrd="0" presId="urn:microsoft.com/office/officeart/2005/8/layout/orgChart1"/>
    <dgm:cxn modelId="{643753E2-F486-4655-848B-5E8012C73737}" type="presOf" srcId="{6FAA21FE-C43C-4B60-BF5B-937B2B27F49F}" destId="{65FE2CD7-55E7-432A-8B8C-129D0326310B}" srcOrd="0" destOrd="0" presId="urn:microsoft.com/office/officeart/2005/8/layout/orgChart1"/>
    <dgm:cxn modelId="{B52C5E84-6CC1-4A85-A7A4-FF98BB35B26A}" type="presOf" srcId="{32CFE678-BE5F-43B5-9009-F499067AB237}" destId="{9652EF95-9BD5-45B6-B749-3CDEEA19AB00}" srcOrd="1" destOrd="0" presId="urn:microsoft.com/office/officeart/2005/8/layout/orgChart1"/>
    <dgm:cxn modelId="{93F6029D-EB27-4589-A061-09EAF35F7607}" type="presOf" srcId="{637F1051-3303-4721-91C5-5E0839D1BCA8}" destId="{AF931224-7D73-406B-8497-EE049ADF2F7A}" srcOrd="1" destOrd="0" presId="urn:microsoft.com/office/officeart/2005/8/layout/orgChart1"/>
    <dgm:cxn modelId="{28BA1DDD-2E2A-42BE-8494-14A4801A97F9}" type="presOf" srcId="{1EAD86CA-8034-4511-84A9-FAE7ECFA05BC}" destId="{35E1FAB6-A167-42BE-9E36-819AA8FE6989}" srcOrd="0" destOrd="0" presId="urn:microsoft.com/office/officeart/2005/8/layout/orgChart1"/>
    <dgm:cxn modelId="{D9A994BE-BBCF-49D4-B28D-CC14F167001D}" type="presOf" srcId="{0445846A-5234-4BCE-AB61-7CC5DF393F9A}" destId="{DCEE3BA0-E00A-4461-8B8B-6FCF24E39389}" srcOrd="0" destOrd="0" presId="urn:microsoft.com/office/officeart/2005/8/layout/orgChart1"/>
    <dgm:cxn modelId="{CF0ABFF6-8D8C-4A13-8C78-4B7F33C81AF0}" type="presOf" srcId="{1C24A6BF-B111-4254-97C3-0F2E9D8101A0}" destId="{ABCB872A-7606-4F76-AA79-CB7AF9DDCDB6}" srcOrd="1" destOrd="0" presId="urn:microsoft.com/office/officeart/2005/8/layout/orgChart1"/>
    <dgm:cxn modelId="{B8E1627C-E7E1-4220-94AB-B4080BA977AF}" type="presOf" srcId="{416CEC48-E214-4015-8C6E-69D4C8A45281}" destId="{B66DBE18-09DC-40A1-B2D4-F2BE81A8FD53}" srcOrd="1" destOrd="0" presId="urn:microsoft.com/office/officeart/2005/8/layout/orgChart1"/>
    <dgm:cxn modelId="{914BDB8E-D7BE-4E53-BFB2-CE51BD2071AD}" type="presOf" srcId="{0AA80D02-3605-4092-B56E-6252947AB830}" destId="{90B4D687-72B2-4C0A-B548-A7E6A0F84389}" srcOrd="0" destOrd="0" presId="urn:microsoft.com/office/officeart/2005/8/layout/orgChart1"/>
    <dgm:cxn modelId="{5845F07F-2EAF-4CCC-B5D2-E23776E47E73}" type="presOf" srcId="{E883311A-58F1-43C0-BDF1-E905B14923D2}" destId="{E95FFD38-9874-4015-83F1-336B22014284}" srcOrd="0" destOrd="0" presId="urn:microsoft.com/office/officeart/2005/8/layout/orgChart1"/>
    <dgm:cxn modelId="{46EFEF3A-F619-4D0E-A28A-4AF48FEF6F19}" srcId="{10394310-CFAD-479A-A8E2-2E6737E8F278}" destId="{609C6040-D873-43D0-B8BA-EFF6D1934E09}" srcOrd="5" destOrd="0" parTransId="{7AC4D0D6-AB30-4A16-B624-3CE5481BEFC0}" sibTransId="{CCA4A234-6D46-49F3-BE9F-CBCAB535F89F}"/>
    <dgm:cxn modelId="{CA317B34-3FE1-4618-8F9C-EA6EA5BBC194}" type="presOf" srcId="{9C56425A-81B8-425A-AF83-4A80643AEB1C}" destId="{F96E22FB-4BCC-4F67-965A-A117B4538F6C}" srcOrd="0" destOrd="0" presId="urn:microsoft.com/office/officeart/2005/8/layout/orgChart1"/>
    <dgm:cxn modelId="{BB6FDC66-6A7E-4A05-90A4-97D949B5160E}" type="presOf" srcId="{EC9C8504-0E3F-4B20-BC18-3CFA5365716C}" destId="{B6EB0BC2-D975-435A-80DF-860351E2E034}" srcOrd="1" destOrd="0" presId="urn:microsoft.com/office/officeart/2005/8/layout/orgChart1"/>
    <dgm:cxn modelId="{8A46B50A-4D37-41E6-A507-6A80089BD84E}" srcId="{4021D9B5-FA8D-4ED3-8E53-BB4D710B8311}" destId="{F95E6CAF-03EE-4C7A-BF3F-AC220C7C66D2}" srcOrd="1" destOrd="0" parTransId="{9E0FDE52-AD7F-4233-B586-F31B3AFCDA31}" sibTransId="{B06BE8CA-785E-4951-999F-E418D9A3CD5B}"/>
    <dgm:cxn modelId="{6EE3781B-19BC-4C2E-8567-F57C83FC2FAD}" type="presOf" srcId="{10394310-CFAD-479A-A8E2-2E6737E8F278}" destId="{53CDB580-C8CC-4882-B176-A4E35EB81F16}" srcOrd="1" destOrd="0" presId="urn:microsoft.com/office/officeart/2005/8/layout/orgChart1"/>
    <dgm:cxn modelId="{7EB2C42A-BA23-49CD-B1D2-C66F77B989D1}" type="presOf" srcId="{1A4DE9E6-2CF6-42BA-A762-C80819153459}" destId="{09407B79-0EFD-4C34-B5BF-45C9FA19ECC4}" srcOrd="0" destOrd="0" presId="urn:microsoft.com/office/officeart/2005/8/layout/orgChart1"/>
    <dgm:cxn modelId="{516CAEDB-D5A9-48A1-9E8C-73ECD4840550}" srcId="{D789E4DF-56AB-4A72-B09E-DC74063487D6}" destId="{D01A2359-A22D-41DC-965E-463AAD6DEC4D}" srcOrd="3" destOrd="0" parTransId="{9D780BE8-05A7-422E-905A-9AB440AC70A4}" sibTransId="{C59973AF-5D98-4AD8-AB42-ED4770E7ECD3}"/>
    <dgm:cxn modelId="{E747B1CC-8B52-4059-A6E4-ADADD8C66DF9}" type="presOf" srcId="{0D844017-8824-4EE4-98B5-B8DF89884FBD}" destId="{C9F92D14-0AF2-4FB0-A03B-C265CE546D2C}" srcOrd="1" destOrd="0" presId="urn:microsoft.com/office/officeart/2005/8/layout/orgChart1"/>
    <dgm:cxn modelId="{4F97DFC3-D574-452B-AC46-CAF2B13A7439}" type="presOf" srcId="{91B769E1-6CD7-446D-BCCC-D97A7958972F}" destId="{69C3D240-B47E-45AD-8D81-3BE7BB1CD609}" srcOrd="0" destOrd="0" presId="urn:microsoft.com/office/officeart/2005/8/layout/orgChart1"/>
    <dgm:cxn modelId="{88A16652-588C-4AC2-8AAA-EE6AEA5428A7}" srcId="{10394310-CFAD-479A-A8E2-2E6737E8F278}" destId="{C634C660-3F08-4737-983E-BC4E46730E60}" srcOrd="1" destOrd="0" parTransId="{9595A993-FCD5-4EE4-8382-52A69B09D264}" sibTransId="{E14D3238-9F8C-4E97-A29A-6817FA8240DF}"/>
    <dgm:cxn modelId="{3115C25A-76D2-473F-B96B-608ADDE72C05}" srcId="{E883311A-58F1-43C0-BDF1-E905B14923D2}" destId="{416CEC48-E214-4015-8C6E-69D4C8A45281}" srcOrd="0" destOrd="0" parTransId="{023389AF-EC88-40EC-8DB0-507EF04E3F3B}" sibTransId="{3EF208E1-3E3F-4CCE-A8C7-464F2FEB74BF}"/>
    <dgm:cxn modelId="{1BB5FBA4-D4A7-43F6-A491-E93C0B5F3D50}" srcId="{4021D9B5-FA8D-4ED3-8E53-BB4D710B8311}" destId="{6FAA21FE-C43C-4B60-BF5B-937B2B27F49F}" srcOrd="0" destOrd="0" parTransId="{195A8A2D-F461-489A-BDAB-2B7FFD4BFB6C}" sibTransId="{0A7C2DE2-4E40-4DBC-A686-551589BBE62A}"/>
    <dgm:cxn modelId="{30C2FA58-14E9-40B8-B5ED-79EB580C6C53}" type="presOf" srcId="{BC0F4616-A76F-4CE0-AA05-914486AC797B}" destId="{DBA6ADC8-8384-4411-96AB-B3254E4F3E89}" srcOrd="0" destOrd="0" presId="urn:microsoft.com/office/officeart/2005/8/layout/orgChart1"/>
    <dgm:cxn modelId="{31633119-0AC8-412E-8415-0851053A4658}" srcId="{C3357074-9C8C-40BA-A836-5CA61323EB1A}" destId="{BF259CE3-6941-408D-87E7-78F4D66A856B}" srcOrd="3" destOrd="0" parTransId="{330C76B0-866D-4337-992D-9D5BBE999A9C}" sibTransId="{3E941D10-6E2B-4B56-82EE-F25A07DBC265}"/>
    <dgm:cxn modelId="{065AD327-DDB5-47CC-852F-03C603CED2F4}" type="presOf" srcId="{D5207719-DC6D-435E-82B9-A28209D4FF03}" destId="{D8125864-2D90-443F-B234-843E82736838}" srcOrd="0" destOrd="0" presId="urn:microsoft.com/office/officeart/2005/8/layout/orgChart1"/>
    <dgm:cxn modelId="{7DD11BBA-531C-4A85-A6F6-4A05093E1A8F}" srcId="{609C6040-D873-43D0-B8BA-EFF6D1934E09}" destId="{93BE8312-60FF-4A18-9EA6-AD54CFE90231}" srcOrd="3" destOrd="0" parTransId="{2E76A6D5-CB61-4892-8983-CED9A5406900}" sibTransId="{6831DA52-D521-4032-B263-46510FE02C27}"/>
    <dgm:cxn modelId="{ACD4899F-ED05-4F82-AC60-6C68D20950B8}" type="presOf" srcId="{C4545C85-7843-421E-8A7F-4EE41F1FB453}" destId="{8C664A5B-C196-4C1D-B18A-561990E2CDD1}" srcOrd="0" destOrd="0" presId="urn:microsoft.com/office/officeart/2005/8/layout/orgChart1"/>
    <dgm:cxn modelId="{7530721B-22B9-4491-8D1F-D97115633E6F}" srcId="{609C6040-D873-43D0-B8BA-EFF6D1934E09}" destId="{E883311A-58F1-43C0-BDF1-E905B14923D2}" srcOrd="0" destOrd="0" parTransId="{B42F5C02-9CB0-4140-B558-C42DB281761E}" sibTransId="{F41E292A-2F2A-4D39-92F0-13EF26E5F6E0}"/>
    <dgm:cxn modelId="{865E65B9-16B0-4A55-9D14-C743005A4839}" srcId="{CCCEBC92-6B10-4CED-9736-9F5D7B31A340}" destId="{6D0759E6-9956-4AA9-8BB5-D985789D4D12}" srcOrd="4" destOrd="0" parTransId="{50B3BE46-7E20-49B9-86BC-B7715C89BC7A}" sibTransId="{7AE5594B-40EA-4D8B-AD55-5018072C6437}"/>
    <dgm:cxn modelId="{89B68255-3C8E-4D6D-9C55-CDF439B61A48}" type="presOf" srcId="{93BE8312-60FF-4A18-9EA6-AD54CFE90231}" destId="{21F04321-3D2A-4429-B412-8A021340603D}" srcOrd="1" destOrd="0" presId="urn:microsoft.com/office/officeart/2005/8/layout/orgChart1"/>
    <dgm:cxn modelId="{56B6727F-3BAE-4B2B-9F62-5A431F5A8BE2}" type="presOf" srcId="{D3366BC1-931F-4350-854B-0F8E25DAF2CA}" destId="{8A94283C-7C2F-4CEB-BFCE-581BD6C1B89A}" srcOrd="1" destOrd="0" presId="urn:microsoft.com/office/officeart/2005/8/layout/orgChart1"/>
    <dgm:cxn modelId="{14FB7F66-F134-4E64-B058-50DF031EB95A}" type="presOf" srcId="{C05A8A67-B5D4-4F20-AB4E-13EB59936CE6}" destId="{6CC1AA5A-161C-45E0-B9C4-E030DA03AA8B}" srcOrd="0" destOrd="0" presId="urn:microsoft.com/office/officeart/2005/8/layout/orgChart1"/>
    <dgm:cxn modelId="{99E28DE6-5A80-4A79-9DD1-EDEDCAB5BAA0}" type="presOf" srcId="{E6250F32-89B8-425F-9636-D037E17AE1E4}" destId="{4510B73D-17B1-44F7-A27A-8CE2D7D64684}" srcOrd="1" destOrd="0" presId="urn:microsoft.com/office/officeart/2005/8/layout/orgChart1"/>
    <dgm:cxn modelId="{17392ACE-8327-4945-9B0E-4858A356B47A}" srcId="{C558FDEB-193B-421E-81D3-EE6F32969F7E}" destId="{3527C0C3-1727-4877-92E1-269D9506FDBA}" srcOrd="1" destOrd="0" parTransId="{2635F4F7-DADC-4954-94F1-BCDA22A84EA2}" sibTransId="{51ABA808-0A9C-4815-B506-2AF966CA01B2}"/>
    <dgm:cxn modelId="{F8D383B3-B3F3-4A34-9A3E-C980EB4F2F46}" srcId="{93BE8312-60FF-4A18-9EA6-AD54CFE90231}" destId="{94A7FF32-3129-4C7F-8F40-839B6A4688CB}" srcOrd="0" destOrd="0" parTransId="{75834D1C-3C9F-4088-A4C8-9B3C9DEB1291}" sibTransId="{1D6FFF38-D437-4DAB-B883-1F071D893715}"/>
    <dgm:cxn modelId="{85F3485D-4D79-4094-BE30-FC7E3C02F7E5}" type="presOf" srcId="{FA6ED975-55E0-4A0B-B457-29D9BFB2DA34}" destId="{B7C224BE-7741-4676-A46A-5BF419505716}" srcOrd="0" destOrd="0" presId="urn:microsoft.com/office/officeart/2005/8/layout/orgChart1"/>
    <dgm:cxn modelId="{45B11807-01F4-4D94-9826-85CF69F9BDDA}" type="presOf" srcId="{9D780BE8-05A7-422E-905A-9AB440AC70A4}" destId="{D905E8C9-9FE1-4545-84BB-FA380198FAFE}" srcOrd="0" destOrd="0" presId="urn:microsoft.com/office/officeart/2005/8/layout/orgChart1"/>
    <dgm:cxn modelId="{2C2E33B3-83F8-4C33-84F3-23A66061CCA1}" srcId="{C558FDEB-193B-421E-81D3-EE6F32969F7E}" destId="{865FD127-6124-4550-8491-6B3005B96C45}" srcOrd="0" destOrd="0" parTransId="{1EAD86CA-8034-4511-84A9-FAE7ECFA05BC}" sibTransId="{20C34976-A7A2-4EB2-8067-C0CFD7002D27}"/>
    <dgm:cxn modelId="{3CECCF29-69AE-4EDB-84BA-BACFAEB1A7EF}" type="presOf" srcId="{3FDDE85B-5464-405B-9FAA-B0570B931591}" destId="{540D71A9-8119-49F1-95C0-4B399D133315}" srcOrd="0" destOrd="0" presId="urn:microsoft.com/office/officeart/2005/8/layout/orgChart1"/>
    <dgm:cxn modelId="{9D386975-D2A7-419E-932D-8A8F0BF119A9}" type="presOf" srcId="{6782BA31-732A-4DA1-A008-FDB28C3F0D2A}" destId="{7A13505D-A18A-454A-8BBB-FC96E81668C5}" srcOrd="0" destOrd="0" presId="urn:microsoft.com/office/officeart/2005/8/layout/orgChart1"/>
    <dgm:cxn modelId="{FECF47A5-523E-4501-944A-AF6D25EE9740}" type="presOf" srcId="{64E3A6A4-24E0-4D6E-9A2A-F2CEFBAA3229}" destId="{D0220285-8769-4F04-B0A4-DF4827A80904}" srcOrd="0" destOrd="0" presId="urn:microsoft.com/office/officeart/2005/8/layout/orgChart1"/>
    <dgm:cxn modelId="{6434E75E-E5B0-413F-8D6A-2F8DABFABB29}" type="presOf" srcId="{600BE7BE-433F-4083-9E12-9F720D312717}" destId="{CB9CB2CF-D985-470E-8BBD-FDA664225669}" srcOrd="1" destOrd="0" presId="urn:microsoft.com/office/officeart/2005/8/layout/orgChart1"/>
    <dgm:cxn modelId="{E470EF06-048D-42DA-83C7-F2638776E783}" type="presOf" srcId="{24C6315B-E5F4-4752-8027-35AE4FE423EA}" destId="{255F1C9E-6B1B-4A60-A558-4B8E9BD54302}" srcOrd="1" destOrd="0" presId="urn:microsoft.com/office/officeart/2005/8/layout/orgChart1"/>
    <dgm:cxn modelId="{C029F8B4-1FC8-4B34-AA17-9FA0D8A8D08A}" type="presOf" srcId="{751E95A1-683A-400B-8717-2724C4C0C1E4}" destId="{C60DDCA0-895E-42F5-9186-A43048767D4E}" srcOrd="0" destOrd="0" presId="urn:microsoft.com/office/officeart/2005/8/layout/orgChart1"/>
    <dgm:cxn modelId="{69030A38-7B34-42FE-AD86-D7A6754BEA02}" srcId="{54CC455A-CD4A-4349-95F8-02650D357E8D}" destId="{697C9D58-D68D-4C33-9F13-6015B00EEF9A}" srcOrd="3" destOrd="0" parTransId="{E8A26CFC-F4FD-439C-B1A4-B323BB97B201}" sibTransId="{6F46F183-7226-43FA-A8C9-A3AC97BA414A}"/>
    <dgm:cxn modelId="{A6551F58-BB24-44F7-BA89-6D4D6A748D34}" type="presOf" srcId="{2635F4F7-DADC-4954-94F1-BCDA22A84EA2}" destId="{7B5DD997-EF47-4ECB-B1EA-65CD1083A84B}" srcOrd="0" destOrd="0" presId="urn:microsoft.com/office/officeart/2005/8/layout/orgChart1"/>
    <dgm:cxn modelId="{F83A1890-3E0D-4FB3-8F36-867360946BF3}" type="presOf" srcId="{C3357074-9C8C-40BA-A836-5CA61323EB1A}" destId="{A06D472D-82F3-4179-8C95-343391DA28F6}" srcOrd="1" destOrd="0" presId="urn:microsoft.com/office/officeart/2005/8/layout/orgChart1"/>
    <dgm:cxn modelId="{5BF1E03A-EBB4-4848-B287-C2422DAC23E4}" srcId="{C3357074-9C8C-40BA-A836-5CA61323EB1A}" destId="{4E72ACA5-18AA-4764-B7FA-41E766E34B23}" srcOrd="0" destOrd="0" parTransId="{FAB385CE-74C9-4D4F-A1A5-15C2AC9D18E0}" sibTransId="{73C4B363-BCF3-4E11-B2BB-24517019322E}"/>
    <dgm:cxn modelId="{C74FB65A-20C7-4537-B0C9-BABA8ABC466C}" type="presOf" srcId="{2FAC4C30-2C72-4BC4-8C08-435F75075C30}" destId="{B768F0DD-78D5-4988-9AAB-0E7591093BCC}" srcOrd="0" destOrd="0" presId="urn:microsoft.com/office/officeart/2005/8/layout/orgChart1"/>
    <dgm:cxn modelId="{D8B7DCD6-4BE7-4003-BF7C-1B1DBF500A80}" srcId="{E883311A-58F1-43C0-BDF1-E905B14923D2}" destId="{64E3A6A4-24E0-4D6E-9A2A-F2CEFBAA3229}" srcOrd="2" destOrd="0" parTransId="{3FDDE85B-5464-405B-9FAA-B0570B931591}" sibTransId="{60ECC79E-C0FC-4F0E-A81C-45BA6D46E638}"/>
    <dgm:cxn modelId="{D7F102A0-4A8A-4979-B8BC-26362EC73100}" srcId="{99994473-2E43-49F1-82D3-29CD46A6613A}" destId="{4021D9B5-FA8D-4ED3-8E53-BB4D710B8311}" srcOrd="2" destOrd="0" parTransId="{1A4DE9E6-2CF6-42BA-A762-C80819153459}" sibTransId="{CAAE7338-6585-4B0B-94E6-F21ECF433F68}"/>
    <dgm:cxn modelId="{0F2C5BB7-AE40-41DC-B7FE-3B33D3A71919}" type="presOf" srcId="{A841C47F-EDD3-48DA-BD12-444C1AFF0DD1}" destId="{94FD4504-677C-446E-B38F-065541BD9124}" srcOrd="1" destOrd="0" presId="urn:microsoft.com/office/officeart/2005/8/layout/orgChart1"/>
    <dgm:cxn modelId="{7330A94E-B3CE-4A39-BCD1-BB05EBF0DCBF}" type="presOf" srcId="{6B627D02-C49E-4A30-A3FE-C951C018343E}" destId="{B247CDC3-71D2-4AB0-A960-C804E4CD11E7}" srcOrd="0" destOrd="0" presId="urn:microsoft.com/office/officeart/2005/8/layout/orgChart1"/>
    <dgm:cxn modelId="{40C50704-0B89-43CF-95BC-B8199139C92B}" srcId="{CCCEBC92-6B10-4CED-9736-9F5D7B31A340}" destId="{BECE1405-0B35-41B9-8289-BC1CA6105C9D}" srcOrd="3" destOrd="0" parTransId="{8E3EAD9D-8F11-401D-B09A-61EC06E05C1B}" sibTransId="{367AC05D-E3A4-4FA8-96EE-E174524FBC39}"/>
    <dgm:cxn modelId="{20E63BA2-C06A-4824-8803-189EB087341F}" srcId="{10394310-CFAD-479A-A8E2-2E6737E8F278}" destId="{99994473-2E43-49F1-82D3-29CD46A6613A}" srcOrd="4" destOrd="0" parTransId="{58388CD6-C3F5-4D11-B568-44B60AC09654}" sibTransId="{C11E04E8-42FD-48AE-97E7-C74883D6FFC0}"/>
    <dgm:cxn modelId="{80732185-541F-47B9-ADC7-C1288674D5B2}" type="presOf" srcId="{416CEC48-E214-4015-8C6E-69D4C8A45281}" destId="{BC89AB6F-45B7-4C0F-93B8-3E80446BB100}" srcOrd="0" destOrd="0" presId="urn:microsoft.com/office/officeart/2005/8/layout/orgChart1"/>
    <dgm:cxn modelId="{2D5CF3BC-E600-4632-8CCC-EFEDD9F4489B}" type="presOf" srcId="{3527C0C3-1727-4877-92E1-269D9506FDBA}" destId="{CFF90ADB-3260-40DE-BC0D-941DA5AB5BBE}" srcOrd="1" destOrd="0" presId="urn:microsoft.com/office/officeart/2005/8/layout/orgChart1"/>
    <dgm:cxn modelId="{2A5D5003-9793-4688-8533-74C8CD974EAF}" srcId="{CCCEBC92-6B10-4CED-9736-9F5D7B31A340}" destId="{F747D21D-3E89-40ED-9905-436EEBA4FF02}" srcOrd="1" destOrd="0" parTransId="{41E9FD98-6A5D-45FD-A598-5F484169A273}" sibTransId="{62DAE2DE-3B43-4784-9C0C-A0F28595E5C3}"/>
    <dgm:cxn modelId="{CEE7196F-DCB6-4332-A150-B860CFEDE10A}" type="presOf" srcId="{600BE7BE-433F-4083-9E12-9F720D312717}" destId="{8B8B038F-675C-45F3-AFB9-BAD288ACABD5}" srcOrd="0" destOrd="0" presId="urn:microsoft.com/office/officeart/2005/8/layout/orgChart1"/>
    <dgm:cxn modelId="{245C5AA6-5274-4EAD-8A5B-AD39FACFF362}" type="presOf" srcId="{4021D9B5-FA8D-4ED3-8E53-BB4D710B8311}" destId="{7D0112EC-5CB7-4A7B-8DBE-6528661CB40A}" srcOrd="0" destOrd="0" presId="urn:microsoft.com/office/officeart/2005/8/layout/orgChart1"/>
    <dgm:cxn modelId="{39EA0FB4-070F-48EF-A39F-BFB89E66DF76}" type="presOf" srcId="{470694A6-BF79-4A56-888A-D8DFAB6ED736}" destId="{06F6BBC4-1087-4AEF-B23C-996B4FA56069}" srcOrd="1" destOrd="0" presId="urn:microsoft.com/office/officeart/2005/8/layout/orgChart1"/>
    <dgm:cxn modelId="{55ADC781-BBD6-48C9-B8CD-6909637634B9}" type="presOf" srcId="{A8581A17-7EE2-472D-ACFC-71398985F795}" destId="{31C406F9-FAD5-4C34-B088-D848B76AD332}" srcOrd="0" destOrd="0" presId="urn:microsoft.com/office/officeart/2005/8/layout/orgChart1"/>
    <dgm:cxn modelId="{CE66C2B9-7CD0-4017-9B14-A60FD4B635E7}" type="presOf" srcId="{BF259CE3-6941-408D-87E7-78F4D66A856B}" destId="{81B51C4A-7AE6-45DA-8E65-113C94E05651}" srcOrd="1" destOrd="0" presId="urn:microsoft.com/office/officeart/2005/8/layout/orgChart1"/>
    <dgm:cxn modelId="{4AB25317-D4C8-4099-91BE-4C90431CB947}" type="presOf" srcId="{CEF34BF9-F30A-4138-A615-4375800ED320}" destId="{ABC10BBA-6EE0-4094-B1A8-A373A7770A2C}" srcOrd="0" destOrd="0" presId="urn:microsoft.com/office/officeart/2005/8/layout/orgChart1"/>
    <dgm:cxn modelId="{885B96B4-997A-4B19-BA7D-C09700B59423}" type="presOf" srcId="{36C0EEEA-326B-4A9E-8862-50DE28E35879}" destId="{3D28DD69-F8E3-4E9C-93B2-256313D42FFE}" srcOrd="0" destOrd="0" presId="urn:microsoft.com/office/officeart/2005/8/layout/orgChart1"/>
    <dgm:cxn modelId="{738E0C50-D4D3-4B5E-99C4-BB7C3EB11167}" type="presOf" srcId="{1A751770-9562-4B1B-9B27-DF6D1894FC48}" destId="{0EA6C0D8-B3A8-41E2-88D1-9C0EEF9835D5}" srcOrd="1" destOrd="0" presId="urn:microsoft.com/office/officeart/2005/8/layout/orgChart1"/>
    <dgm:cxn modelId="{DE8BEEF7-8D11-4388-8D84-03A2963931EE}" type="presOf" srcId="{420576DF-CE92-46FD-A90E-2563FABAA11C}" destId="{793F22C8-853A-4DA7-88BD-497D7CFE0CEA}" srcOrd="1" destOrd="0" presId="urn:microsoft.com/office/officeart/2005/8/layout/orgChart1"/>
    <dgm:cxn modelId="{56AF3436-132C-4EBD-A78D-5EFBDFE11E8A}" srcId="{E883311A-58F1-43C0-BDF1-E905B14923D2}" destId="{EC9C8504-0E3F-4B20-BC18-3CFA5365716C}" srcOrd="7" destOrd="0" parTransId="{D9346E01-3975-4CD4-BC3C-B2E92864AF3F}" sibTransId="{34832685-2827-4598-BEE4-340095A06817}"/>
    <dgm:cxn modelId="{13789607-A904-40AD-A75E-2809626B5BFA}" type="presOf" srcId="{AC13CD99-7BBB-43CB-BCF4-ABAB3EA7CBDD}" destId="{B7368A7B-BCA3-4E8E-B043-FC2F37C859F1}" srcOrd="1" destOrd="0" presId="urn:microsoft.com/office/officeart/2005/8/layout/orgChart1"/>
    <dgm:cxn modelId="{4158D5B0-1F93-4D36-919B-4B4EAC2AA305}" srcId="{54CC455A-CD4A-4349-95F8-02650D357E8D}" destId="{32CFE678-BE5F-43B5-9009-F499067AB237}" srcOrd="0" destOrd="0" parTransId="{44E5886B-7784-4A4D-BC7C-14062AB7B94C}" sibTransId="{2866C8D4-235E-4F28-A8D5-04A3DE8E485E}"/>
    <dgm:cxn modelId="{05A6D5ED-FE10-4358-B528-6C868F4D444A}" srcId="{609C6040-D873-43D0-B8BA-EFF6D1934E09}" destId="{CCCEBC92-6B10-4CED-9736-9F5D7B31A340}" srcOrd="1" destOrd="0" parTransId="{4EC5D627-D879-438C-AA4B-57DFC9756C7B}" sibTransId="{DA0720E1-97FC-400F-A585-9B1AD566AB9F}"/>
    <dgm:cxn modelId="{E426BCB4-1A25-452F-A1EE-5641D14FB60D}" type="presOf" srcId="{637F1051-3303-4721-91C5-5E0839D1BCA8}" destId="{8884BCC6-A89A-42D4-867F-834C653C37C2}" srcOrd="0" destOrd="0" presId="urn:microsoft.com/office/officeart/2005/8/layout/orgChart1"/>
    <dgm:cxn modelId="{A10A49A8-16E5-4D1B-8233-178F5AD3E7B8}" type="presOf" srcId="{93BE8312-60FF-4A18-9EA6-AD54CFE90231}" destId="{6CC55C5E-030A-46DE-86B2-3E2DB7BB9AA8}" srcOrd="0" destOrd="0" presId="urn:microsoft.com/office/officeart/2005/8/layout/orgChart1"/>
    <dgm:cxn modelId="{03CCFD2F-D89D-4886-83A2-F1B70C2F4654}" srcId="{4021D9B5-FA8D-4ED3-8E53-BB4D710B8311}" destId="{420576DF-CE92-46FD-A90E-2563FABAA11C}" srcOrd="2" destOrd="0" parTransId="{66BEFFB4-38B4-415F-ADA4-06B62B3399D9}" sibTransId="{F422C88C-863E-4494-AA41-5F4815B10AF7}"/>
    <dgm:cxn modelId="{2B9A4617-6F5B-4096-8A9B-4158C77E836D}" type="presOf" srcId="{853E637C-1194-4BAD-A6A1-3690D1B97DE2}" destId="{DCCB622E-01B7-4B46-8D7E-4E95296C5561}" srcOrd="0" destOrd="0" presId="urn:microsoft.com/office/officeart/2005/8/layout/orgChart1"/>
    <dgm:cxn modelId="{78756F7B-4CDE-4AAA-9A29-FDB3BBF4B385}" type="presOf" srcId="{8EA18A94-76CC-47E5-AEA5-653BBD44ED55}" destId="{367C0550-BB2A-4960-A1C7-C73AD3A03A30}" srcOrd="0" destOrd="0" presId="urn:microsoft.com/office/officeart/2005/8/layout/orgChart1"/>
    <dgm:cxn modelId="{17F979ED-DD8F-4DB5-909D-0638131A617E}" type="presOf" srcId="{561CEB80-AED2-42CF-A923-53106865C9C8}" destId="{19EF9F38-F7BE-4F67-A557-E3897A491C21}" srcOrd="0" destOrd="0" presId="urn:microsoft.com/office/officeart/2005/8/layout/orgChart1"/>
    <dgm:cxn modelId="{78660ECE-D693-47EC-8119-07B3BAE352E3}" type="presOf" srcId="{697C9D58-D68D-4C33-9F13-6015B00EEF9A}" destId="{B29B0F8E-A6F1-4600-80DE-BD71C7E9D30D}" srcOrd="1" destOrd="0" presId="urn:microsoft.com/office/officeart/2005/8/layout/orgChart1"/>
    <dgm:cxn modelId="{21009EDA-AA0E-40C1-B275-18792E6639DD}" type="presOf" srcId="{903B1069-A69A-4F1A-8163-B90D170730A4}" destId="{737CC1A9-9175-45EF-A3AC-63F8539A1763}" srcOrd="0" destOrd="0" presId="urn:microsoft.com/office/officeart/2005/8/layout/orgChart1"/>
    <dgm:cxn modelId="{D17F1F9C-BA46-44ED-80B4-AE5A349F0DEF}" type="presOf" srcId="{609C6040-D873-43D0-B8BA-EFF6D1934E09}" destId="{35E88083-CC5F-4586-8BC7-78DAB5D70CEF}" srcOrd="0" destOrd="0" presId="urn:microsoft.com/office/officeart/2005/8/layout/orgChart1"/>
    <dgm:cxn modelId="{BA8CAEB2-077D-42BF-9DB8-793C4CF46855}" type="presOf" srcId="{4E72ACA5-18AA-4764-B7FA-41E766E34B23}" destId="{438B9E4C-890B-49C2-83F5-67454D83AD0F}" srcOrd="1" destOrd="0" presId="urn:microsoft.com/office/officeart/2005/8/layout/orgChart1"/>
    <dgm:cxn modelId="{924661D2-4D75-4194-B978-C4CDB0EFDBA2}" type="presOf" srcId="{CD29FA23-2829-455D-9E82-3FBA303FE57C}" destId="{BC17FB98-DAA0-421E-8CA8-AD5B975866DE}" srcOrd="0" destOrd="0" presId="urn:microsoft.com/office/officeart/2005/8/layout/orgChart1"/>
    <dgm:cxn modelId="{5D5B4AD0-5B13-4F30-87BA-0C603ACFCC0A}" srcId="{E883311A-58F1-43C0-BDF1-E905B14923D2}" destId="{E653F506-E5FC-4360-BBFE-696A4FC7CFFC}" srcOrd="4" destOrd="0" parTransId="{996AE2C3-6531-4C8C-85DA-E37EB0AE6AE7}" sibTransId="{CEAA0B1D-580C-4BD0-A0AF-266CA3118420}"/>
    <dgm:cxn modelId="{D3172333-4884-4ED8-8AB3-7726641908C3}" type="presOf" srcId="{285498ED-C03F-4316-9879-9D648B6382C9}" destId="{FBE740FC-DBBE-4DEC-BE7C-4169B660AE7C}" srcOrd="0" destOrd="0" presId="urn:microsoft.com/office/officeart/2005/8/layout/orgChart1"/>
    <dgm:cxn modelId="{A1DFE588-8E7E-48A1-B89D-D9C996B8AF53}" type="presOf" srcId="{B107D9BC-9C76-4760-A670-AD8307DB4A8B}" destId="{7306B4C5-C388-414A-980A-71CF78381FE9}" srcOrd="0" destOrd="0" presId="urn:microsoft.com/office/officeart/2005/8/layout/orgChart1"/>
    <dgm:cxn modelId="{25D52DC0-419A-4B2D-8E34-07ADC5754CA6}" type="presOf" srcId="{1F3C928A-6392-4E9B-AFEF-420C0B9E33FE}" destId="{1C4543F1-D402-4EEE-8CCE-C57FD06C5B36}" srcOrd="1" destOrd="0" presId="urn:microsoft.com/office/officeart/2005/8/layout/orgChart1"/>
    <dgm:cxn modelId="{F796B67F-2F34-449A-BB4C-B2BDABC32985}" type="presOf" srcId="{0EDEAA2A-B0B2-4E07-A2C0-0B4D53BDC496}" destId="{CFB59F79-8585-4D89-9BBE-BD3D6FBD420B}" srcOrd="0" destOrd="0" presId="urn:microsoft.com/office/officeart/2005/8/layout/orgChart1"/>
    <dgm:cxn modelId="{C708D812-8B01-43B4-89EE-E05B1DB5121A}" type="presOf" srcId="{2AC9FCB1-0014-43B8-B0F3-608FD547881B}" destId="{B1B5FDDC-3AEB-45F4-9326-D73E740BDBE3}" srcOrd="0" destOrd="0" presId="urn:microsoft.com/office/officeart/2005/8/layout/orgChart1"/>
    <dgm:cxn modelId="{99592F66-87AA-48D4-A278-763DE0501901}" type="presOf" srcId="{7CDD67F5-73F4-4524-9B19-66F2F798F9B3}" destId="{3B10E03D-A83B-4487-82C6-5A6BDC00F688}" srcOrd="0" destOrd="0" presId="urn:microsoft.com/office/officeart/2005/8/layout/orgChart1"/>
    <dgm:cxn modelId="{6311AE08-253F-4952-A885-2BD9E71AAD7F}" type="presOf" srcId="{5DED8A2E-D04A-489D-9AAD-FEC76A9D4778}" destId="{317FD01D-3C0C-4D0E-9930-131D6CFAEC76}" srcOrd="0" destOrd="0" presId="urn:microsoft.com/office/officeart/2005/8/layout/orgChart1"/>
    <dgm:cxn modelId="{4694A70E-3335-4442-8D95-A696ED859938}" type="presOf" srcId="{C558FDEB-193B-421E-81D3-EE6F32969F7E}" destId="{370C695A-599E-40C0-8A42-33A5D2972CDA}" srcOrd="0" destOrd="0" presId="urn:microsoft.com/office/officeart/2005/8/layout/orgChart1"/>
    <dgm:cxn modelId="{A49B0F6B-D541-4ADC-B1B4-C53C69FF7C77}" type="presOf" srcId="{D1F13672-FC22-44CC-B962-0EECE9438117}" destId="{0F2A3B2A-CB58-44C1-AA4D-965AA4E5F801}" srcOrd="0" destOrd="0" presId="urn:microsoft.com/office/officeart/2005/8/layout/orgChart1"/>
    <dgm:cxn modelId="{15DC5DF0-D243-438A-8B45-A2AD482A7917}" srcId="{CCCEBC92-6B10-4CED-9736-9F5D7B31A340}" destId="{BC0F4616-A76F-4CE0-AA05-914486AC797B}" srcOrd="5" destOrd="0" parTransId="{CEF34BF9-F30A-4138-A615-4375800ED320}" sibTransId="{DE98A915-7AC6-47F6-87FD-BA77AB48EBD6}"/>
    <dgm:cxn modelId="{D6CF0BA3-4E91-489C-8042-6057AB82C4E7}" type="presOf" srcId="{F747D21D-3E89-40ED-9905-436EEBA4FF02}" destId="{262CB4B6-BD84-4056-B54A-18F7BF330FBB}" srcOrd="0" destOrd="0" presId="urn:microsoft.com/office/officeart/2005/8/layout/orgChart1"/>
    <dgm:cxn modelId="{190FA0D9-80AB-40F1-9D47-62F1BD62E099}" type="presOf" srcId="{E653F506-E5FC-4360-BBFE-696A4FC7CFFC}" destId="{82407424-A6CF-4252-9BE4-E5984E5115A4}" srcOrd="1" destOrd="0" presId="urn:microsoft.com/office/officeart/2005/8/layout/orgChart1"/>
    <dgm:cxn modelId="{78AF86D5-467C-41BA-B97F-8C7670714D13}" type="presOf" srcId="{A997670A-5350-409D-8533-3CA5F38EC263}" destId="{B3F4F474-C0EE-4C60-BA05-BD4FBF9BEDC9}" srcOrd="0" destOrd="0" presId="urn:microsoft.com/office/officeart/2005/8/layout/orgChart1"/>
    <dgm:cxn modelId="{C545D2B7-DC9A-4A0D-BC89-ED66299CC06B}" type="presOf" srcId="{06B86893-C170-4D83-8279-EAA21D0E124E}" destId="{62E94D45-A38C-4510-8F77-2C7CABD6FD05}" srcOrd="0" destOrd="0" presId="urn:microsoft.com/office/officeart/2005/8/layout/orgChart1"/>
    <dgm:cxn modelId="{7402D219-2CB6-42C0-B95E-C9C1BE3CB5AE}" type="presOf" srcId="{C634C660-3F08-4737-983E-BC4E46730E60}" destId="{21AE4516-4E77-43A4-B98C-338861F8E3B6}" srcOrd="1" destOrd="0" presId="urn:microsoft.com/office/officeart/2005/8/layout/orgChart1"/>
    <dgm:cxn modelId="{AA572367-D265-49A7-929E-D6211F4889F5}" srcId="{54CC455A-CD4A-4349-95F8-02650D357E8D}" destId="{CF42453B-5DB4-4105-AF1E-3E374F3C19B2}" srcOrd="1" destOrd="0" parTransId="{C664C9FB-4132-4E40-A457-D0B5372423DE}" sibTransId="{2077B1B3-F0E2-4152-A8A6-A76B243B8F3D}"/>
    <dgm:cxn modelId="{FC771689-9611-45F6-83AC-0B523E202FB9}" type="presOf" srcId="{4E72ACA5-18AA-4764-B7FA-41E766E34B23}" destId="{DC58BA5D-C875-4AF3-BB12-3874258E408D}" srcOrd="0" destOrd="0" presId="urn:microsoft.com/office/officeart/2005/8/layout/orgChart1"/>
    <dgm:cxn modelId="{FE34DE95-784E-48DF-8F91-36433A02BAB0}" srcId="{77D444E7-07C1-4D5D-B9FF-896775508B7C}" destId="{AA216E2F-9D77-432F-B0CB-5DDD80822F47}" srcOrd="1" destOrd="0" parTransId="{2AC9FCB1-0014-43B8-B0F3-608FD547881B}" sibTransId="{41B63C07-9C3C-4E71-AB47-DAD377C273A9}"/>
    <dgm:cxn modelId="{7EE0246D-FF61-4BCC-B54E-FA28640BB0E5}" srcId="{088C8172-BF48-47A3-92C9-BAA3B5B80DC0}" destId="{12EA064A-8CC3-4619-9FD5-0082419B6074}" srcOrd="3" destOrd="0" parTransId="{36C0EEEA-326B-4A9E-8862-50DE28E35879}" sibTransId="{AC2E5193-1FA5-423C-A6F7-04066A6BD505}"/>
    <dgm:cxn modelId="{405DE566-F982-4743-AB1F-C4877DF921E6}" srcId="{99994473-2E43-49F1-82D3-29CD46A6613A}" destId="{088C8172-BF48-47A3-92C9-BAA3B5B80DC0}" srcOrd="4" destOrd="0" parTransId="{FA6ED975-55E0-4A0B-B457-29D9BFB2DA34}" sibTransId="{168F96D0-3703-4A2C-BDBD-C46F0539D5CA}"/>
    <dgm:cxn modelId="{0AB20C7E-DA97-4178-976E-4158D57485EB}" type="presOf" srcId="{B25E239B-EBCF-48F4-9AEC-9D950501DA62}" destId="{18D08343-52D9-4D8C-B94A-6CEBFD6BA8D7}" srcOrd="0" destOrd="0" presId="urn:microsoft.com/office/officeart/2005/8/layout/orgChart1"/>
    <dgm:cxn modelId="{E45447FC-5E56-4A89-98E9-812E34396E70}" type="presOf" srcId="{4021D9B5-FA8D-4ED3-8E53-BB4D710B8311}" destId="{9B965487-2EB1-41C0-8128-C1A61C530623}" srcOrd="1" destOrd="0" presId="urn:microsoft.com/office/officeart/2005/8/layout/orgChart1"/>
    <dgm:cxn modelId="{FA0D0EEB-02D3-4295-838D-BC8C40CD3FDB}" type="presOf" srcId="{6D0759E6-9956-4AA9-8BB5-D985789D4D12}" destId="{659DE5AB-DD12-4D2F-AA58-D9C8BD446B9A}" srcOrd="1" destOrd="0" presId="urn:microsoft.com/office/officeart/2005/8/layout/orgChart1"/>
    <dgm:cxn modelId="{63371F2F-E723-4424-9F42-98E50588B4E7}" type="presOf" srcId="{1C24A6BF-B111-4254-97C3-0F2E9D8101A0}" destId="{87069C5E-B98D-4179-AC1F-97973048C960}" srcOrd="0" destOrd="0" presId="urn:microsoft.com/office/officeart/2005/8/layout/orgChart1"/>
    <dgm:cxn modelId="{2E7A69E3-6D34-4132-9880-B1D3825669BC}" type="presOf" srcId="{919F2E1D-894E-4E9A-BA20-E45B5A341F6F}" destId="{58C37BC5-424C-4580-A0A4-5304C242EBC7}" srcOrd="0" destOrd="0" presId="urn:microsoft.com/office/officeart/2005/8/layout/orgChart1"/>
    <dgm:cxn modelId="{504FE5E9-6028-4AC6-9EE6-657FA167ECF3}" type="presOf" srcId="{B839EB4A-CA43-4A89-A1E1-FD91031A0E3D}" destId="{16EDBB62-EDB7-4028-A3A2-883034DA095E}" srcOrd="0" destOrd="0" presId="urn:microsoft.com/office/officeart/2005/8/layout/orgChart1"/>
    <dgm:cxn modelId="{340130C0-51D0-4D0E-A816-A1D5EF0820C1}" type="presOf" srcId="{E194F0CB-8638-4594-B4DA-BD3C1390D70E}" destId="{39776CE1-75D1-46BB-BFB4-5A93DCB0783D}" srcOrd="0" destOrd="0" presId="urn:microsoft.com/office/officeart/2005/8/layout/orgChart1"/>
    <dgm:cxn modelId="{0A345279-82E0-456B-8FDD-3A3C1A3472E9}" type="presOf" srcId="{7AC4D0D6-AB30-4A16-B624-3CE5481BEFC0}" destId="{F063701D-2E70-41B5-B838-4F9A4C758828}" srcOrd="0" destOrd="0" presId="urn:microsoft.com/office/officeart/2005/8/layout/orgChart1"/>
    <dgm:cxn modelId="{F1C57577-56A7-48EE-88D3-86825F52EBF2}" type="presOf" srcId="{57A5474C-395F-4ED0-A994-7397954D1DF4}" destId="{BEA97DD3-F44B-4E78-8AC2-C1C70282207E}" srcOrd="0" destOrd="0" presId="urn:microsoft.com/office/officeart/2005/8/layout/orgChart1"/>
    <dgm:cxn modelId="{AC0FB222-6438-49A0-A499-75D40596179F}" srcId="{99994473-2E43-49F1-82D3-29CD46A6613A}" destId="{77D444E7-07C1-4D5D-B9FF-896775508B7C}" srcOrd="1" destOrd="0" parTransId="{B50221CD-2E8A-4911-84E8-1E92B4A3F565}" sibTransId="{BA7F4A90-153B-4996-A5D9-801991235E3B}"/>
    <dgm:cxn modelId="{B220FEFC-A601-4BF7-88F9-A5425983B41C}" srcId="{77D444E7-07C1-4D5D-B9FF-896775508B7C}" destId="{1F3C928A-6392-4E9B-AFEF-420C0B9E33FE}" srcOrd="0" destOrd="0" parTransId="{903B1069-A69A-4F1A-8163-B90D170730A4}" sibTransId="{1020D214-1CAA-421D-8A37-49DEECFA5FE4}"/>
    <dgm:cxn modelId="{51D36B2B-812D-4B4E-BB6E-0E089E31FC49}" type="presOf" srcId="{195A8A2D-F461-489A-BDAB-2B7FFD4BFB6C}" destId="{767354A1-8AC6-4295-BB58-8EB17E2DF900}" srcOrd="0" destOrd="0" presId="urn:microsoft.com/office/officeart/2005/8/layout/orgChart1"/>
    <dgm:cxn modelId="{D67524C3-C476-487D-B14A-F3A6C9E3627A}" type="presOf" srcId="{5354D1BC-871D-46CE-9E55-61B32086E443}" destId="{DF6FB5F2-3803-43D9-99A9-6E812902D34E}" srcOrd="0" destOrd="0" presId="urn:microsoft.com/office/officeart/2005/8/layout/orgChart1"/>
    <dgm:cxn modelId="{E339A322-F9D6-474D-96FC-30F9DD89A796}" type="presOf" srcId="{B107D9BC-9C76-4760-A670-AD8307DB4A8B}" destId="{C1666E0C-CF18-4FE9-B622-CA605CFC0499}" srcOrd="1" destOrd="0" presId="urn:microsoft.com/office/officeart/2005/8/layout/orgChart1"/>
    <dgm:cxn modelId="{5F0B3CB2-C72F-423D-8024-821D5841875B}" type="presOf" srcId="{088C8172-BF48-47A3-92C9-BAA3B5B80DC0}" destId="{6B54BAFD-7F37-4819-8801-40DA7CB96D5A}" srcOrd="0" destOrd="0" presId="urn:microsoft.com/office/officeart/2005/8/layout/orgChart1"/>
    <dgm:cxn modelId="{F3295E7A-A7DC-4544-A980-A67D575E8447}" type="presOf" srcId="{24C6315B-E5F4-4752-8027-35AE4FE423EA}" destId="{0347B611-2A2C-47B2-AB22-BF77195FC1CE}" srcOrd="0" destOrd="0" presId="urn:microsoft.com/office/officeart/2005/8/layout/orgChart1"/>
    <dgm:cxn modelId="{BD5106E8-F285-48AC-9BD1-E82C0B62964E}" type="presParOf" srcId="{B5E76273-5770-45CA-8169-8CDDCB05C222}" destId="{962D660D-D381-49DC-8379-3CD40D6A2CC9}" srcOrd="0" destOrd="0" presId="urn:microsoft.com/office/officeart/2005/8/layout/orgChart1"/>
    <dgm:cxn modelId="{1D36276E-90BC-4CA4-B461-6CB20637F8B4}" type="presParOf" srcId="{962D660D-D381-49DC-8379-3CD40D6A2CC9}" destId="{109E6C33-CB93-4E1B-8E99-B383C7E351B1}" srcOrd="0" destOrd="0" presId="urn:microsoft.com/office/officeart/2005/8/layout/orgChart1"/>
    <dgm:cxn modelId="{AA1A4C44-A030-455B-84E6-B9E0469AC023}" type="presParOf" srcId="{109E6C33-CB93-4E1B-8E99-B383C7E351B1}" destId="{542196DF-03CB-4E02-93DC-9F79A3BA2708}" srcOrd="0" destOrd="0" presId="urn:microsoft.com/office/officeart/2005/8/layout/orgChart1"/>
    <dgm:cxn modelId="{AC472A74-EBFA-418B-BDD8-206108C32BB7}" type="presParOf" srcId="{109E6C33-CB93-4E1B-8E99-B383C7E351B1}" destId="{53CDB580-C8CC-4882-B176-A4E35EB81F16}" srcOrd="1" destOrd="0" presId="urn:microsoft.com/office/officeart/2005/8/layout/orgChart1"/>
    <dgm:cxn modelId="{84DC58EB-19A7-4D98-AF3C-2D3BD1F2A26E}" type="presParOf" srcId="{962D660D-D381-49DC-8379-3CD40D6A2CC9}" destId="{FE8C6CF0-BDA9-428A-A613-CEE5BC518FB1}" srcOrd="1" destOrd="0" presId="urn:microsoft.com/office/officeart/2005/8/layout/orgChart1"/>
    <dgm:cxn modelId="{F1B84691-4B87-4308-80E5-DCB7417963AD}" type="presParOf" srcId="{FE8C6CF0-BDA9-428A-A613-CEE5BC518FB1}" destId="{85900511-924E-40DB-B0C0-0616F90A164B}" srcOrd="0" destOrd="0" presId="urn:microsoft.com/office/officeart/2005/8/layout/orgChart1"/>
    <dgm:cxn modelId="{1EE5DE18-89FA-4301-8792-AF1F93EEEB95}" type="presParOf" srcId="{FE8C6CF0-BDA9-428A-A613-CEE5BC518FB1}" destId="{5BBBE78A-8070-4D2A-8E5E-1DB5A78016C0}" srcOrd="1" destOrd="0" presId="urn:microsoft.com/office/officeart/2005/8/layout/orgChart1"/>
    <dgm:cxn modelId="{4B5C11C4-4218-498D-879A-2C686C269DEE}" type="presParOf" srcId="{5BBBE78A-8070-4D2A-8E5E-1DB5A78016C0}" destId="{ED0B5395-2B84-4C90-B6E5-4B28AD97916F}" srcOrd="0" destOrd="0" presId="urn:microsoft.com/office/officeart/2005/8/layout/orgChart1"/>
    <dgm:cxn modelId="{0D18824E-8617-4866-9A01-6A3EA475DCEA}" type="presParOf" srcId="{ED0B5395-2B84-4C90-B6E5-4B28AD97916F}" destId="{66FB4634-2010-48B1-8044-06A89C92E9B5}" srcOrd="0" destOrd="0" presId="urn:microsoft.com/office/officeart/2005/8/layout/orgChart1"/>
    <dgm:cxn modelId="{3D183554-1255-42DA-9389-16AF48AE80BC}" type="presParOf" srcId="{ED0B5395-2B84-4C90-B6E5-4B28AD97916F}" destId="{E933F100-10A7-476D-AD16-D3B10E59D873}" srcOrd="1" destOrd="0" presId="urn:microsoft.com/office/officeart/2005/8/layout/orgChart1"/>
    <dgm:cxn modelId="{3FB783D6-0634-49C3-98FA-017A12E88B5F}" type="presParOf" srcId="{5BBBE78A-8070-4D2A-8E5E-1DB5A78016C0}" destId="{7B8CE450-27F6-4FD2-B0E6-0EEBEB904928}" srcOrd="1" destOrd="0" presId="urn:microsoft.com/office/officeart/2005/8/layout/orgChart1"/>
    <dgm:cxn modelId="{3A5E8AE9-4B26-49D5-9F9F-817E5446B070}" type="presParOf" srcId="{7B8CE450-27F6-4FD2-B0E6-0EEBEB904928}" destId="{90B4D687-72B2-4C0A-B548-A7E6A0F84389}" srcOrd="0" destOrd="0" presId="urn:microsoft.com/office/officeart/2005/8/layout/orgChart1"/>
    <dgm:cxn modelId="{8BFC02ED-E9CB-45DC-828C-3B7ABE7A8547}" type="presParOf" srcId="{7B8CE450-27F6-4FD2-B0E6-0EEBEB904928}" destId="{1BBABA54-D3B2-4F20-80D2-69D7D5B8FC6B}" srcOrd="1" destOrd="0" presId="urn:microsoft.com/office/officeart/2005/8/layout/orgChart1"/>
    <dgm:cxn modelId="{CC3A9A7D-465B-45DB-92B1-CB246D2034C1}" type="presParOf" srcId="{1BBABA54-D3B2-4F20-80D2-69D7D5B8FC6B}" destId="{9D98DF86-50E1-41F7-B0D3-AA113B3E01F9}" srcOrd="0" destOrd="0" presId="urn:microsoft.com/office/officeart/2005/8/layout/orgChart1"/>
    <dgm:cxn modelId="{F8E888B2-0553-43CF-A8FE-20DF3D9DE322}" type="presParOf" srcId="{9D98DF86-50E1-41F7-B0D3-AA113B3E01F9}" destId="{D14AEFF4-B081-4238-9582-6374609AA8E8}" srcOrd="0" destOrd="0" presId="urn:microsoft.com/office/officeart/2005/8/layout/orgChart1"/>
    <dgm:cxn modelId="{6EEF37CC-16BA-4A26-AD03-E0BB21247572}" type="presParOf" srcId="{9D98DF86-50E1-41F7-B0D3-AA113B3E01F9}" destId="{06F6BBC4-1087-4AEF-B23C-996B4FA56069}" srcOrd="1" destOrd="0" presId="urn:microsoft.com/office/officeart/2005/8/layout/orgChart1"/>
    <dgm:cxn modelId="{76B0BC92-9AF5-4D9C-944F-1D1CDB917353}" type="presParOf" srcId="{1BBABA54-D3B2-4F20-80D2-69D7D5B8FC6B}" destId="{1C4DD6E5-4D8E-45D6-9952-151857D4A268}" srcOrd="1" destOrd="0" presId="urn:microsoft.com/office/officeart/2005/8/layout/orgChart1"/>
    <dgm:cxn modelId="{7D81BF88-EBD2-43F3-BC20-F1B50AF8ED44}" type="presParOf" srcId="{1C4DD6E5-4D8E-45D6-9952-151857D4A268}" destId="{D5A30A55-0924-49C1-977D-33103C630CD6}" srcOrd="0" destOrd="0" presId="urn:microsoft.com/office/officeart/2005/8/layout/orgChart1"/>
    <dgm:cxn modelId="{50693C65-E600-494B-B31C-51F9DD17BDCE}" type="presParOf" srcId="{1C4DD6E5-4D8E-45D6-9952-151857D4A268}" destId="{2D09347F-4A30-4676-BF9B-7CE0C007CD8C}" srcOrd="1" destOrd="0" presId="urn:microsoft.com/office/officeart/2005/8/layout/orgChart1"/>
    <dgm:cxn modelId="{A5A3572D-5995-4B48-B40F-BCE477BFCB59}" type="presParOf" srcId="{2D09347F-4A30-4676-BF9B-7CE0C007CD8C}" destId="{A7CB438B-55E0-44C9-8FC5-653757A58CAD}" srcOrd="0" destOrd="0" presId="urn:microsoft.com/office/officeart/2005/8/layout/orgChart1"/>
    <dgm:cxn modelId="{8527C453-7600-433E-A094-65D12869F998}" type="presParOf" srcId="{A7CB438B-55E0-44C9-8FC5-653757A58CAD}" destId="{27E36F6E-E10D-42D9-B66D-BC6DA1644262}" srcOrd="0" destOrd="0" presId="urn:microsoft.com/office/officeart/2005/8/layout/orgChart1"/>
    <dgm:cxn modelId="{06DD1F90-E07F-40E8-9386-E316E4ABB0BD}" type="presParOf" srcId="{A7CB438B-55E0-44C9-8FC5-653757A58CAD}" destId="{7892E3CB-6E13-4368-B71B-6E8D7443DC88}" srcOrd="1" destOrd="0" presId="urn:microsoft.com/office/officeart/2005/8/layout/orgChart1"/>
    <dgm:cxn modelId="{96ABE813-2457-45BC-B6DB-984436E8A36D}" type="presParOf" srcId="{2D09347F-4A30-4676-BF9B-7CE0C007CD8C}" destId="{C786051D-0E32-4929-AB1E-B33C625CC1DA}" srcOrd="1" destOrd="0" presId="urn:microsoft.com/office/officeart/2005/8/layout/orgChart1"/>
    <dgm:cxn modelId="{187049DF-2932-4B6D-8F44-47D9A04AB15D}" type="presParOf" srcId="{2D09347F-4A30-4676-BF9B-7CE0C007CD8C}" destId="{65B9E692-6D13-48BC-A063-0BAE4C7C4C63}" srcOrd="2" destOrd="0" presId="urn:microsoft.com/office/officeart/2005/8/layout/orgChart1"/>
    <dgm:cxn modelId="{306A7084-8CD6-4448-AF75-35003ACA58A9}" type="presParOf" srcId="{1C4DD6E5-4D8E-45D6-9952-151857D4A268}" destId="{DF6FB5F2-3803-43D9-99A9-6E812902D34E}" srcOrd="2" destOrd="0" presId="urn:microsoft.com/office/officeart/2005/8/layout/orgChart1"/>
    <dgm:cxn modelId="{D8E3DFBC-F522-44B4-BEB5-1173EDD57B59}" type="presParOf" srcId="{1C4DD6E5-4D8E-45D6-9952-151857D4A268}" destId="{FFB79ED2-4570-4128-B43F-DC08F0B189A8}" srcOrd="3" destOrd="0" presId="urn:microsoft.com/office/officeart/2005/8/layout/orgChart1"/>
    <dgm:cxn modelId="{D7DE08C7-4BC5-43EB-8137-4A0CB9EA73A6}" type="presParOf" srcId="{FFB79ED2-4570-4128-B43F-DC08F0B189A8}" destId="{53E81093-9E7A-47CB-BFF3-2631013AA6CD}" srcOrd="0" destOrd="0" presId="urn:microsoft.com/office/officeart/2005/8/layout/orgChart1"/>
    <dgm:cxn modelId="{EC0A8879-F181-4C9E-B1F8-60414230D12E}" type="presParOf" srcId="{53E81093-9E7A-47CB-BFF3-2631013AA6CD}" destId="{58C37BC5-424C-4580-A0A4-5304C242EBC7}" srcOrd="0" destOrd="0" presId="urn:microsoft.com/office/officeart/2005/8/layout/orgChart1"/>
    <dgm:cxn modelId="{E97521B2-222B-4C4E-842F-577C51C8EA4E}" type="presParOf" srcId="{53E81093-9E7A-47CB-BFF3-2631013AA6CD}" destId="{8235DF2D-6122-409A-AF9C-E57C7594B745}" srcOrd="1" destOrd="0" presId="urn:microsoft.com/office/officeart/2005/8/layout/orgChart1"/>
    <dgm:cxn modelId="{B55D40D0-1331-4075-B1A0-772391C3C7B0}" type="presParOf" srcId="{FFB79ED2-4570-4128-B43F-DC08F0B189A8}" destId="{4DB0A125-4B1F-4FAD-9A7A-2FAC72A7236C}" srcOrd="1" destOrd="0" presId="urn:microsoft.com/office/officeart/2005/8/layout/orgChart1"/>
    <dgm:cxn modelId="{F24C3BAF-C01C-4ADE-8E14-4223AD48D58E}" type="presParOf" srcId="{FFB79ED2-4570-4128-B43F-DC08F0B189A8}" destId="{8FE79D64-4A3D-49A9-B7C5-E5333FFE8A2C}" srcOrd="2" destOrd="0" presId="urn:microsoft.com/office/officeart/2005/8/layout/orgChart1"/>
    <dgm:cxn modelId="{A6F40995-2782-4A33-A7A7-4DD6E0955980}" type="presParOf" srcId="{1C4DD6E5-4D8E-45D6-9952-151857D4A268}" destId="{3B10E03D-A83B-4487-82C6-5A6BDC00F688}" srcOrd="4" destOrd="0" presId="urn:microsoft.com/office/officeart/2005/8/layout/orgChart1"/>
    <dgm:cxn modelId="{5EAD7EA2-C161-481E-BF6B-61167BED3C57}" type="presParOf" srcId="{1C4DD6E5-4D8E-45D6-9952-151857D4A268}" destId="{603A7B62-E6B7-4A3E-B107-C7AD57677B99}" srcOrd="5" destOrd="0" presId="urn:microsoft.com/office/officeart/2005/8/layout/orgChart1"/>
    <dgm:cxn modelId="{0996F845-F3F2-4E1F-A76E-283B9D681E0B}" type="presParOf" srcId="{603A7B62-E6B7-4A3E-B107-C7AD57677B99}" destId="{F0B76246-ED5A-40F5-8D45-1F3731125D23}" srcOrd="0" destOrd="0" presId="urn:microsoft.com/office/officeart/2005/8/layout/orgChart1"/>
    <dgm:cxn modelId="{90C53B65-EB45-4BC1-A32A-DA8AB7881C0E}" type="presParOf" srcId="{F0B76246-ED5A-40F5-8D45-1F3731125D23}" destId="{53ED98AA-A6D5-43BD-A692-BECBD0142472}" srcOrd="0" destOrd="0" presId="urn:microsoft.com/office/officeart/2005/8/layout/orgChart1"/>
    <dgm:cxn modelId="{A41C614F-CA33-4E68-8B69-36C272869547}" type="presParOf" srcId="{F0B76246-ED5A-40F5-8D45-1F3731125D23}" destId="{1AEE2796-BB2E-4F7C-95C2-36A57CDE3334}" srcOrd="1" destOrd="0" presId="urn:microsoft.com/office/officeart/2005/8/layout/orgChart1"/>
    <dgm:cxn modelId="{DBE7B1BA-AF46-407E-AB12-003ED1860DAB}" type="presParOf" srcId="{603A7B62-E6B7-4A3E-B107-C7AD57677B99}" destId="{4D7A06A5-00AC-4CD4-8FC7-F31DB1B5568D}" srcOrd="1" destOrd="0" presId="urn:microsoft.com/office/officeart/2005/8/layout/orgChart1"/>
    <dgm:cxn modelId="{3E769241-7150-4682-A41D-62ADCAA8B93A}" type="presParOf" srcId="{603A7B62-E6B7-4A3E-B107-C7AD57677B99}" destId="{334FB65D-C788-488D-90D4-DE1F5068315A}" srcOrd="2" destOrd="0" presId="urn:microsoft.com/office/officeart/2005/8/layout/orgChart1"/>
    <dgm:cxn modelId="{077D0F84-9676-40BA-80D0-1D74AC7B4BE3}" type="presParOf" srcId="{1BBABA54-D3B2-4F20-80D2-69D7D5B8FC6B}" destId="{D1CA7680-7E76-438D-B037-7EDDEA6C515F}" srcOrd="2" destOrd="0" presId="urn:microsoft.com/office/officeart/2005/8/layout/orgChart1"/>
    <dgm:cxn modelId="{34A14BA9-88C4-4F56-B16C-7765801B314A}" type="presParOf" srcId="{7B8CE450-27F6-4FD2-B0E6-0EEBEB904928}" destId="{224FAC78-CC9C-4DED-B4F2-B5423FF8E371}" srcOrd="2" destOrd="0" presId="urn:microsoft.com/office/officeart/2005/8/layout/orgChart1"/>
    <dgm:cxn modelId="{59A67737-C355-40B3-91CD-905886BDD113}" type="presParOf" srcId="{7B8CE450-27F6-4FD2-B0E6-0EEBEB904928}" destId="{062BD102-555A-42A0-B770-28714C3007B2}" srcOrd="3" destOrd="0" presId="urn:microsoft.com/office/officeart/2005/8/layout/orgChart1"/>
    <dgm:cxn modelId="{A59F0352-7463-4DD6-9858-DDB53BB8D6A4}" type="presParOf" srcId="{062BD102-555A-42A0-B770-28714C3007B2}" destId="{FA788D35-75B9-4598-B8FC-FC985C926B65}" srcOrd="0" destOrd="0" presId="urn:microsoft.com/office/officeart/2005/8/layout/orgChart1"/>
    <dgm:cxn modelId="{F8DEFFB4-2BB7-443F-96FF-C27FF0373A1E}" type="presParOf" srcId="{FA788D35-75B9-4598-B8FC-FC985C926B65}" destId="{2734AE6D-7E4C-462B-AA55-5E06A8BAC55B}" srcOrd="0" destOrd="0" presId="urn:microsoft.com/office/officeart/2005/8/layout/orgChart1"/>
    <dgm:cxn modelId="{6ED9A781-794E-4FEA-99FB-2A50E716A702}" type="presParOf" srcId="{FA788D35-75B9-4598-B8FC-FC985C926B65}" destId="{9CC384ED-497B-4FE2-AAE5-9466B74B1BDE}" srcOrd="1" destOrd="0" presId="urn:microsoft.com/office/officeart/2005/8/layout/orgChart1"/>
    <dgm:cxn modelId="{945A3946-B6AD-4E5B-BF62-D7464F027AE8}" type="presParOf" srcId="{062BD102-555A-42A0-B770-28714C3007B2}" destId="{C8290E53-3A68-479A-9102-911FBB53E73E}" srcOrd="1" destOrd="0" presId="urn:microsoft.com/office/officeart/2005/8/layout/orgChart1"/>
    <dgm:cxn modelId="{3D2113CC-5AC8-4BED-8FA0-09A1575AEBCD}" type="presParOf" srcId="{C8290E53-3A68-479A-9102-911FBB53E73E}" destId="{737CC1A9-9175-45EF-A3AC-63F8539A1763}" srcOrd="0" destOrd="0" presId="urn:microsoft.com/office/officeart/2005/8/layout/orgChart1"/>
    <dgm:cxn modelId="{53FF26AF-B317-403B-B14D-3D6E0A08D0A2}" type="presParOf" srcId="{C8290E53-3A68-479A-9102-911FBB53E73E}" destId="{659ED803-07A3-43D5-A90D-AD25DFA455F2}" srcOrd="1" destOrd="0" presId="urn:microsoft.com/office/officeart/2005/8/layout/orgChart1"/>
    <dgm:cxn modelId="{64C021B7-83E4-4A52-A699-713F265619CE}" type="presParOf" srcId="{659ED803-07A3-43D5-A90D-AD25DFA455F2}" destId="{3163A498-8A79-46FE-9D48-5289828CE294}" srcOrd="0" destOrd="0" presId="urn:microsoft.com/office/officeart/2005/8/layout/orgChart1"/>
    <dgm:cxn modelId="{9C3336B4-6BFE-420A-8652-50D962A84877}" type="presParOf" srcId="{3163A498-8A79-46FE-9D48-5289828CE294}" destId="{C96D2213-AA47-432E-9577-0757E0EBCA63}" srcOrd="0" destOrd="0" presId="urn:microsoft.com/office/officeart/2005/8/layout/orgChart1"/>
    <dgm:cxn modelId="{806B8AA0-A3C7-4697-920F-C218DB0B2164}" type="presParOf" srcId="{3163A498-8A79-46FE-9D48-5289828CE294}" destId="{1C4543F1-D402-4EEE-8CCE-C57FD06C5B36}" srcOrd="1" destOrd="0" presId="urn:microsoft.com/office/officeart/2005/8/layout/orgChart1"/>
    <dgm:cxn modelId="{77D6D5B7-C782-425C-822C-6732780F5496}" type="presParOf" srcId="{659ED803-07A3-43D5-A90D-AD25DFA455F2}" destId="{C3859594-26EB-4CF1-A9E3-454CEFCFA850}" srcOrd="1" destOrd="0" presId="urn:microsoft.com/office/officeart/2005/8/layout/orgChart1"/>
    <dgm:cxn modelId="{0DB61301-278A-42B2-91DB-2FA956A2F13E}" type="presParOf" srcId="{659ED803-07A3-43D5-A90D-AD25DFA455F2}" destId="{A9708543-3D5E-4F65-9247-D22FA0EE617A}" srcOrd="2" destOrd="0" presId="urn:microsoft.com/office/officeart/2005/8/layout/orgChart1"/>
    <dgm:cxn modelId="{14FB2979-B974-4EDD-A95C-C38C9A0296C1}" type="presParOf" srcId="{C8290E53-3A68-479A-9102-911FBB53E73E}" destId="{B1B5FDDC-3AEB-45F4-9326-D73E740BDBE3}" srcOrd="2" destOrd="0" presId="urn:microsoft.com/office/officeart/2005/8/layout/orgChart1"/>
    <dgm:cxn modelId="{7BD6770A-4062-4909-9CE7-AE7DF5C73D66}" type="presParOf" srcId="{C8290E53-3A68-479A-9102-911FBB53E73E}" destId="{84E69943-68EC-4211-9CBB-61C087ADFEE1}" srcOrd="3" destOrd="0" presId="urn:microsoft.com/office/officeart/2005/8/layout/orgChart1"/>
    <dgm:cxn modelId="{62ACCD77-A162-40A9-87A0-84E98E982F6D}" type="presParOf" srcId="{84E69943-68EC-4211-9CBB-61C087ADFEE1}" destId="{6239DB34-502A-4A6D-A89A-757245C4D043}" srcOrd="0" destOrd="0" presId="urn:microsoft.com/office/officeart/2005/8/layout/orgChart1"/>
    <dgm:cxn modelId="{3546FA79-1F09-4DAB-A76B-4877C6878762}" type="presParOf" srcId="{6239DB34-502A-4A6D-A89A-757245C4D043}" destId="{70FFCA45-3772-4F53-803F-719E4E2B36F8}" srcOrd="0" destOrd="0" presId="urn:microsoft.com/office/officeart/2005/8/layout/orgChart1"/>
    <dgm:cxn modelId="{547B6138-FEA4-4516-8D67-D8D3C08DC229}" type="presParOf" srcId="{6239DB34-502A-4A6D-A89A-757245C4D043}" destId="{4A97DBB0-14E9-450B-BAE5-23F8448B5DA5}" srcOrd="1" destOrd="0" presId="urn:microsoft.com/office/officeart/2005/8/layout/orgChart1"/>
    <dgm:cxn modelId="{6A6F259C-D5F0-4858-B677-496348ECF887}" type="presParOf" srcId="{84E69943-68EC-4211-9CBB-61C087ADFEE1}" destId="{8DFD1B2B-72C7-4BE9-8035-ADC3C1285170}" srcOrd="1" destOrd="0" presId="urn:microsoft.com/office/officeart/2005/8/layout/orgChart1"/>
    <dgm:cxn modelId="{1E1F3982-8C3A-46BA-BFD0-3B6385A69DA5}" type="presParOf" srcId="{84E69943-68EC-4211-9CBB-61C087ADFEE1}" destId="{7267E050-8AD4-4E52-BE5A-6F74BB28D1E9}" srcOrd="2" destOrd="0" presId="urn:microsoft.com/office/officeart/2005/8/layout/orgChart1"/>
    <dgm:cxn modelId="{FA906D05-0A44-4910-AB2D-C467AFEB6016}" type="presParOf" srcId="{C8290E53-3A68-479A-9102-911FBB53E73E}" destId="{51C9EFC8-C1B8-4126-AB80-A8CB6629DAB5}" srcOrd="4" destOrd="0" presId="urn:microsoft.com/office/officeart/2005/8/layout/orgChart1"/>
    <dgm:cxn modelId="{71EE6621-09D9-44F2-9B9D-B63DF05709A7}" type="presParOf" srcId="{C8290E53-3A68-479A-9102-911FBB53E73E}" destId="{AEC9CD6B-2ED4-4DE4-9083-20EAE9F3B4C7}" srcOrd="5" destOrd="0" presId="urn:microsoft.com/office/officeart/2005/8/layout/orgChart1"/>
    <dgm:cxn modelId="{6D72D7E8-58CB-4E47-9368-AD423D2E615C}" type="presParOf" srcId="{AEC9CD6B-2ED4-4DE4-9083-20EAE9F3B4C7}" destId="{CE09CA5F-63C7-4758-95A4-7957D25B559D}" srcOrd="0" destOrd="0" presId="urn:microsoft.com/office/officeart/2005/8/layout/orgChart1"/>
    <dgm:cxn modelId="{6033C732-942D-4F46-BF96-A00623E4A895}" type="presParOf" srcId="{CE09CA5F-63C7-4758-95A4-7957D25B559D}" destId="{402182B7-D784-4AFB-932C-74A1E928ED56}" srcOrd="0" destOrd="0" presId="urn:microsoft.com/office/officeart/2005/8/layout/orgChart1"/>
    <dgm:cxn modelId="{768827A8-0D5A-4FC3-81FF-3DC94E0D7A0D}" type="presParOf" srcId="{CE09CA5F-63C7-4758-95A4-7957D25B559D}" destId="{33E22096-663F-48D0-9E74-F1A0F31D0997}" srcOrd="1" destOrd="0" presId="urn:microsoft.com/office/officeart/2005/8/layout/orgChart1"/>
    <dgm:cxn modelId="{869E9660-FCC2-4B87-BC84-74C71CC318EE}" type="presParOf" srcId="{AEC9CD6B-2ED4-4DE4-9083-20EAE9F3B4C7}" destId="{9DD947E0-5A6D-4D48-A167-9D082B1C1730}" srcOrd="1" destOrd="0" presId="urn:microsoft.com/office/officeart/2005/8/layout/orgChart1"/>
    <dgm:cxn modelId="{F7C4C83F-121D-4358-9FEA-1173B431ABAD}" type="presParOf" srcId="{AEC9CD6B-2ED4-4DE4-9083-20EAE9F3B4C7}" destId="{D1861D4C-5876-4EB8-B48D-490BE49AFCC1}" srcOrd="2" destOrd="0" presId="urn:microsoft.com/office/officeart/2005/8/layout/orgChart1"/>
    <dgm:cxn modelId="{7E245EC6-5B04-4314-97BD-45C9013D533F}" type="presParOf" srcId="{C8290E53-3A68-479A-9102-911FBB53E73E}" destId="{367C0550-BB2A-4960-A1C7-C73AD3A03A30}" srcOrd="6" destOrd="0" presId="urn:microsoft.com/office/officeart/2005/8/layout/orgChart1"/>
    <dgm:cxn modelId="{6F6EF1D8-BA18-42FD-B7DC-BD9DEBB7037C}" type="presParOf" srcId="{C8290E53-3A68-479A-9102-911FBB53E73E}" destId="{848F36A4-275D-40CC-9FE3-A3AD23C069D8}" srcOrd="7" destOrd="0" presId="urn:microsoft.com/office/officeart/2005/8/layout/orgChart1"/>
    <dgm:cxn modelId="{46290B1A-7CEB-47C3-83EE-4DE65EE87A9C}" type="presParOf" srcId="{848F36A4-275D-40CC-9FE3-A3AD23C069D8}" destId="{2746ACFB-5161-434E-9FF8-487879CBC49B}" srcOrd="0" destOrd="0" presId="urn:microsoft.com/office/officeart/2005/8/layout/orgChart1"/>
    <dgm:cxn modelId="{91D6FD09-15BC-4366-A6C2-365ED97354D4}" type="presParOf" srcId="{2746ACFB-5161-434E-9FF8-487879CBC49B}" destId="{1B71C4E1-1DC7-4FA4-B6A4-4A74DAF9A03A}" srcOrd="0" destOrd="0" presId="urn:microsoft.com/office/officeart/2005/8/layout/orgChart1"/>
    <dgm:cxn modelId="{10DFD9B7-D5E7-490C-B91C-CC976910BB76}" type="presParOf" srcId="{2746ACFB-5161-434E-9FF8-487879CBC49B}" destId="{78F34446-D293-42D8-8F0B-23A38EF37ACA}" srcOrd="1" destOrd="0" presId="urn:microsoft.com/office/officeart/2005/8/layout/orgChart1"/>
    <dgm:cxn modelId="{DEF6C5E2-DE7F-45F8-906B-CCB36FF5EB30}" type="presParOf" srcId="{848F36A4-275D-40CC-9FE3-A3AD23C069D8}" destId="{3B4444D5-EFDD-483C-9E44-FD6108EBE0D6}" srcOrd="1" destOrd="0" presId="urn:microsoft.com/office/officeart/2005/8/layout/orgChart1"/>
    <dgm:cxn modelId="{3D2B374B-EECD-4FC2-A744-4122DB699FF6}" type="presParOf" srcId="{848F36A4-275D-40CC-9FE3-A3AD23C069D8}" destId="{C5A02EB5-16E1-42CB-BAE2-A9E7C0B85FBA}" srcOrd="2" destOrd="0" presId="urn:microsoft.com/office/officeart/2005/8/layout/orgChart1"/>
    <dgm:cxn modelId="{65136B47-F879-469E-9A8D-66C6A747617F}" type="presParOf" srcId="{C8290E53-3A68-479A-9102-911FBB53E73E}" destId="{F1A49E13-D1CB-4211-B42F-1E39AC062B3D}" srcOrd="8" destOrd="0" presId="urn:microsoft.com/office/officeart/2005/8/layout/orgChart1"/>
    <dgm:cxn modelId="{D13E948F-EC6A-44B4-BA14-336652D2D61A}" type="presParOf" srcId="{C8290E53-3A68-479A-9102-911FBB53E73E}" destId="{FD94C5F6-AF67-4BDF-842E-1DFFEB5DDC14}" srcOrd="9" destOrd="0" presId="urn:microsoft.com/office/officeart/2005/8/layout/orgChart1"/>
    <dgm:cxn modelId="{624ADD3D-4BF0-427B-9499-896575B7BD73}" type="presParOf" srcId="{FD94C5F6-AF67-4BDF-842E-1DFFEB5DDC14}" destId="{9E51E6CF-6EBC-4D0B-B721-AEAB3D9FF402}" srcOrd="0" destOrd="0" presId="urn:microsoft.com/office/officeart/2005/8/layout/orgChart1"/>
    <dgm:cxn modelId="{9790F02D-C168-4A0C-9AA3-D0011C8B9B24}" type="presParOf" srcId="{9E51E6CF-6EBC-4D0B-B721-AEAB3D9FF402}" destId="{B768F0DD-78D5-4988-9AAB-0E7591093BCC}" srcOrd="0" destOrd="0" presId="urn:microsoft.com/office/officeart/2005/8/layout/orgChart1"/>
    <dgm:cxn modelId="{DAB4B350-61E5-405A-A18C-B666A8D16DFE}" type="presParOf" srcId="{9E51E6CF-6EBC-4D0B-B721-AEAB3D9FF402}" destId="{B83922DA-7C5C-4E9A-97BC-9E7B589DC0DD}" srcOrd="1" destOrd="0" presId="urn:microsoft.com/office/officeart/2005/8/layout/orgChart1"/>
    <dgm:cxn modelId="{7041B26A-A3BE-4550-A570-C1E925EA645A}" type="presParOf" srcId="{FD94C5F6-AF67-4BDF-842E-1DFFEB5DDC14}" destId="{8224A10A-E95F-4913-A354-1B3ACC2B48E6}" srcOrd="1" destOrd="0" presId="urn:microsoft.com/office/officeart/2005/8/layout/orgChart1"/>
    <dgm:cxn modelId="{A23BAD48-C7E2-4503-B76E-37B848BEA73E}" type="presParOf" srcId="{FD94C5F6-AF67-4BDF-842E-1DFFEB5DDC14}" destId="{900AD26C-3D2E-436B-A4E4-BCA84FA224EB}" srcOrd="2" destOrd="0" presId="urn:microsoft.com/office/officeart/2005/8/layout/orgChart1"/>
    <dgm:cxn modelId="{60C2438A-7AA8-42C1-957C-72263D89C50E}" type="presParOf" srcId="{062BD102-555A-42A0-B770-28714C3007B2}" destId="{030F16FC-4826-4C8B-993A-D24ED0B224C0}" srcOrd="2" destOrd="0" presId="urn:microsoft.com/office/officeart/2005/8/layout/orgChart1"/>
    <dgm:cxn modelId="{3B5D81A5-CFB7-4A9C-8556-DFB5CB9C74F6}" type="presParOf" srcId="{7B8CE450-27F6-4FD2-B0E6-0EEBEB904928}" destId="{09407B79-0EFD-4C34-B5BF-45C9FA19ECC4}" srcOrd="4" destOrd="0" presId="urn:microsoft.com/office/officeart/2005/8/layout/orgChart1"/>
    <dgm:cxn modelId="{7A5FA7C6-A08E-4979-9604-77B2C4EC945A}" type="presParOf" srcId="{7B8CE450-27F6-4FD2-B0E6-0EEBEB904928}" destId="{C325B83E-B47E-4C12-BBD5-3B911821D6A4}" srcOrd="5" destOrd="0" presId="urn:microsoft.com/office/officeart/2005/8/layout/orgChart1"/>
    <dgm:cxn modelId="{EF8041EC-AFA9-4A52-AAA2-5AB5D4F82599}" type="presParOf" srcId="{C325B83E-B47E-4C12-BBD5-3B911821D6A4}" destId="{B46536DB-89C8-4B3B-B01E-1FD9F2A7E29E}" srcOrd="0" destOrd="0" presId="urn:microsoft.com/office/officeart/2005/8/layout/orgChart1"/>
    <dgm:cxn modelId="{8431C9A5-A1E7-4214-BCF2-27D092AC8CD2}" type="presParOf" srcId="{B46536DB-89C8-4B3B-B01E-1FD9F2A7E29E}" destId="{7D0112EC-5CB7-4A7B-8DBE-6528661CB40A}" srcOrd="0" destOrd="0" presId="urn:microsoft.com/office/officeart/2005/8/layout/orgChart1"/>
    <dgm:cxn modelId="{ED8E55C8-63A4-4EDF-B55E-E4DA24BABAFE}" type="presParOf" srcId="{B46536DB-89C8-4B3B-B01E-1FD9F2A7E29E}" destId="{9B965487-2EB1-41C0-8128-C1A61C530623}" srcOrd="1" destOrd="0" presId="urn:microsoft.com/office/officeart/2005/8/layout/orgChart1"/>
    <dgm:cxn modelId="{834AE027-5320-46F3-AF9F-895C94A07F9C}" type="presParOf" srcId="{C325B83E-B47E-4C12-BBD5-3B911821D6A4}" destId="{1C83CC69-4810-4BE4-935B-454CA7D9D9CD}" srcOrd="1" destOrd="0" presId="urn:microsoft.com/office/officeart/2005/8/layout/orgChart1"/>
    <dgm:cxn modelId="{E73E7D04-67AF-49F4-84A3-2A1F10997D52}" type="presParOf" srcId="{1C83CC69-4810-4BE4-935B-454CA7D9D9CD}" destId="{767354A1-8AC6-4295-BB58-8EB17E2DF900}" srcOrd="0" destOrd="0" presId="urn:microsoft.com/office/officeart/2005/8/layout/orgChart1"/>
    <dgm:cxn modelId="{E96A87E9-6F0A-48B2-B57F-ABF83BFD6A54}" type="presParOf" srcId="{1C83CC69-4810-4BE4-935B-454CA7D9D9CD}" destId="{F6100383-B730-4A7D-A59F-7FE011EED501}" srcOrd="1" destOrd="0" presId="urn:microsoft.com/office/officeart/2005/8/layout/orgChart1"/>
    <dgm:cxn modelId="{FE17E530-CA48-4741-B8B2-B9EA9E00987F}" type="presParOf" srcId="{F6100383-B730-4A7D-A59F-7FE011EED501}" destId="{3E8EF991-C9AB-43E5-8B0E-A563795E9AA7}" srcOrd="0" destOrd="0" presId="urn:microsoft.com/office/officeart/2005/8/layout/orgChart1"/>
    <dgm:cxn modelId="{5A360C5E-7408-4FBD-96B1-837FB665B56D}" type="presParOf" srcId="{3E8EF991-C9AB-43E5-8B0E-A563795E9AA7}" destId="{65FE2CD7-55E7-432A-8B8C-129D0326310B}" srcOrd="0" destOrd="0" presId="urn:microsoft.com/office/officeart/2005/8/layout/orgChart1"/>
    <dgm:cxn modelId="{CBE7F32F-5F2C-4F73-85A9-12419999D2D6}" type="presParOf" srcId="{3E8EF991-C9AB-43E5-8B0E-A563795E9AA7}" destId="{2C183231-D0AC-47D9-BB65-800101CFB006}" srcOrd="1" destOrd="0" presId="urn:microsoft.com/office/officeart/2005/8/layout/orgChart1"/>
    <dgm:cxn modelId="{527D63BD-515E-4143-96F0-C42CC353E4D6}" type="presParOf" srcId="{F6100383-B730-4A7D-A59F-7FE011EED501}" destId="{63E6CDFC-E632-4103-BC17-0348027FFD7B}" srcOrd="1" destOrd="0" presId="urn:microsoft.com/office/officeart/2005/8/layout/orgChart1"/>
    <dgm:cxn modelId="{E04FBBAC-5703-4EC3-B125-592A03D76952}" type="presParOf" srcId="{F6100383-B730-4A7D-A59F-7FE011EED501}" destId="{45F34B53-BD73-4E8A-89AD-9D6BDAA4843C}" srcOrd="2" destOrd="0" presId="urn:microsoft.com/office/officeart/2005/8/layout/orgChart1"/>
    <dgm:cxn modelId="{BFB66CB1-39A4-485B-A0E0-E26C656290F7}" type="presParOf" srcId="{1C83CC69-4810-4BE4-935B-454CA7D9D9CD}" destId="{2828A5AF-0B53-4C45-804E-1B332AC8AF37}" srcOrd="2" destOrd="0" presId="urn:microsoft.com/office/officeart/2005/8/layout/orgChart1"/>
    <dgm:cxn modelId="{05E9FCE7-CE86-4E12-98D9-6317659749C3}" type="presParOf" srcId="{1C83CC69-4810-4BE4-935B-454CA7D9D9CD}" destId="{DFE4AFA8-CD6A-46FE-B444-A0010191E19B}" srcOrd="3" destOrd="0" presId="urn:microsoft.com/office/officeart/2005/8/layout/orgChart1"/>
    <dgm:cxn modelId="{53484B6A-8EFD-4D7E-982A-A63828434F68}" type="presParOf" srcId="{DFE4AFA8-CD6A-46FE-B444-A0010191E19B}" destId="{2A10C3D0-8B1A-4826-A41C-075D0C689F4F}" srcOrd="0" destOrd="0" presId="urn:microsoft.com/office/officeart/2005/8/layout/orgChart1"/>
    <dgm:cxn modelId="{2F54FCF0-2BEE-40C3-9056-899970661340}" type="presParOf" srcId="{2A10C3D0-8B1A-4826-A41C-075D0C689F4F}" destId="{FE3E2183-A55E-4434-9D41-9BB6CF0F9736}" srcOrd="0" destOrd="0" presId="urn:microsoft.com/office/officeart/2005/8/layout/orgChart1"/>
    <dgm:cxn modelId="{F4BB6B0A-84EC-45E4-8A4C-7CF80778FB79}" type="presParOf" srcId="{2A10C3D0-8B1A-4826-A41C-075D0C689F4F}" destId="{9CF420A1-4B8E-424B-8131-FFC90F888DB0}" srcOrd="1" destOrd="0" presId="urn:microsoft.com/office/officeart/2005/8/layout/orgChart1"/>
    <dgm:cxn modelId="{FC44BD12-C7C1-4A92-BBD8-447EBCA1BAC9}" type="presParOf" srcId="{DFE4AFA8-CD6A-46FE-B444-A0010191E19B}" destId="{31BCBD76-1DE6-4169-B20A-AA3F3D7FADC1}" srcOrd="1" destOrd="0" presId="urn:microsoft.com/office/officeart/2005/8/layout/orgChart1"/>
    <dgm:cxn modelId="{BFF7BCB4-24CA-4B88-A5EC-75D4513520AA}" type="presParOf" srcId="{DFE4AFA8-CD6A-46FE-B444-A0010191E19B}" destId="{E69E719E-3389-4C18-9BBD-F779EA22063B}" srcOrd="2" destOrd="0" presId="urn:microsoft.com/office/officeart/2005/8/layout/orgChart1"/>
    <dgm:cxn modelId="{6290E4AB-F9D2-4A7A-A10E-8ECE30588686}" type="presParOf" srcId="{1C83CC69-4810-4BE4-935B-454CA7D9D9CD}" destId="{0E9275D1-BE8A-4EF2-B888-3882E047FB3C}" srcOrd="4" destOrd="0" presId="urn:microsoft.com/office/officeart/2005/8/layout/orgChart1"/>
    <dgm:cxn modelId="{39F150A6-A0A1-493C-856C-5AF8CFC0010A}" type="presParOf" srcId="{1C83CC69-4810-4BE4-935B-454CA7D9D9CD}" destId="{4C124644-29F9-4AAC-B532-40B5A7B7349A}" srcOrd="5" destOrd="0" presId="urn:microsoft.com/office/officeart/2005/8/layout/orgChart1"/>
    <dgm:cxn modelId="{31DF174E-3F47-409F-990D-91FA3D292A2F}" type="presParOf" srcId="{4C124644-29F9-4AAC-B532-40B5A7B7349A}" destId="{08179FB3-7968-4270-8A3F-3CD2A8E9F9FD}" srcOrd="0" destOrd="0" presId="urn:microsoft.com/office/officeart/2005/8/layout/orgChart1"/>
    <dgm:cxn modelId="{E7F5159B-B15F-40C6-8B4C-776887D97D72}" type="presParOf" srcId="{08179FB3-7968-4270-8A3F-3CD2A8E9F9FD}" destId="{7F0306AC-675C-4FF6-A0CD-8838AE68C7FC}" srcOrd="0" destOrd="0" presId="urn:microsoft.com/office/officeart/2005/8/layout/orgChart1"/>
    <dgm:cxn modelId="{3891095B-9B3A-4194-A784-7E5F8FEEF73A}" type="presParOf" srcId="{08179FB3-7968-4270-8A3F-3CD2A8E9F9FD}" destId="{793F22C8-853A-4DA7-88BD-497D7CFE0CEA}" srcOrd="1" destOrd="0" presId="urn:microsoft.com/office/officeart/2005/8/layout/orgChart1"/>
    <dgm:cxn modelId="{6E109791-5C9A-4607-9BA3-8F314447131A}" type="presParOf" srcId="{4C124644-29F9-4AAC-B532-40B5A7B7349A}" destId="{D2FF02C4-B3F7-4C92-B4C5-7ED2DFF4452B}" srcOrd="1" destOrd="0" presId="urn:microsoft.com/office/officeart/2005/8/layout/orgChart1"/>
    <dgm:cxn modelId="{9FAE8307-AEC7-47A5-B131-A8B621AC6076}" type="presParOf" srcId="{4C124644-29F9-4AAC-B532-40B5A7B7349A}" destId="{9613F1A2-E67B-42DA-AB52-2EF762238DC3}" srcOrd="2" destOrd="0" presId="urn:microsoft.com/office/officeart/2005/8/layout/orgChart1"/>
    <dgm:cxn modelId="{357CD636-CB1B-4BC3-B1B5-0F2F0ADA2628}" type="presParOf" srcId="{1C83CC69-4810-4BE4-935B-454CA7D9D9CD}" destId="{317FD01D-3C0C-4D0E-9930-131D6CFAEC76}" srcOrd="6" destOrd="0" presId="urn:microsoft.com/office/officeart/2005/8/layout/orgChart1"/>
    <dgm:cxn modelId="{53ED852D-E790-440F-8A04-9E0A1B8FAD88}" type="presParOf" srcId="{1C83CC69-4810-4BE4-935B-454CA7D9D9CD}" destId="{3DE59D06-EEC8-4D61-8198-DA5325AA0E7B}" srcOrd="7" destOrd="0" presId="urn:microsoft.com/office/officeart/2005/8/layout/orgChart1"/>
    <dgm:cxn modelId="{3A807897-B24F-4F5B-9A3E-B92BC33F4084}" type="presParOf" srcId="{3DE59D06-EEC8-4D61-8198-DA5325AA0E7B}" destId="{17DEA262-31BB-4E97-B8CC-4825646C1AB8}" srcOrd="0" destOrd="0" presId="urn:microsoft.com/office/officeart/2005/8/layout/orgChart1"/>
    <dgm:cxn modelId="{D9FE81E2-079E-425B-8A13-7735061A0A05}" type="presParOf" srcId="{17DEA262-31BB-4E97-B8CC-4825646C1AB8}" destId="{4AEA1E02-DF48-4061-B133-64E5BA3DF2AE}" srcOrd="0" destOrd="0" presId="urn:microsoft.com/office/officeart/2005/8/layout/orgChart1"/>
    <dgm:cxn modelId="{196CDE92-2EEA-4061-A729-099F52F3E942}" type="presParOf" srcId="{17DEA262-31BB-4E97-B8CC-4825646C1AB8}" destId="{94FD4504-677C-446E-B38F-065541BD9124}" srcOrd="1" destOrd="0" presId="urn:microsoft.com/office/officeart/2005/8/layout/orgChart1"/>
    <dgm:cxn modelId="{05C360A3-8ED1-4A99-A1C1-F3CADF1EF455}" type="presParOf" srcId="{3DE59D06-EEC8-4D61-8198-DA5325AA0E7B}" destId="{B914C9DF-CDBE-4C8F-92FB-5675BF2C639A}" srcOrd="1" destOrd="0" presId="urn:microsoft.com/office/officeart/2005/8/layout/orgChart1"/>
    <dgm:cxn modelId="{185F9750-E8B9-4956-A116-60BDB4B9E3AF}" type="presParOf" srcId="{3DE59D06-EEC8-4D61-8198-DA5325AA0E7B}" destId="{E2B6F761-5449-460F-8E00-6E68AB19F309}" srcOrd="2" destOrd="0" presId="urn:microsoft.com/office/officeart/2005/8/layout/orgChart1"/>
    <dgm:cxn modelId="{86E045BB-3696-436A-8AEC-0F1D548B618D}" type="presParOf" srcId="{1C83CC69-4810-4BE4-935B-454CA7D9D9CD}" destId="{D8125864-2D90-443F-B234-843E82736838}" srcOrd="8" destOrd="0" presId="urn:microsoft.com/office/officeart/2005/8/layout/orgChart1"/>
    <dgm:cxn modelId="{8C553FBD-F13C-4E58-A823-BCCE0EE434A2}" type="presParOf" srcId="{1C83CC69-4810-4BE4-935B-454CA7D9D9CD}" destId="{42C49C98-6FDB-4CE1-8A51-3056FE959A2D}" srcOrd="9" destOrd="0" presId="urn:microsoft.com/office/officeart/2005/8/layout/orgChart1"/>
    <dgm:cxn modelId="{9CD6AE33-9F6E-47FC-BD13-AD6B14C17B18}" type="presParOf" srcId="{42C49C98-6FDB-4CE1-8A51-3056FE959A2D}" destId="{84A840F1-C054-4742-AA46-E24BE1AF5D14}" srcOrd="0" destOrd="0" presId="urn:microsoft.com/office/officeart/2005/8/layout/orgChart1"/>
    <dgm:cxn modelId="{D8935AAB-040D-4CAC-A0AA-2CAF8A51D3E1}" type="presParOf" srcId="{84A840F1-C054-4742-AA46-E24BE1AF5D14}" destId="{0AEB890C-2876-41D0-B9BC-F63E242705E1}" srcOrd="0" destOrd="0" presId="urn:microsoft.com/office/officeart/2005/8/layout/orgChart1"/>
    <dgm:cxn modelId="{11E0FC2C-8931-4E32-B00B-007AB4AC6AED}" type="presParOf" srcId="{84A840F1-C054-4742-AA46-E24BE1AF5D14}" destId="{B7368A7B-BCA3-4E8E-B043-FC2F37C859F1}" srcOrd="1" destOrd="0" presId="urn:microsoft.com/office/officeart/2005/8/layout/orgChart1"/>
    <dgm:cxn modelId="{3C73CBB9-D48E-4235-A75F-28CFD9DEE358}" type="presParOf" srcId="{42C49C98-6FDB-4CE1-8A51-3056FE959A2D}" destId="{D82F816F-8FF2-455B-A216-3BEBEEE2FBFC}" srcOrd="1" destOrd="0" presId="urn:microsoft.com/office/officeart/2005/8/layout/orgChart1"/>
    <dgm:cxn modelId="{E041BEC7-F9F1-4A30-8DF8-C82EF9F1C9DA}" type="presParOf" srcId="{42C49C98-6FDB-4CE1-8A51-3056FE959A2D}" destId="{E9830C66-0FEF-48B4-B042-C4AAB27825CD}" srcOrd="2" destOrd="0" presId="urn:microsoft.com/office/officeart/2005/8/layout/orgChart1"/>
    <dgm:cxn modelId="{4AEE62F7-0FAB-4EC9-ADAB-E5C892264458}" type="presParOf" srcId="{C325B83E-B47E-4C12-BBD5-3B911821D6A4}" destId="{8E903856-05D0-4A41-9164-7F2BABB7A75E}" srcOrd="2" destOrd="0" presId="urn:microsoft.com/office/officeart/2005/8/layout/orgChart1"/>
    <dgm:cxn modelId="{7B0E4F9B-3414-4C3F-8F4D-E0DFA1C62113}" type="presParOf" srcId="{7B8CE450-27F6-4FD2-B0E6-0EEBEB904928}" destId="{BC17FB98-DAA0-421E-8CA8-AD5B975866DE}" srcOrd="6" destOrd="0" presId="urn:microsoft.com/office/officeart/2005/8/layout/orgChart1"/>
    <dgm:cxn modelId="{46BD7F5D-440A-43EE-A520-90CA868A1746}" type="presParOf" srcId="{7B8CE450-27F6-4FD2-B0E6-0EEBEB904928}" destId="{0EB683BE-E162-45DD-A144-0CB9F3D0EE28}" srcOrd="7" destOrd="0" presId="urn:microsoft.com/office/officeart/2005/8/layout/orgChart1"/>
    <dgm:cxn modelId="{C9919213-C153-4DA6-812A-B58CD5C1995E}" type="presParOf" srcId="{0EB683BE-E162-45DD-A144-0CB9F3D0EE28}" destId="{B3BD05BB-E294-491F-83B0-B4F5B96518F3}" srcOrd="0" destOrd="0" presId="urn:microsoft.com/office/officeart/2005/8/layout/orgChart1"/>
    <dgm:cxn modelId="{4618F243-7288-4698-9AA6-4E14D223FD0E}" type="presParOf" srcId="{B3BD05BB-E294-491F-83B0-B4F5B96518F3}" destId="{1CFB3BEA-9AA9-4D4D-AFD5-4EB26671C546}" srcOrd="0" destOrd="0" presId="urn:microsoft.com/office/officeart/2005/8/layout/orgChart1"/>
    <dgm:cxn modelId="{FBCBD912-5407-47A9-98E9-B3B120166EA8}" type="presParOf" srcId="{B3BD05BB-E294-491F-83B0-B4F5B96518F3}" destId="{7ACB4BC9-164C-4EDE-9A73-0D860925E7B5}" srcOrd="1" destOrd="0" presId="urn:microsoft.com/office/officeart/2005/8/layout/orgChart1"/>
    <dgm:cxn modelId="{78E1609F-ADE9-45AE-A08A-61A5DBC25206}" type="presParOf" srcId="{0EB683BE-E162-45DD-A144-0CB9F3D0EE28}" destId="{1AE3887E-DF26-4F11-A343-009537C94722}" srcOrd="1" destOrd="0" presId="urn:microsoft.com/office/officeart/2005/8/layout/orgChart1"/>
    <dgm:cxn modelId="{05A42CA5-0ACA-43C4-8E66-3DB38863CA69}" type="presParOf" srcId="{1AE3887E-DF26-4F11-A343-009537C94722}" destId="{1CB52C30-6081-4109-9A47-5570134E2F77}" srcOrd="0" destOrd="0" presId="urn:microsoft.com/office/officeart/2005/8/layout/orgChart1"/>
    <dgm:cxn modelId="{40FFE89B-D5AC-4AC2-8BF8-3E7F7CC34614}" type="presParOf" srcId="{1AE3887E-DF26-4F11-A343-009537C94722}" destId="{75DA4B23-B427-440F-9782-6E8CF689B2BA}" srcOrd="1" destOrd="0" presId="urn:microsoft.com/office/officeart/2005/8/layout/orgChart1"/>
    <dgm:cxn modelId="{67701040-8F06-449C-8898-AB4389B6A414}" type="presParOf" srcId="{75DA4B23-B427-440F-9782-6E8CF689B2BA}" destId="{71CE4134-5B4F-4331-8A06-251CD7FE5922}" srcOrd="0" destOrd="0" presId="urn:microsoft.com/office/officeart/2005/8/layout/orgChart1"/>
    <dgm:cxn modelId="{E5A06FF4-B493-444C-96EB-2BD387232E94}" type="presParOf" srcId="{71CE4134-5B4F-4331-8A06-251CD7FE5922}" destId="{39776CE1-75D1-46BB-BFB4-5A93DCB0783D}" srcOrd="0" destOrd="0" presId="urn:microsoft.com/office/officeart/2005/8/layout/orgChart1"/>
    <dgm:cxn modelId="{1C455914-CCF9-498D-8164-2EC9634BDE52}" type="presParOf" srcId="{71CE4134-5B4F-4331-8A06-251CD7FE5922}" destId="{C87FF7B0-8150-453B-A463-84F94968E5D6}" srcOrd="1" destOrd="0" presId="urn:microsoft.com/office/officeart/2005/8/layout/orgChart1"/>
    <dgm:cxn modelId="{213C439F-B367-4522-876B-6B1619DBF501}" type="presParOf" srcId="{75DA4B23-B427-440F-9782-6E8CF689B2BA}" destId="{BFF5ED11-892D-43BA-9209-DE0BBF77CE3D}" srcOrd="1" destOrd="0" presId="urn:microsoft.com/office/officeart/2005/8/layout/orgChart1"/>
    <dgm:cxn modelId="{97105961-4F1E-49E2-9C0B-0FB0938EF8D3}" type="presParOf" srcId="{75DA4B23-B427-440F-9782-6E8CF689B2BA}" destId="{2057EB36-D3A2-4D48-8107-788D94B69914}" srcOrd="2" destOrd="0" presId="urn:microsoft.com/office/officeart/2005/8/layout/orgChart1"/>
    <dgm:cxn modelId="{FD4288B3-35DE-4AF4-8086-9CA0F63D2863}" type="presParOf" srcId="{1AE3887E-DF26-4F11-A343-009537C94722}" destId="{066CE618-AFAE-4E87-A189-BA7EED51A6BC}" srcOrd="2" destOrd="0" presId="urn:microsoft.com/office/officeart/2005/8/layout/orgChart1"/>
    <dgm:cxn modelId="{8CCAE4C2-3DCF-43BD-96F8-D4B1583119AA}" type="presParOf" srcId="{1AE3887E-DF26-4F11-A343-009537C94722}" destId="{44A448EB-2834-4CDA-B67D-3CA205963CF9}" srcOrd="3" destOrd="0" presId="urn:microsoft.com/office/officeart/2005/8/layout/orgChart1"/>
    <dgm:cxn modelId="{F27AB58D-F972-4AE0-91C1-F78AF0B2C023}" type="presParOf" srcId="{44A448EB-2834-4CDA-B67D-3CA205963CF9}" destId="{4703FF44-70F7-4F48-BF50-81FE44C6BC9D}" srcOrd="0" destOrd="0" presId="urn:microsoft.com/office/officeart/2005/8/layout/orgChart1"/>
    <dgm:cxn modelId="{16957DFA-0963-4721-9E93-33A21AA81513}" type="presParOf" srcId="{4703FF44-70F7-4F48-BF50-81FE44C6BC9D}" destId="{420ADE94-A944-4D75-9FEE-A5B94C2EF654}" srcOrd="0" destOrd="0" presId="urn:microsoft.com/office/officeart/2005/8/layout/orgChart1"/>
    <dgm:cxn modelId="{CA7512B9-A6AC-40B4-A675-6E3971C93EE0}" type="presParOf" srcId="{4703FF44-70F7-4F48-BF50-81FE44C6BC9D}" destId="{38712E8D-BA2F-4589-AAAD-7C1787122FE2}" srcOrd="1" destOrd="0" presId="urn:microsoft.com/office/officeart/2005/8/layout/orgChart1"/>
    <dgm:cxn modelId="{CDB458EC-A109-429C-BC2E-849C26C44D0A}" type="presParOf" srcId="{44A448EB-2834-4CDA-B67D-3CA205963CF9}" destId="{508E1450-8865-48F8-A0EB-9FC2E8787F87}" srcOrd="1" destOrd="0" presId="urn:microsoft.com/office/officeart/2005/8/layout/orgChart1"/>
    <dgm:cxn modelId="{8AAED2FC-81D8-42BB-BBD3-5DCC01A0DE90}" type="presParOf" srcId="{44A448EB-2834-4CDA-B67D-3CA205963CF9}" destId="{28625D0C-F2BD-49AC-BF8B-F99AE8B403C3}" srcOrd="2" destOrd="0" presId="urn:microsoft.com/office/officeart/2005/8/layout/orgChart1"/>
    <dgm:cxn modelId="{F9616831-8F0B-4052-8AC1-804501F5BCB0}" type="presParOf" srcId="{1AE3887E-DF26-4F11-A343-009537C94722}" destId="{846B97CA-7A6E-4888-9AA2-23D6FB5F839D}" srcOrd="4" destOrd="0" presId="urn:microsoft.com/office/officeart/2005/8/layout/orgChart1"/>
    <dgm:cxn modelId="{30A5A6F5-40A7-449A-9C13-5C4F1A3C8D2C}" type="presParOf" srcId="{1AE3887E-DF26-4F11-A343-009537C94722}" destId="{18472F42-9DA6-4DA6-B9CF-9F1152024381}" srcOrd="5" destOrd="0" presId="urn:microsoft.com/office/officeart/2005/8/layout/orgChart1"/>
    <dgm:cxn modelId="{E29995D4-A426-4BD6-ADF3-87CF4E88A37C}" type="presParOf" srcId="{18472F42-9DA6-4DA6-B9CF-9F1152024381}" destId="{6942787F-271F-4A59-96B9-0F04FEA76283}" srcOrd="0" destOrd="0" presId="urn:microsoft.com/office/officeart/2005/8/layout/orgChart1"/>
    <dgm:cxn modelId="{93CB36B9-5E3B-4E51-9F2B-17C6AC93093F}" type="presParOf" srcId="{6942787F-271F-4A59-96B9-0F04FEA76283}" destId="{CE6E1443-3584-4FBB-AA76-C2B6FD20BD3A}" srcOrd="0" destOrd="0" presId="urn:microsoft.com/office/officeart/2005/8/layout/orgChart1"/>
    <dgm:cxn modelId="{E087084E-95AD-4666-B231-B63F56C33938}" type="presParOf" srcId="{6942787F-271F-4A59-96B9-0F04FEA76283}" destId="{A54D7DB3-B303-43AB-BEC7-C2528CAD66FC}" srcOrd="1" destOrd="0" presId="urn:microsoft.com/office/officeart/2005/8/layout/orgChart1"/>
    <dgm:cxn modelId="{EE057F4D-CB72-4E63-8F97-0D688AC631CA}" type="presParOf" srcId="{18472F42-9DA6-4DA6-B9CF-9F1152024381}" destId="{D352EE0D-59D5-4892-AABF-1EEE9798641B}" srcOrd="1" destOrd="0" presId="urn:microsoft.com/office/officeart/2005/8/layout/orgChart1"/>
    <dgm:cxn modelId="{64E600B8-522F-489E-B15F-3F40DE72A378}" type="presParOf" srcId="{18472F42-9DA6-4DA6-B9CF-9F1152024381}" destId="{ED9BFF2E-CA95-4F29-B718-4BF2AEBD2FD1}" srcOrd="2" destOrd="0" presId="urn:microsoft.com/office/officeart/2005/8/layout/orgChart1"/>
    <dgm:cxn modelId="{E0AAC33F-DBF9-4224-9D6E-766C1355A95A}" type="presParOf" srcId="{1AE3887E-DF26-4F11-A343-009537C94722}" destId="{D905E8C9-9FE1-4545-84BB-FA380198FAFE}" srcOrd="6" destOrd="0" presId="urn:microsoft.com/office/officeart/2005/8/layout/orgChart1"/>
    <dgm:cxn modelId="{BDEA5FA6-A89D-4904-9A7F-0A11E71AA5C0}" type="presParOf" srcId="{1AE3887E-DF26-4F11-A343-009537C94722}" destId="{419857DB-6603-4A0F-AA1A-0775E7C9E44A}" srcOrd="7" destOrd="0" presId="urn:microsoft.com/office/officeart/2005/8/layout/orgChart1"/>
    <dgm:cxn modelId="{D270DA8E-00F6-4708-9123-A3FCE41621C1}" type="presParOf" srcId="{419857DB-6603-4A0F-AA1A-0775E7C9E44A}" destId="{4357303C-C463-4799-B017-B583CA26A07F}" srcOrd="0" destOrd="0" presId="urn:microsoft.com/office/officeart/2005/8/layout/orgChart1"/>
    <dgm:cxn modelId="{5E89B900-85A5-4465-AE29-1A00F36060D6}" type="presParOf" srcId="{4357303C-C463-4799-B017-B583CA26A07F}" destId="{AFAA1CB7-F81E-4D7F-8DDB-E13DCF915B4F}" srcOrd="0" destOrd="0" presId="urn:microsoft.com/office/officeart/2005/8/layout/orgChart1"/>
    <dgm:cxn modelId="{11168420-9AAA-4109-948B-E7186148761C}" type="presParOf" srcId="{4357303C-C463-4799-B017-B583CA26A07F}" destId="{D229B421-0E03-4D58-8EEB-322FBC6384D6}" srcOrd="1" destOrd="0" presId="urn:microsoft.com/office/officeart/2005/8/layout/orgChart1"/>
    <dgm:cxn modelId="{A8A3A1FD-9690-43D0-9207-8B71AE64E942}" type="presParOf" srcId="{419857DB-6603-4A0F-AA1A-0775E7C9E44A}" destId="{446C74F8-ACA8-4856-9FE6-D4033C89A2BF}" srcOrd="1" destOrd="0" presId="urn:microsoft.com/office/officeart/2005/8/layout/orgChart1"/>
    <dgm:cxn modelId="{A75082CA-9C96-4987-A66C-29CE40D62AA8}" type="presParOf" srcId="{419857DB-6603-4A0F-AA1A-0775E7C9E44A}" destId="{043FAE58-968C-4611-A8E7-B21CE9BB24E5}" srcOrd="2" destOrd="0" presId="urn:microsoft.com/office/officeart/2005/8/layout/orgChart1"/>
    <dgm:cxn modelId="{0702AB31-7CEA-48E0-BCBC-72914859BC49}" type="presParOf" srcId="{1AE3887E-DF26-4F11-A343-009537C94722}" destId="{2AB751C0-2D2D-418B-A8F7-35D01BDC5DE1}" srcOrd="8" destOrd="0" presId="urn:microsoft.com/office/officeart/2005/8/layout/orgChart1"/>
    <dgm:cxn modelId="{BD420F3D-9D98-448E-AC9C-0919A392B0E4}" type="presParOf" srcId="{1AE3887E-DF26-4F11-A343-009537C94722}" destId="{30535BFE-F394-4AFF-A3CE-494F9A38FA13}" srcOrd="9" destOrd="0" presId="urn:microsoft.com/office/officeart/2005/8/layout/orgChart1"/>
    <dgm:cxn modelId="{5A9B875A-39D7-4D11-85C5-EAE79F5A00C0}" type="presParOf" srcId="{30535BFE-F394-4AFF-A3CE-494F9A38FA13}" destId="{AE3C0D43-A089-47B9-9769-F315E9F2101F}" srcOrd="0" destOrd="0" presId="urn:microsoft.com/office/officeart/2005/8/layout/orgChart1"/>
    <dgm:cxn modelId="{E3E29F0B-61EF-40B1-A4D7-2E9920802237}" type="presParOf" srcId="{AE3C0D43-A089-47B9-9769-F315E9F2101F}" destId="{8884BCC6-A89A-42D4-867F-834C653C37C2}" srcOrd="0" destOrd="0" presId="urn:microsoft.com/office/officeart/2005/8/layout/orgChart1"/>
    <dgm:cxn modelId="{82051C8F-B04C-4572-9E84-2FAA7A8527F0}" type="presParOf" srcId="{AE3C0D43-A089-47B9-9769-F315E9F2101F}" destId="{AF931224-7D73-406B-8497-EE049ADF2F7A}" srcOrd="1" destOrd="0" presId="urn:microsoft.com/office/officeart/2005/8/layout/orgChart1"/>
    <dgm:cxn modelId="{D4B077C0-0E41-4E75-9C6D-A584092CEBA8}" type="presParOf" srcId="{30535BFE-F394-4AFF-A3CE-494F9A38FA13}" destId="{72D9E340-1852-4F27-8B64-EA079C5CE5D9}" srcOrd="1" destOrd="0" presId="urn:microsoft.com/office/officeart/2005/8/layout/orgChart1"/>
    <dgm:cxn modelId="{E05BAE6A-2D40-4F06-A596-996618E6793C}" type="presParOf" srcId="{30535BFE-F394-4AFF-A3CE-494F9A38FA13}" destId="{9EBA3BE9-EB01-49F9-84A3-CB6D9E11A911}" srcOrd="2" destOrd="0" presId="urn:microsoft.com/office/officeart/2005/8/layout/orgChart1"/>
    <dgm:cxn modelId="{760E53A7-FACE-4AED-B15A-F5FF0DC7366F}" type="presParOf" srcId="{0EB683BE-E162-45DD-A144-0CB9F3D0EE28}" destId="{79F54EAD-2C23-4078-B865-AFE4D7A9D285}" srcOrd="2" destOrd="0" presId="urn:microsoft.com/office/officeart/2005/8/layout/orgChart1"/>
    <dgm:cxn modelId="{9880D4EF-CA77-454D-B531-1437F019DC27}" type="presParOf" srcId="{7B8CE450-27F6-4FD2-B0E6-0EEBEB904928}" destId="{B7C224BE-7741-4676-A46A-5BF419505716}" srcOrd="8" destOrd="0" presId="urn:microsoft.com/office/officeart/2005/8/layout/orgChart1"/>
    <dgm:cxn modelId="{9C7BE861-52B6-4BBA-939F-5EDB0ACFC61F}" type="presParOf" srcId="{7B8CE450-27F6-4FD2-B0E6-0EEBEB904928}" destId="{C5B26E7A-DBB9-4DAC-B957-97D99F4E5011}" srcOrd="9" destOrd="0" presId="urn:microsoft.com/office/officeart/2005/8/layout/orgChart1"/>
    <dgm:cxn modelId="{0B6A7917-35AF-48DD-8DDD-F18F5EF6DFDD}" type="presParOf" srcId="{C5B26E7A-DBB9-4DAC-B957-97D99F4E5011}" destId="{37AC8734-EF00-4B7A-93EA-B1DF0B82CFE1}" srcOrd="0" destOrd="0" presId="urn:microsoft.com/office/officeart/2005/8/layout/orgChart1"/>
    <dgm:cxn modelId="{BF990FEC-6C62-4B5F-B20B-C687E44D2959}" type="presParOf" srcId="{37AC8734-EF00-4B7A-93EA-B1DF0B82CFE1}" destId="{6B54BAFD-7F37-4819-8801-40DA7CB96D5A}" srcOrd="0" destOrd="0" presId="urn:microsoft.com/office/officeart/2005/8/layout/orgChart1"/>
    <dgm:cxn modelId="{27812051-8301-49C5-A2BE-835E8AFA5518}" type="presParOf" srcId="{37AC8734-EF00-4B7A-93EA-B1DF0B82CFE1}" destId="{6821DE57-C5AA-466A-B898-88B95F947E5C}" srcOrd="1" destOrd="0" presId="urn:microsoft.com/office/officeart/2005/8/layout/orgChart1"/>
    <dgm:cxn modelId="{9ECD21E8-650F-40E8-93FC-CC757F202588}" type="presParOf" srcId="{C5B26E7A-DBB9-4DAC-B957-97D99F4E5011}" destId="{7BAFA80F-EEB6-4A84-B554-C755B55F2DF5}" srcOrd="1" destOrd="0" presId="urn:microsoft.com/office/officeart/2005/8/layout/orgChart1"/>
    <dgm:cxn modelId="{9987DEC7-EFC5-4BE0-AFFC-BA6174C5F58B}" type="presParOf" srcId="{7BAFA80F-EEB6-4A84-B554-C755B55F2DF5}" destId="{0F49334D-300B-4735-B2B4-A9EC0E5DEACB}" srcOrd="0" destOrd="0" presId="urn:microsoft.com/office/officeart/2005/8/layout/orgChart1"/>
    <dgm:cxn modelId="{80071085-E7EB-4367-9347-D0795E34052A}" type="presParOf" srcId="{7BAFA80F-EEB6-4A84-B554-C755B55F2DF5}" destId="{1AFDF687-2D7B-4A58-A214-FC30BA07297F}" srcOrd="1" destOrd="0" presId="urn:microsoft.com/office/officeart/2005/8/layout/orgChart1"/>
    <dgm:cxn modelId="{10A6118E-54B3-4513-82B5-20D007C1C55B}" type="presParOf" srcId="{1AFDF687-2D7B-4A58-A214-FC30BA07297F}" destId="{A51C4D3E-AD35-4816-8462-6F8FCE7768E4}" srcOrd="0" destOrd="0" presId="urn:microsoft.com/office/officeart/2005/8/layout/orgChart1"/>
    <dgm:cxn modelId="{86669EF2-224F-4A60-9C88-9FF2985FC721}" type="presParOf" srcId="{A51C4D3E-AD35-4816-8462-6F8FCE7768E4}" destId="{31C406F9-FAD5-4C34-B088-D848B76AD332}" srcOrd="0" destOrd="0" presId="urn:microsoft.com/office/officeart/2005/8/layout/orgChart1"/>
    <dgm:cxn modelId="{5DB106E1-8483-4462-BD53-C05FE9426A3C}" type="presParOf" srcId="{A51C4D3E-AD35-4816-8462-6F8FCE7768E4}" destId="{467BD9F7-59E0-4515-8365-A27DB469AF15}" srcOrd="1" destOrd="0" presId="urn:microsoft.com/office/officeart/2005/8/layout/orgChart1"/>
    <dgm:cxn modelId="{90128A19-C74F-452E-ACA3-D4EDEE43E436}" type="presParOf" srcId="{1AFDF687-2D7B-4A58-A214-FC30BA07297F}" destId="{3D10A2F3-9AA1-42E2-BED3-55B516648C76}" srcOrd="1" destOrd="0" presId="urn:microsoft.com/office/officeart/2005/8/layout/orgChart1"/>
    <dgm:cxn modelId="{030FCB93-2480-48ED-84B2-DCF987275AAE}" type="presParOf" srcId="{1AFDF687-2D7B-4A58-A214-FC30BA07297F}" destId="{2C3AF30D-2903-48FE-87CA-7A5BE7040BA9}" srcOrd="2" destOrd="0" presId="urn:microsoft.com/office/officeart/2005/8/layout/orgChart1"/>
    <dgm:cxn modelId="{F6A22987-7518-4287-8075-9CCB351C6031}" type="presParOf" srcId="{7BAFA80F-EEB6-4A84-B554-C755B55F2DF5}" destId="{C8EBB3A9-8A37-4937-AE5F-A42D0FE9CE3A}" srcOrd="2" destOrd="0" presId="urn:microsoft.com/office/officeart/2005/8/layout/orgChart1"/>
    <dgm:cxn modelId="{B56B3EB0-A519-4543-A10D-CB278FEB9EC1}" type="presParOf" srcId="{7BAFA80F-EEB6-4A84-B554-C755B55F2DF5}" destId="{B1431D49-1069-4574-BADD-EE07F7414952}" srcOrd="3" destOrd="0" presId="urn:microsoft.com/office/officeart/2005/8/layout/orgChart1"/>
    <dgm:cxn modelId="{ADB7F1EA-A5BC-4381-B909-F82750962CF0}" type="presParOf" srcId="{B1431D49-1069-4574-BADD-EE07F7414952}" destId="{FFA19605-0D14-4A8A-928C-88BF380E5AF8}" srcOrd="0" destOrd="0" presId="urn:microsoft.com/office/officeart/2005/8/layout/orgChart1"/>
    <dgm:cxn modelId="{7E3A1F3E-CB35-47DD-B7CE-9F911B9ED52C}" type="presParOf" srcId="{FFA19605-0D14-4A8A-928C-88BF380E5AF8}" destId="{60AB6B83-B070-439A-BA87-45447BD71542}" srcOrd="0" destOrd="0" presId="urn:microsoft.com/office/officeart/2005/8/layout/orgChart1"/>
    <dgm:cxn modelId="{24E440B8-5195-41F0-A6BE-6CAC10BF2A9D}" type="presParOf" srcId="{FFA19605-0D14-4A8A-928C-88BF380E5AF8}" destId="{9867717F-A4C0-4257-B561-8B67FF1F7A95}" srcOrd="1" destOrd="0" presId="urn:microsoft.com/office/officeart/2005/8/layout/orgChart1"/>
    <dgm:cxn modelId="{E757EA3A-483D-4861-9FBF-7735C2C23247}" type="presParOf" srcId="{B1431D49-1069-4574-BADD-EE07F7414952}" destId="{A321175F-1927-464A-8800-4B6455E4D667}" srcOrd="1" destOrd="0" presId="urn:microsoft.com/office/officeart/2005/8/layout/orgChart1"/>
    <dgm:cxn modelId="{75690E8D-2432-4CD3-B2B9-4CDE55BDD240}" type="presParOf" srcId="{B1431D49-1069-4574-BADD-EE07F7414952}" destId="{A6F13CF0-4D06-4531-BF1D-F0FC24F31F14}" srcOrd="2" destOrd="0" presId="urn:microsoft.com/office/officeart/2005/8/layout/orgChart1"/>
    <dgm:cxn modelId="{422969CF-F4BB-4598-B702-2A5A6B6F77E2}" type="presParOf" srcId="{7BAFA80F-EEB6-4A84-B554-C755B55F2DF5}" destId="{19EF9F38-F7BE-4F67-A557-E3897A491C21}" srcOrd="4" destOrd="0" presId="urn:microsoft.com/office/officeart/2005/8/layout/orgChart1"/>
    <dgm:cxn modelId="{1EF5D198-6F0E-41F1-BD2C-BE0480766169}" type="presParOf" srcId="{7BAFA80F-EEB6-4A84-B554-C755B55F2DF5}" destId="{C06B639A-B06C-4AD6-B77F-901EA63365C7}" srcOrd="5" destOrd="0" presId="urn:microsoft.com/office/officeart/2005/8/layout/orgChart1"/>
    <dgm:cxn modelId="{ABD12CE4-6A45-44BC-A35C-DA8FF6248E4F}" type="presParOf" srcId="{C06B639A-B06C-4AD6-B77F-901EA63365C7}" destId="{A2E1BF24-7771-4C4B-890D-A58E3B328157}" srcOrd="0" destOrd="0" presId="urn:microsoft.com/office/officeart/2005/8/layout/orgChart1"/>
    <dgm:cxn modelId="{0921CACA-7186-44D7-8314-EB36CA9D29DE}" type="presParOf" srcId="{A2E1BF24-7771-4C4B-890D-A58E3B328157}" destId="{C60DDCA0-895E-42F5-9186-A43048767D4E}" srcOrd="0" destOrd="0" presId="urn:microsoft.com/office/officeart/2005/8/layout/orgChart1"/>
    <dgm:cxn modelId="{31012F7F-5F85-448D-BFD7-EC8CC5EE92A8}" type="presParOf" srcId="{A2E1BF24-7771-4C4B-890D-A58E3B328157}" destId="{ED569C1D-A086-4CF7-BB0E-5D3FF324517B}" srcOrd="1" destOrd="0" presId="urn:microsoft.com/office/officeart/2005/8/layout/orgChart1"/>
    <dgm:cxn modelId="{234593D0-0AA0-4093-A7BC-B5235ADF0187}" type="presParOf" srcId="{C06B639A-B06C-4AD6-B77F-901EA63365C7}" destId="{FBB593B1-F661-4E4D-ADAC-A3E3B0C619CE}" srcOrd="1" destOrd="0" presId="urn:microsoft.com/office/officeart/2005/8/layout/orgChart1"/>
    <dgm:cxn modelId="{42FC0BD2-8ED0-4CC4-A393-EB6568F827A9}" type="presParOf" srcId="{C06B639A-B06C-4AD6-B77F-901EA63365C7}" destId="{414D3D78-59ED-4E5C-A8B0-93EBCDFAFFC1}" srcOrd="2" destOrd="0" presId="urn:microsoft.com/office/officeart/2005/8/layout/orgChart1"/>
    <dgm:cxn modelId="{CD2ABFE8-2A3A-419A-A4BD-41C0AB2B1E61}" type="presParOf" srcId="{7BAFA80F-EEB6-4A84-B554-C755B55F2DF5}" destId="{3D28DD69-F8E3-4E9C-93B2-256313D42FFE}" srcOrd="6" destOrd="0" presId="urn:microsoft.com/office/officeart/2005/8/layout/orgChart1"/>
    <dgm:cxn modelId="{F089D743-384B-4291-8A28-18B606A50044}" type="presParOf" srcId="{7BAFA80F-EEB6-4A84-B554-C755B55F2DF5}" destId="{26386DCF-CA05-465A-BC98-4ED5C662F1B5}" srcOrd="7" destOrd="0" presId="urn:microsoft.com/office/officeart/2005/8/layout/orgChart1"/>
    <dgm:cxn modelId="{2CF1CA5D-24A6-48F6-A070-9174432FCE8D}" type="presParOf" srcId="{26386DCF-CA05-465A-BC98-4ED5C662F1B5}" destId="{CB3A4432-B4C8-4F2A-8C4D-4AD6BC613C6C}" srcOrd="0" destOrd="0" presId="urn:microsoft.com/office/officeart/2005/8/layout/orgChart1"/>
    <dgm:cxn modelId="{282B221A-6D9D-4618-97DB-344C09CD5B4D}" type="presParOf" srcId="{CB3A4432-B4C8-4F2A-8C4D-4AD6BC613C6C}" destId="{DD4D6429-1959-486B-8C83-B2C3F01CA2A9}" srcOrd="0" destOrd="0" presId="urn:microsoft.com/office/officeart/2005/8/layout/orgChart1"/>
    <dgm:cxn modelId="{224BF1AA-C804-4C2C-8F1A-011580D8BCF2}" type="presParOf" srcId="{CB3A4432-B4C8-4F2A-8C4D-4AD6BC613C6C}" destId="{FD09D331-7284-4E65-A878-64C8E5C3CB11}" srcOrd="1" destOrd="0" presId="urn:microsoft.com/office/officeart/2005/8/layout/orgChart1"/>
    <dgm:cxn modelId="{F8A1AA69-4FF3-4F21-A623-71F27CEC6E92}" type="presParOf" srcId="{26386DCF-CA05-465A-BC98-4ED5C662F1B5}" destId="{61EA35C2-79F1-432C-AA12-06F2C17D9FC9}" srcOrd="1" destOrd="0" presId="urn:microsoft.com/office/officeart/2005/8/layout/orgChart1"/>
    <dgm:cxn modelId="{B34D1265-5C71-4B92-8542-6B9E73C69781}" type="presParOf" srcId="{26386DCF-CA05-465A-BC98-4ED5C662F1B5}" destId="{BAC2D6B3-453A-42B3-99CB-7DAE808A9E17}" srcOrd="2" destOrd="0" presId="urn:microsoft.com/office/officeart/2005/8/layout/orgChart1"/>
    <dgm:cxn modelId="{8EFCF0BE-41FD-4608-86D8-8D46665FAEDE}" type="presParOf" srcId="{7BAFA80F-EEB6-4A84-B554-C755B55F2DF5}" destId="{88041BC2-E4F7-4785-A432-3E9106AA941B}" srcOrd="8" destOrd="0" presId="urn:microsoft.com/office/officeart/2005/8/layout/orgChart1"/>
    <dgm:cxn modelId="{7D63A783-83BD-42C8-8C65-20E498BAC0F7}" type="presParOf" srcId="{7BAFA80F-EEB6-4A84-B554-C755B55F2DF5}" destId="{D1B7347F-9F38-4AA7-9BA0-19D7FA351400}" srcOrd="9" destOrd="0" presId="urn:microsoft.com/office/officeart/2005/8/layout/orgChart1"/>
    <dgm:cxn modelId="{FADAB24C-0EE1-4160-871D-F091A601EC71}" type="presParOf" srcId="{D1B7347F-9F38-4AA7-9BA0-19D7FA351400}" destId="{CFE7ED44-1F45-425D-8C74-7C57ED400D5E}" srcOrd="0" destOrd="0" presId="urn:microsoft.com/office/officeart/2005/8/layout/orgChart1"/>
    <dgm:cxn modelId="{7ED7D49A-6940-499C-BF60-08AC6B27EA41}" type="presParOf" srcId="{CFE7ED44-1F45-425D-8C74-7C57ED400D5E}" destId="{53C8E187-8431-46AC-B35F-9FF28CB651A1}" srcOrd="0" destOrd="0" presId="urn:microsoft.com/office/officeart/2005/8/layout/orgChart1"/>
    <dgm:cxn modelId="{60D90639-D7B6-424E-963A-7A2E0F9AD079}" type="presParOf" srcId="{CFE7ED44-1F45-425D-8C74-7C57ED400D5E}" destId="{7A5971B3-5203-48F6-9DE0-8EEED758C522}" srcOrd="1" destOrd="0" presId="urn:microsoft.com/office/officeart/2005/8/layout/orgChart1"/>
    <dgm:cxn modelId="{205922E0-A1DA-4FC9-A3EF-81152FEB1368}" type="presParOf" srcId="{D1B7347F-9F38-4AA7-9BA0-19D7FA351400}" destId="{19ABE7D6-7301-426A-98B2-129371248BCC}" srcOrd="1" destOrd="0" presId="urn:microsoft.com/office/officeart/2005/8/layout/orgChart1"/>
    <dgm:cxn modelId="{85C151CA-CB0A-4603-81E6-E58A49AE686A}" type="presParOf" srcId="{D1B7347F-9F38-4AA7-9BA0-19D7FA351400}" destId="{F79AA71B-94DC-4CB1-B2AF-9FBB90E98DC6}" srcOrd="2" destOrd="0" presId="urn:microsoft.com/office/officeart/2005/8/layout/orgChart1"/>
    <dgm:cxn modelId="{9273799A-184F-4CE3-95F0-C8E2C87F70D8}" type="presParOf" srcId="{7BAFA80F-EEB6-4A84-B554-C755B55F2DF5}" destId="{6CC1AA5A-161C-45E0-B9C4-E030DA03AA8B}" srcOrd="10" destOrd="0" presId="urn:microsoft.com/office/officeart/2005/8/layout/orgChart1"/>
    <dgm:cxn modelId="{785E9436-330F-4D17-92B0-498D96B5E2F1}" type="presParOf" srcId="{7BAFA80F-EEB6-4A84-B554-C755B55F2DF5}" destId="{A7B0016D-02D6-4886-84C0-BBD218409CC7}" srcOrd="11" destOrd="0" presId="urn:microsoft.com/office/officeart/2005/8/layout/orgChart1"/>
    <dgm:cxn modelId="{27629917-C4E8-4211-A279-7F8A5371A2A4}" type="presParOf" srcId="{A7B0016D-02D6-4886-84C0-BBD218409CC7}" destId="{B44F8484-AB9A-4EC1-9400-D96B216067CD}" srcOrd="0" destOrd="0" presId="urn:microsoft.com/office/officeart/2005/8/layout/orgChart1"/>
    <dgm:cxn modelId="{41D18E5F-300C-4ED8-A4A3-639EB315F9AB}" type="presParOf" srcId="{B44F8484-AB9A-4EC1-9400-D96B216067CD}" destId="{EE57F8F1-CCDA-432C-9E96-7B3C295D70FB}" srcOrd="0" destOrd="0" presId="urn:microsoft.com/office/officeart/2005/8/layout/orgChart1"/>
    <dgm:cxn modelId="{084833F7-EF9D-426F-83B3-048D5DA87970}" type="presParOf" srcId="{B44F8484-AB9A-4EC1-9400-D96B216067CD}" destId="{0EA6C0D8-B3A8-41E2-88D1-9C0EEF9835D5}" srcOrd="1" destOrd="0" presId="urn:microsoft.com/office/officeart/2005/8/layout/orgChart1"/>
    <dgm:cxn modelId="{C91A7533-4636-4DBE-9709-D405705A07D5}" type="presParOf" srcId="{A7B0016D-02D6-4886-84C0-BBD218409CC7}" destId="{65E307F4-35AD-4F14-9795-FA2C7445A233}" srcOrd="1" destOrd="0" presId="urn:microsoft.com/office/officeart/2005/8/layout/orgChart1"/>
    <dgm:cxn modelId="{4D4F9570-E768-44F7-977A-015921777D92}" type="presParOf" srcId="{A7B0016D-02D6-4886-84C0-BBD218409CC7}" destId="{4F75F783-28C6-47BA-B885-A1CF1AE26860}" srcOrd="2" destOrd="0" presId="urn:microsoft.com/office/officeart/2005/8/layout/orgChart1"/>
    <dgm:cxn modelId="{B1B809A3-8A0B-41F1-979D-D2C8B075259D}" type="presParOf" srcId="{C5B26E7A-DBB9-4DAC-B957-97D99F4E5011}" destId="{D005C73A-249F-405F-8093-E1B17324C54E}" srcOrd="2" destOrd="0" presId="urn:microsoft.com/office/officeart/2005/8/layout/orgChart1"/>
    <dgm:cxn modelId="{488599AD-5787-4B4F-AB93-3ED446C95BE5}" type="presParOf" srcId="{5BBBE78A-8070-4D2A-8E5E-1DB5A78016C0}" destId="{AED7E8EF-C3E4-4AA1-9032-8F103C183863}" srcOrd="2" destOrd="0" presId="urn:microsoft.com/office/officeart/2005/8/layout/orgChart1"/>
    <dgm:cxn modelId="{BE0C09F8-8E15-4A11-BED3-11345612B615}" type="presParOf" srcId="{FE8C6CF0-BDA9-428A-A613-CEE5BC518FB1}" destId="{F063701D-2E70-41B5-B838-4F9A4C758828}" srcOrd="2" destOrd="0" presId="urn:microsoft.com/office/officeart/2005/8/layout/orgChart1"/>
    <dgm:cxn modelId="{5BA3AD97-DC19-4505-8A9F-F0499F25971C}" type="presParOf" srcId="{FE8C6CF0-BDA9-428A-A613-CEE5BC518FB1}" destId="{EDEAE9A2-68E5-4B8E-96CA-48C0C7D4813E}" srcOrd="3" destOrd="0" presId="urn:microsoft.com/office/officeart/2005/8/layout/orgChart1"/>
    <dgm:cxn modelId="{EB3BDDF9-4305-410E-B7DF-ABBAA71DF4EB}" type="presParOf" srcId="{EDEAE9A2-68E5-4B8E-96CA-48C0C7D4813E}" destId="{D3FD3579-6EDF-40CC-AE69-F44DFC939D15}" srcOrd="0" destOrd="0" presId="urn:microsoft.com/office/officeart/2005/8/layout/orgChart1"/>
    <dgm:cxn modelId="{BF757890-107C-4A44-B0DD-2395D3C00D3B}" type="presParOf" srcId="{D3FD3579-6EDF-40CC-AE69-F44DFC939D15}" destId="{35E88083-CC5F-4586-8BC7-78DAB5D70CEF}" srcOrd="0" destOrd="0" presId="urn:microsoft.com/office/officeart/2005/8/layout/orgChart1"/>
    <dgm:cxn modelId="{1BD7102F-3B51-42F4-8102-FDCE7C28A7D9}" type="presParOf" srcId="{D3FD3579-6EDF-40CC-AE69-F44DFC939D15}" destId="{E283D373-8EF1-4E3F-9DE2-B009684B9C5B}" srcOrd="1" destOrd="0" presId="urn:microsoft.com/office/officeart/2005/8/layout/orgChart1"/>
    <dgm:cxn modelId="{6EA24A20-2DF7-4E5F-9A29-7FB02F3ADC86}" type="presParOf" srcId="{EDEAE9A2-68E5-4B8E-96CA-48C0C7D4813E}" destId="{B4DEC101-BFAA-4B35-9D2A-3ACA7B4A3903}" srcOrd="1" destOrd="0" presId="urn:microsoft.com/office/officeart/2005/8/layout/orgChart1"/>
    <dgm:cxn modelId="{EA2A19C0-4B63-433A-B8A0-D60094B0DF46}" type="presParOf" srcId="{B4DEC101-BFAA-4B35-9D2A-3ACA7B4A3903}" destId="{D6FF6828-40D0-4812-9A04-EAFF3857C875}" srcOrd="0" destOrd="0" presId="urn:microsoft.com/office/officeart/2005/8/layout/orgChart1"/>
    <dgm:cxn modelId="{61E0EFC2-F2D2-4BC2-B252-94B1BD480C09}" type="presParOf" srcId="{B4DEC101-BFAA-4B35-9D2A-3ACA7B4A3903}" destId="{391B693B-8879-4D11-9F85-4F46B13A311A}" srcOrd="1" destOrd="0" presId="urn:microsoft.com/office/officeart/2005/8/layout/orgChart1"/>
    <dgm:cxn modelId="{4095BAA4-F8A9-4E09-A245-B39B838C19C8}" type="presParOf" srcId="{391B693B-8879-4D11-9F85-4F46B13A311A}" destId="{30232C5D-E89A-4824-B213-48EA4C3B93C3}" srcOrd="0" destOrd="0" presId="urn:microsoft.com/office/officeart/2005/8/layout/orgChart1"/>
    <dgm:cxn modelId="{83ABD18F-58C2-4D67-A34B-D09FF90D9B86}" type="presParOf" srcId="{30232C5D-E89A-4824-B213-48EA4C3B93C3}" destId="{E95FFD38-9874-4015-83F1-336B22014284}" srcOrd="0" destOrd="0" presId="urn:microsoft.com/office/officeart/2005/8/layout/orgChart1"/>
    <dgm:cxn modelId="{A75751F0-EA6A-4C56-90D9-7F74DBAFE43D}" type="presParOf" srcId="{30232C5D-E89A-4824-B213-48EA4C3B93C3}" destId="{FD19542D-BDED-490F-8658-F06E04631115}" srcOrd="1" destOrd="0" presId="urn:microsoft.com/office/officeart/2005/8/layout/orgChart1"/>
    <dgm:cxn modelId="{19AC78DD-AD7D-44B9-B907-B8ECB0CDEF47}" type="presParOf" srcId="{391B693B-8879-4D11-9F85-4F46B13A311A}" destId="{C7195A15-2D3D-4A31-8ABD-FCBE4971A768}" srcOrd="1" destOrd="0" presId="urn:microsoft.com/office/officeart/2005/8/layout/orgChart1"/>
    <dgm:cxn modelId="{9DFCC79C-50F7-4DCC-A35A-0DEA12EADAD1}" type="presParOf" srcId="{C7195A15-2D3D-4A31-8ABD-FCBE4971A768}" destId="{51B07BC3-2201-4EC5-AD3D-5B75C0C1E754}" srcOrd="0" destOrd="0" presId="urn:microsoft.com/office/officeart/2005/8/layout/orgChart1"/>
    <dgm:cxn modelId="{23226FDD-AAFF-4C0A-8170-1AB5EEA7B2F5}" type="presParOf" srcId="{C7195A15-2D3D-4A31-8ABD-FCBE4971A768}" destId="{332F6B8A-774B-4804-9E6F-48C674195BBC}" srcOrd="1" destOrd="0" presId="urn:microsoft.com/office/officeart/2005/8/layout/orgChart1"/>
    <dgm:cxn modelId="{9142727D-26D2-48FA-A42C-53D9725EAC41}" type="presParOf" srcId="{332F6B8A-774B-4804-9E6F-48C674195BBC}" destId="{3DE3FCEA-C6A3-4B08-B305-003573F5D633}" srcOrd="0" destOrd="0" presId="urn:microsoft.com/office/officeart/2005/8/layout/orgChart1"/>
    <dgm:cxn modelId="{AF79FEB2-0234-454B-8D24-F960DCFFBD51}" type="presParOf" srcId="{3DE3FCEA-C6A3-4B08-B305-003573F5D633}" destId="{BC89AB6F-45B7-4C0F-93B8-3E80446BB100}" srcOrd="0" destOrd="0" presId="urn:microsoft.com/office/officeart/2005/8/layout/orgChart1"/>
    <dgm:cxn modelId="{8A4202AB-6326-4064-9A09-77721EAE3B89}" type="presParOf" srcId="{3DE3FCEA-C6A3-4B08-B305-003573F5D633}" destId="{B66DBE18-09DC-40A1-B2D4-F2BE81A8FD53}" srcOrd="1" destOrd="0" presId="urn:microsoft.com/office/officeart/2005/8/layout/orgChart1"/>
    <dgm:cxn modelId="{8EB39455-188A-4F37-AF39-6A5E3CF77935}" type="presParOf" srcId="{332F6B8A-774B-4804-9E6F-48C674195BBC}" destId="{961970A9-45CE-4C1D-9EE4-60C32CED158C}" srcOrd="1" destOrd="0" presId="urn:microsoft.com/office/officeart/2005/8/layout/orgChart1"/>
    <dgm:cxn modelId="{62AB3AE6-D53C-48CF-B562-B86402E5DF10}" type="presParOf" srcId="{332F6B8A-774B-4804-9E6F-48C674195BBC}" destId="{727552F1-B144-4E46-A148-A8CA78DF8C09}" srcOrd="2" destOrd="0" presId="urn:microsoft.com/office/officeart/2005/8/layout/orgChart1"/>
    <dgm:cxn modelId="{7DA886C1-C861-40D8-ADBD-D4E2DC1BB34C}" type="presParOf" srcId="{C7195A15-2D3D-4A31-8ABD-FCBE4971A768}" destId="{BEA97DD3-F44B-4E78-8AC2-C1C70282207E}" srcOrd="2" destOrd="0" presId="urn:microsoft.com/office/officeart/2005/8/layout/orgChart1"/>
    <dgm:cxn modelId="{33A138F6-88FE-4863-9424-16A96597CC7B}" type="presParOf" srcId="{C7195A15-2D3D-4A31-8ABD-FCBE4971A768}" destId="{69A97903-6B2E-46B4-BC7F-70C5175602A2}" srcOrd="3" destOrd="0" presId="urn:microsoft.com/office/officeart/2005/8/layout/orgChart1"/>
    <dgm:cxn modelId="{4817067A-ECC0-4737-9F9F-20A09184AD13}" type="presParOf" srcId="{69A97903-6B2E-46B4-BC7F-70C5175602A2}" destId="{339266AA-955A-4C51-9769-DD2107CC8B5D}" srcOrd="0" destOrd="0" presId="urn:microsoft.com/office/officeart/2005/8/layout/orgChart1"/>
    <dgm:cxn modelId="{4F8A1334-D0C8-47F7-AC3C-6F40E79F2761}" type="presParOf" srcId="{339266AA-955A-4C51-9769-DD2107CC8B5D}" destId="{1EBAA58C-809B-42C7-8D90-5D3B8B4B33F3}" srcOrd="0" destOrd="0" presId="urn:microsoft.com/office/officeart/2005/8/layout/orgChart1"/>
    <dgm:cxn modelId="{2028ED9F-ECB8-4936-A2C8-093B04F1D8BA}" type="presParOf" srcId="{339266AA-955A-4C51-9769-DD2107CC8B5D}" destId="{560129B9-506B-4C49-AB34-BF1F659A9789}" srcOrd="1" destOrd="0" presId="urn:microsoft.com/office/officeart/2005/8/layout/orgChart1"/>
    <dgm:cxn modelId="{FE00F086-CAB2-475C-BC1C-0452C754EC9E}" type="presParOf" srcId="{69A97903-6B2E-46B4-BC7F-70C5175602A2}" destId="{B1A05FB3-456D-4AD0-BD00-296FE92D8F5F}" srcOrd="1" destOrd="0" presId="urn:microsoft.com/office/officeart/2005/8/layout/orgChart1"/>
    <dgm:cxn modelId="{BC8AB0CB-43AF-47EF-B9EE-AFA2646F41CD}" type="presParOf" srcId="{69A97903-6B2E-46B4-BC7F-70C5175602A2}" destId="{85BD1AC7-92CE-4E88-8C7A-0DE114602067}" srcOrd="2" destOrd="0" presId="urn:microsoft.com/office/officeart/2005/8/layout/orgChart1"/>
    <dgm:cxn modelId="{9002A68F-6610-4A89-B5CF-392997A54A19}" type="presParOf" srcId="{C7195A15-2D3D-4A31-8ABD-FCBE4971A768}" destId="{540D71A9-8119-49F1-95C0-4B399D133315}" srcOrd="4" destOrd="0" presId="urn:microsoft.com/office/officeart/2005/8/layout/orgChart1"/>
    <dgm:cxn modelId="{2DFB1356-A1E9-48B2-82B0-2B8445A9C4F0}" type="presParOf" srcId="{C7195A15-2D3D-4A31-8ABD-FCBE4971A768}" destId="{DDD9CD73-06BD-4305-8666-35931591B11C}" srcOrd="5" destOrd="0" presId="urn:microsoft.com/office/officeart/2005/8/layout/orgChart1"/>
    <dgm:cxn modelId="{C8F8F1CC-4AC7-4753-95A4-97882C9E57F3}" type="presParOf" srcId="{DDD9CD73-06BD-4305-8666-35931591B11C}" destId="{AFA3CEA2-C6B6-451C-99D0-EDAF576BC23B}" srcOrd="0" destOrd="0" presId="urn:microsoft.com/office/officeart/2005/8/layout/orgChart1"/>
    <dgm:cxn modelId="{075C3FEF-6617-48CC-9B87-9AAA7FF9B8B4}" type="presParOf" srcId="{AFA3CEA2-C6B6-451C-99D0-EDAF576BC23B}" destId="{D0220285-8769-4F04-B0A4-DF4827A80904}" srcOrd="0" destOrd="0" presId="urn:microsoft.com/office/officeart/2005/8/layout/orgChart1"/>
    <dgm:cxn modelId="{B21DB729-C60F-4E49-BD79-3940A3AA2601}" type="presParOf" srcId="{AFA3CEA2-C6B6-451C-99D0-EDAF576BC23B}" destId="{6FA966E9-F6A2-4A51-AE59-2EC549447DAE}" srcOrd="1" destOrd="0" presId="urn:microsoft.com/office/officeart/2005/8/layout/orgChart1"/>
    <dgm:cxn modelId="{430DF350-3913-44B5-8211-FEF770F82E10}" type="presParOf" srcId="{DDD9CD73-06BD-4305-8666-35931591B11C}" destId="{2D0ECEBA-FFAD-4FCA-8778-C6E2C6E576D9}" srcOrd="1" destOrd="0" presId="urn:microsoft.com/office/officeart/2005/8/layout/orgChart1"/>
    <dgm:cxn modelId="{7FDC8706-5241-4F5D-BB9E-57C218A1FB92}" type="presParOf" srcId="{DDD9CD73-06BD-4305-8666-35931591B11C}" destId="{CD6786F1-5A40-4553-8F90-79690B91CB50}" srcOrd="2" destOrd="0" presId="urn:microsoft.com/office/officeart/2005/8/layout/orgChart1"/>
    <dgm:cxn modelId="{6D5CEB84-4DFF-4807-A8E7-A4893A656631}" type="presParOf" srcId="{C7195A15-2D3D-4A31-8ABD-FCBE4971A768}" destId="{F96E22FB-4BCC-4F67-965A-A117B4538F6C}" srcOrd="6" destOrd="0" presId="urn:microsoft.com/office/officeart/2005/8/layout/orgChart1"/>
    <dgm:cxn modelId="{8328A66B-5507-4A70-BB0F-DD604FE3BF3E}" type="presParOf" srcId="{C7195A15-2D3D-4A31-8ABD-FCBE4971A768}" destId="{94387D4F-5E18-4625-9C0D-5CC51354DEE8}" srcOrd="7" destOrd="0" presId="urn:microsoft.com/office/officeart/2005/8/layout/orgChart1"/>
    <dgm:cxn modelId="{7C863030-3F60-4CDB-BC26-A09D068764E3}" type="presParOf" srcId="{94387D4F-5E18-4625-9C0D-5CC51354DEE8}" destId="{A91AF8EB-AD32-4EF8-83B2-8374C95E73E0}" srcOrd="0" destOrd="0" presId="urn:microsoft.com/office/officeart/2005/8/layout/orgChart1"/>
    <dgm:cxn modelId="{93871941-0C94-4D33-B033-A6BE4EC20F80}" type="presParOf" srcId="{A91AF8EB-AD32-4EF8-83B2-8374C95E73E0}" destId="{43A6C74F-4111-48FE-8ED3-A9770FBE85CB}" srcOrd="0" destOrd="0" presId="urn:microsoft.com/office/officeart/2005/8/layout/orgChart1"/>
    <dgm:cxn modelId="{566D350B-D200-4802-8F65-E3DF40CF9A42}" type="presParOf" srcId="{A91AF8EB-AD32-4EF8-83B2-8374C95E73E0}" destId="{E6CA4E6E-55AA-4254-BFD0-6A4689875CD2}" srcOrd="1" destOrd="0" presId="urn:microsoft.com/office/officeart/2005/8/layout/orgChart1"/>
    <dgm:cxn modelId="{38B0D7AA-A78B-4489-91AE-55933A16CBF1}" type="presParOf" srcId="{94387D4F-5E18-4625-9C0D-5CC51354DEE8}" destId="{719D5699-6302-49A5-B665-894CD71533F3}" srcOrd="1" destOrd="0" presId="urn:microsoft.com/office/officeart/2005/8/layout/orgChart1"/>
    <dgm:cxn modelId="{9EAB5248-2229-4155-8689-9B8ED943CEBE}" type="presParOf" srcId="{94387D4F-5E18-4625-9C0D-5CC51354DEE8}" destId="{803AECA9-C0E8-4E30-9503-333A9E6B261B}" srcOrd="2" destOrd="0" presId="urn:microsoft.com/office/officeart/2005/8/layout/orgChart1"/>
    <dgm:cxn modelId="{7502DC4E-4E21-4594-BD13-A08C234CC688}" type="presParOf" srcId="{C7195A15-2D3D-4A31-8ABD-FCBE4971A768}" destId="{D6D5DD5F-2E9C-4858-BE53-88ECCD66559E}" srcOrd="8" destOrd="0" presId="urn:microsoft.com/office/officeart/2005/8/layout/orgChart1"/>
    <dgm:cxn modelId="{F28DD2C9-5F47-493E-A644-F92411B6D8DD}" type="presParOf" srcId="{C7195A15-2D3D-4A31-8ABD-FCBE4971A768}" destId="{436E4C40-4164-4A59-BF78-E0AC0BBD591B}" srcOrd="9" destOrd="0" presId="urn:microsoft.com/office/officeart/2005/8/layout/orgChart1"/>
    <dgm:cxn modelId="{984A256E-F01F-4C9C-ADE0-476DAF3F09DC}" type="presParOf" srcId="{436E4C40-4164-4A59-BF78-E0AC0BBD591B}" destId="{5834CEFD-59BA-4466-A732-790103B4CA93}" srcOrd="0" destOrd="0" presId="urn:microsoft.com/office/officeart/2005/8/layout/orgChart1"/>
    <dgm:cxn modelId="{618D8E52-0FA9-4DCB-94E2-F8FBE0001B87}" type="presParOf" srcId="{5834CEFD-59BA-4466-A732-790103B4CA93}" destId="{257B2F7E-AC7D-4EE8-ADAF-CE561052367E}" srcOrd="0" destOrd="0" presId="urn:microsoft.com/office/officeart/2005/8/layout/orgChart1"/>
    <dgm:cxn modelId="{BFA7C56E-8053-433F-BE2D-08CD7C9FA824}" type="presParOf" srcId="{5834CEFD-59BA-4466-A732-790103B4CA93}" destId="{82407424-A6CF-4252-9BE4-E5984E5115A4}" srcOrd="1" destOrd="0" presId="urn:microsoft.com/office/officeart/2005/8/layout/orgChart1"/>
    <dgm:cxn modelId="{FA3A9A67-996E-4644-9DEA-62E555491931}" type="presParOf" srcId="{436E4C40-4164-4A59-BF78-E0AC0BBD591B}" destId="{1DD751FD-8322-4EFF-9FF3-BC454400920E}" srcOrd="1" destOrd="0" presId="urn:microsoft.com/office/officeart/2005/8/layout/orgChart1"/>
    <dgm:cxn modelId="{BD0D5513-B237-4C59-90DE-0B6D830E1047}" type="presParOf" srcId="{436E4C40-4164-4A59-BF78-E0AC0BBD591B}" destId="{5A8EF613-1B7F-4284-86C4-302DBD2E3B21}" srcOrd="2" destOrd="0" presId="urn:microsoft.com/office/officeart/2005/8/layout/orgChart1"/>
    <dgm:cxn modelId="{EFC06432-468A-4BCC-976F-B0BF1BC4A706}" type="presParOf" srcId="{C7195A15-2D3D-4A31-8ABD-FCBE4971A768}" destId="{702AA86A-249B-4E8C-A81E-02BCC1EB81A3}" srcOrd="10" destOrd="0" presId="urn:microsoft.com/office/officeart/2005/8/layout/orgChart1"/>
    <dgm:cxn modelId="{AC9ACD69-641A-439B-AB8E-64CC0A055FE2}" type="presParOf" srcId="{C7195A15-2D3D-4A31-8ABD-FCBE4971A768}" destId="{84A15EF6-4A0D-4CA8-A143-284FF078DDEC}" srcOrd="11" destOrd="0" presId="urn:microsoft.com/office/officeart/2005/8/layout/orgChart1"/>
    <dgm:cxn modelId="{C91F0C8B-64E6-4096-9D9D-EAEBD2A3D692}" type="presParOf" srcId="{84A15EF6-4A0D-4CA8-A143-284FF078DDEC}" destId="{2814D5C9-AB61-4B6A-AE89-72129C3225CB}" srcOrd="0" destOrd="0" presId="urn:microsoft.com/office/officeart/2005/8/layout/orgChart1"/>
    <dgm:cxn modelId="{3780CAC9-22F9-4976-ABF2-BADFD3AF8E2F}" type="presParOf" srcId="{2814D5C9-AB61-4B6A-AE89-72129C3225CB}" destId="{00147DD0-EDAB-4E6F-8AE5-F21783FF0245}" srcOrd="0" destOrd="0" presId="urn:microsoft.com/office/officeart/2005/8/layout/orgChart1"/>
    <dgm:cxn modelId="{2520C201-648F-46AB-A8A1-FFCD0D861279}" type="presParOf" srcId="{2814D5C9-AB61-4B6A-AE89-72129C3225CB}" destId="{2293565A-5EA9-4B9D-B53D-08D040814CCD}" srcOrd="1" destOrd="0" presId="urn:microsoft.com/office/officeart/2005/8/layout/orgChart1"/>
    <dgm:cxn modelId="{5E710C8A-E618-4F1B-BC96-A480CBE5E725}" type="presParOf" srcId="{84A15EF6-4A0D-4CA8-A143-284FF078DDEC}" destId="{3357F784-F8A4-4A1F-9780-8084F9FBE730}" srcOrd="1" destOrd="0" presId="urn:microsoft.com/office/officeart/2005/8/layout/orgChart1"/>
    <dgm:cxn modelId="{55A54D06-47E9-4DDA-B7C7-EAFB2E482D9D}" type="presParOf" srcId="{84A15EF6-4A0D-4CA8-A143-284FF078DDEC}" destId="{E87E8410-2FA3-4600-BC4A-D9A3B88BE30F}" srcOrd="2" destOrd="0" presId="urn:microsoft.com/office/officeart/2005/8/layout/orgChart1"/>
    <dgm:cxn modelId="{4B93DAEC-224D-4DEB-9F62-013A3930D6B3}" type="presParOf" srcId="{C7195A15-2D3D-4A31-8ABD-FCBE4971A768}" destId="{2E8053C4-EBB1-4A12-86D0-3913FB21A757}" srcOrd="12" destOrd="0" presId="urn:microsoft.com/office/officeart/2005/8/layout/orgChart1"/>
    <dgm:cxn modelId="{027A4327-E498-4224-A0AF-9B2E6A1C7A68}" type="presParOf" srcId="{C7195A15-2D3D-4A31-8ABD-FCBE4971A768}" destId="{BD1BB391-4395-4E4B-A532-C966FE4E74E7}" srcOrd="13" destOrd="0" presId="urn:microsoft.com/office/officeart/2005/8/layout/orgChart1"/>
    <dgm:cxn modelId="{38093BEC-552E-4555-8867-2F0BFC2C81AB}" type="presParOf" srcId="{BD1BB391-4395-4E4B-A532-C966FE4E74E7}" destId="{72859D4D-BF40-4A36-8421-AA25C4DE05B9}" srcOrd="0" destOrd="0" presId="urn:microsoft.com/office/officeart/2005/8/layout/orgChart1"/>
    <dgm:cxn modelId="{2AA27B3F-EDEE-48BC-ACD2-2241DD164E2E}" type="presParOf" srcId="{72859D4D-BF40-4A36-8421-AA25C4DE05B9}" destId="{476CDE72-3290-448A-937F-F2B163EC05B4}" srcOrd="0" destOrd="0" presId="urn:microsoft.com/office/officeart/2005/8/layout/orgChart1"/>
    <dgm:cxn modelId="{58B644AF-5AFE-47D6-B998-F09D62BA8F5B}" type="presParOf" srcId="{72859D4D-BF40-4A36-8421-AA25C4DE05B9}" destId="{82113CF6-DC9F-4147-AB3D-10437765E1CC}" srcOrd="1" destOrd="0" presId="urn:microsoft.com/office/officeart/2005/8/layout/orgChart1"/>
    <dgm:cxn modelId="{73739F04-FB7D-4566-89E2-44C6D4AC845B}" type="presParOf" srcId="{BD1BB391-4395-4E4B-A532-C966FE4E74E7}" destId="{A5189903-F78A-4BBE-929D-DF16C5CEE623}" srcOrd="1" destOrd="0" presId="urn:microsoft.com/office/officeart/2005/8/layout/orgChart1"/>
    <dgm:cxn modelId="{71F82E56-EFF3-407C-958C-671DB13E3533}" type="presParOf" srcId="{BD1BB391-4395-4E4B-A532-C966FE4E74E7}" destId="{807C7039-9762-411D-BC9A-E64F1075BE66}" srcOrd="2" destOrd="0" presId="urn:microsoft.com/office/officeart/2005/8/layout/orgChart1"/>
    <dgm:cxn modelId="{10A97DF5-FC65-457F-AF92-8AA703096B6C}" type="presParOf" srcId="{C7195A15-2D3D-4A31-8ABD-FCBE4971A768}" destId="{71A64FC1-43E3-4441-BDDC-A6F6218FFAE5}" srcOrd="14" destOrd="0" presId="urn:microsoft.com/office/officeart/2005/8/layout/orgChart1"/>
    <dgm:cxn modelId="{66BFC28A-7E86-4819-AAA7-0662E1D8BB5B}" type="presParOf" srcId="{C7195A15-2D3D-4A31-8ABD-FCBE4971A768}" destId="{CD576FF1-B6EA-4CCC-ACDD-12E1AFD496D2}" srcOrd="15" destOrd="0" presId="urn:microsoft.com/office/officeart/2005/8/layout/orgChart1"/>
    <dgm:cxn modelId="{BDA0F692-8BC6-4CF1-85EA-990373FDD578}" type="presParOf" srcId="{CD576FF1-B6EA-4CCC-ACDD-12E1AFD496D2}" destId="{F64059E1-8064-4957-A5DB-A8FEB0FA2D83}" srcOrd="0" destOrd="0" presId="urn:microsoft.com/office/officeart/2005/8/layout/orgChart1"/>
    <dgm:cxn modelId="{48F585C2-C48D-4316-8A78-9FE713F254CE}" type="presParOf" srcId="{F64059E1-8064-4957-A5DB-A8FEB0FA2D83}" destId="{032F31ED-B444-4148-8080-DC8FC7D3DB20}" srcOrd="0" destOrd="0" presId="urn:microsoft.com/office/officeart/2005/8/layout/orgChart1"/>
    <dgm:cxn modelId="{4ADA1BCE-055E-4C6B-B55B-5625F803F43C}" type="presParOf" srcId="{F64059E1-8064-4957-A5DB-A8FEB0FA2D83}" destId="{B6EB0BC2-D975-435A-80DF-860351E2E034}" srcOrd="1" destOrd="0" presId="urn:microsoft.com/office/officeart/2005/8/layout/orgChart1"/>
    <dgm:cxn modelId="{F6F6C323-F874-4F42-B1BD-4732941A009B}" type="presParOf" srcId="{CD576FF1-B6EA-4CCC-ACDD-12E1AFD496D2}" destId="{61AA600D-B872-4359-BAF7-A8884ABFC061}" srcOrd="1" destOrd="0" presId="urn:microsoft.com/office/officeart/2005/8/layout/orgChart1"/>
    <dgm:cxn modelId="{B2CD2E65-5ADA-4F0B-B579-3EDBA751D24E}" type="presParOf" srcId="{CD576FF1-B6EA-4CCC-ACDD-12E1AFD496D2}" destId="{BA6BCA9E-2B65-4024-8661-1DF55DB87742}" srcOrd="2" destOrd="0" presId="urn:microsoft.com/office/officeart/2005/8/layout/orgChart1"/>
    <dgm:cxn modelId="{E5702BC1-2761-4C6A-A433-1EF893B7C011}" type="presParOf" srcId="{C7195A15-2D3D-4A31-8ABD-FCBE4971A768}" destId="{69C3D240-B47E-45AD-8D81-3BE7BB1CD609}" srcOrd="16" destOrd="0" presId="urn:microsoft.com/office/officeart/2005/8/layout/orgChart1"/>
    <dgm:cxn modelId="{B43FE7F4-D03A-4DF1-87E2-B4803391914E}" type="presParOf" srcId="{C7195A15-2D3D-4A31-8ABD-FCBE4971A768}" destId="{D8157009-AC3B-4C97-9490-AA0C7E54A979}" srcOrd="17" destOrd="0" presId="urn:microsoft.com/office/officeart/2005/8/layout/orgChart1"/>
    <dgm:cxn modelId="{AB4A7E3E-7D67-485F-B2DC-3C42848D5118}" type="presParOf" srcId="{D8157009-AC3B-4C97-9490-AA0C7E54A979}" destId="{D4B4296B-9B4B-414F-AACE-B57694F6CB54}" srcOrd="0" destOrd="0" presId="urn:microsoft.com/office/officeart/2005/8/layout/orgChart1"/>
    <dgm:cxn modelId="{E324E310-C27F-4564-A7CB-8D3C2B0A2970}" type="presParOf" srcId="{D4B4296B-9B4B-414F-AACE-B57694F6CB54}" destId="{CFB59F79-8585-4D89-9BBE-BD3D6FBD420B}" srcOrd="0" destOrd="0" presId="urn:microsoft.com/office/officeart/2005/8/layout/orgChart1"/>
    <dgm:cxn modelId="{BE13B2B7-8DC1-4BCD-A90E-0E4A8EF24CC5}" type="presParOf" srcId="{D4B4296B-9B4B-414F-AACE-B57694F6CB54}" destId="{2D1F3317-1344-4DF3-9A91-419718F24DB2}" srcOrd="1" destOrd="0" presId="urn:microsoft.com/office/officeart/2005/8/layout/orgChart1"/>
    <dgm:cxn modelId="{7186B4D9-63C1-4AFC-BF7B-1468000221D8}" type="presParOf" srcId="{D8157009-AC3B-4C97-9490-AA0C7E54A979}" destId="{B58EFFD6-EA19-463F-9328-A78048F336B8}" srcOrd="1" destOrd="0" presId="urn:microsoft.com/office/officeart/2005/8/layout/orgChart1"/>
    <dgm:cxn modelId="{5E947394-0DB2-4A7B-A27E-7A3BD61CFF61}" type="presParOf" srcId="{D8157009-AC3B-4C97-9490-AA0C7E54A979}" destId="{67303927-1094-4698-9D75-DACB94362D01}" srcOrd="2" destOrd="0" presId="urn:microsoft.com/office/officeart/2005/8/layout/orgChart1"/>
    <dgm:cxn modelId="{8560BAC5-4683-414F-BF74-7A3CB73C357C}" type="presParOf" srcId="{391B693B-8879-4D11-9F85-4F46B13A311A}" destId="{53CCF86D-5334-4CC5-9597-AEE170DEF9CD}" srcOrd="2" destOrd="0" presId="urn:microsoft.com/office/officeart/2005/8/layout/orgChart1"/>
    <dgm:cxn modelId="{C7C1A4C6-9A94-4DB8-9911-D263D1AF28A6}" type="presParOf" srcId="{B4DEC101-BFAA-4B35-9D2A-3ACA7B4A3903}" destId="{3A5EC572-BB2A-4807-925F-BB49D5CF9605}" srcOrd="2" destOrd="0" presId="urn:microsoft.com/office/officeart/2005/8/layout/orgChart1"/>
    <dgm:cxn modelId="{DE0F9187-B761-482E-86C1-701322E731A4}" type="presParOf" srcId="{B4DEC101-BFAA-4B35-9D2A-3ACA7B4A3903}" destId="{CBBB8C79-B870-46DE-AF15-4D616648E27C}" srcOrd="3" destOrd="0" presId="urn:microsoft.com/office/officeart/2005/8/layout/orgChart1"/>
    <dgm:cxn modelId="{B9E9671C-915B-400A-81CC-A5ECD35E6856}" type="presParOf" srcId="{CBBB8C79-B870-46DE-AF15-4D616648E27C}" destId="{E072E7B2-74E8-493F-96B0-B10EC31922CF}" srcOrd="0" destOrd="0" presId="urn:microsoft.com/office/officeart/2005/8/layout/orgChart1"/>
    <dgm:cxn modelId="{32834854-5B36-4CD6-B8AB-2E75677E5F63}" type="presParOf" srcId="{E072E7B2-74E8-493F-96B0-B10EC31922CF}" destId="{A5CC8792-8A4C-4FD3-8C69-8685E4E44389}" srcOrd="0" destOrd="0" presId="urn:microsoft.com/office/officeart/2005/8/layout/orgChart1"/>
    <dgm:cxn modelId="{772DA929-DF30-4E19-8ED0-BE0EC2CF8424}" type="presParOf" srcId="{E072E7B2-74E8-493F-96B0-B10EC31922CF}" destId="{90339CA8-6A99-44C0-81B4-059BC602D670}" srcOrd="1" destOrd="0" presId="urn:microsoft.com/office/officeart/2005/8/layout/orgChart1"/>
    <dgm:cxn modelId="{F4CA0431-E9F5-4C02-B60E-2CA271D40089}" type="presParOf" srcId="{CBBB8C79-B870-46DE-AF15-4D616648E27C}" destId="{062389C0-3E79-4ABA-9A7A-559DAB3ADE7F}" srcOrd="1" destOrd="0" presId="urn:microsoft.com/office/officeart/2005/8/layout/orgChart1"/>
    <dgm:cxn modelId="{63C6839E-5657-49C6-ABF9-5849FB529AE1}" type="presParOf" srcId="{062389C0-3E79-4ABA-9A7A-559DAB3ADE7F}" destId="{B247CDC3-71D2-4AB0-A960-C804E4CD11E7}" srcOrd="0" destOrd="0" presId="urn:microsoft.com/office/officeart/2005/8/layout/orgChart1"/>
    <dgm:cxn modelId="{9B836611-FFDC-4661-ACA1-5381D15F96E6}" type="presParOf" srcId="{062389C0-3E79-4ABA-9A7A-559DAB3ADE7F}" destId="{7112ADF9-DFE7-41E7-A7E9-05B33DAF1323}" srcOrd="1" destOrd="0" presId="urn:microsoft.com/office/officeart/2005/8/layout/orgChart1"/>
    <dgm:cxn modelId="{53C2554B-B00B-4F48-BDA5-C66AC9CEF25E}" type="presParOf" srcId="{7112ADF9-DFE7-41E7-A7E9-05B33DAF1323}" destId="{3ECEB68B-96E4-4396-993F-1A2B640742A9}" srcOrd="0" destOrd="0" presId="urn:microsoft.com/office/officeart/2005/8/layout/orgChart1"/>
    <dgm:cxn modelId="{C1A7460E-CD0A-41F8-BE8B-F24AA4899F5F}" type="presParOf" srcId="{3ECEB68B-96E4-4396-993F-1A2B640742A9}" destId="{B0F70718-29A8-48D3-85D7-2251AD7A69B7}" srcOrd="0" destOrd="0" presId="urn:microsoft.com/office/officeart/2005/8/layout/orgChart1"/>
    <dgm:cxn modelId="{89DA7528-F187-41D8-88E5-6E8F56AE2D58}" type="presParOf" srcId="{3ECEB68B-96E4-4396-993F-1A2B640742A9}" destId="{4510B73D-17B1-44F7-A27A-8CE2D7D64684}" srcOrd="1" destOrd="0" presId="urn:microsoft.com/office/officeart/2005/8/layout/orgChart1"/>
    <dgm:cxn modelId="{975A295D-8492-4EF2-AA40-49DF1AE55FA5}" type="presParOf" srcId="{7112ADF9-DFE7-41E7-A7E9-05B33DAF1323}" destId="{48F176E6-D811-4580-8091-BD91537CA447}" srcOrd="1" destOrd="0" presId="urn:microsoft.com/office/officeart/2005/8/layout/orgChart1"/>
    <dgm:cxn modelId="{EE54AF76-F959-4FBA-B1A5-6D636D39B58B}" type="presParOf" srcId="{7112ADF9-DFE7-41E7-A7E9-05B33DAF1323}" destId="{2FFA23F2-2F07-42A2-8C81-1CA012BE56EF}" srcOrd="2" destOrd="0" presId="urn:microsoft.com/office/officeart/2005/8/layout/orgChart1"/>
    <dgm:cxn modelId="{04F576CE-C98D-4C4B-9D2B-15A5CCA75B9F}" type="presParOf" srcId="{062389C0-3E79-4ABA-9A7A-559DAB3ADE7F}" destId="{B1BC1706-7400-4D8E-95CA-4BBC1E1A4C2E}" srcOrd="2" destOrd="0" presId="urn:microsoft.com/office/officeart/2005/8/layout/orgChart1"/>
    <dgm:cxn modelId="{869941DA-8BA7-49F9-8532-C9388FBCC0B0}" type="presParOf" srcId="{062389C0-3E79-4ABA-9A7A-559DAB3ADE7F}" destId="{192585D7-4E31-4C71-9840-83A41EF56F44}" srcOrd="3" destOrd="0" presId="urn:microsoft.com/office/officeart/2005/8/layout/orgChart1"/>
    <dgm:cxn modelId="{F1921E14-584A-4B25-8CE4-0B47D50F6B56}" type="presParOf" srcId="{192585D7-4E31-4C71-9840-83A41EF56F44}" destId="{27656A83-64B6-4E66-B580-7F588E2F5510}" srcOrd="0" destOrd="0" presId="urn:microsoft.com/office/officeart/2005/8/layout/orgChart1"/>
    <dgm:cxn modelId="{123BB5AC-4167-4370-9BB8-BEDA9F68C577}" type="presParOf" srcId="{27656A83-64B6-4E66-B580-7F588E2F5510}" destId="{262CB4B6-BD84-4056-B54A-18F7BF330FBB}" srcOrd="0" destOrd="0" presId="urn:microsoft.com/office/officeart/2005/8/layout/orgChart1"/>
    <dgm:cxn modelId="{24B72570-EBD1-40AE-8C01-C99134B964C8}" type="presParOf" srcId="{27656A83-64B6-4E66-B580-7F588E2F5510}" destId="{32BE1E8C-F670-4C0E-B602-379345F7744A}" srcOrd="1" destOrd="0" presId="urn:microsoft.com/office/officeart/2005/8/layout/orgChart1"/>
    <dgm:cxn modelId="{6CA02666-5706-4A3A-81AA-A1081BABD5A2}" type="presParOf" srcId="{192585D7-4E31-4C71-9840-83A41EF56F44}" destId="{E0AFAC90-C3B3-47F7-ACCE-83A8344511F5}" srcOrd="1" destOrd="0" presId="urn:microsoft.com/office/officeart/2005/8/layout/orgChart1"/>
    <dgm:cxn modelId="{62959A31-4E4B-44C2-A3D9-614AF32C2D7C}" type="presParOf" srcId="{192585D7-4E31-4C71-9840-83A41EF56F44}" destId="{8BE05FED-7AB0-41E3-9996-C74FDA708C33}" srcOrd="2" destOrd="0" presId="urn:microsoft.com/office/officeart/2005/8/layout/orgChart1"/>
    <dgm:cxn modelId="{8CC46994-8BC6-49A4-AB13-B93E41504E1C}" type="presParOf" srcId="{062389C0-3E79-4ABA-9A7A-559DAB3ADE7F}" destId="{ABE7AA35-2CE7-4A60-83FF-72B9276660A2}" srcOrd="4" destOrd="0" presId="urn:microsoft.com/office/officeart/2005/8/layout/orgChart1"/>
    <dgm:cxn modelId="{EC292E38-A747-46C9-9079-54CAF25EC56F}" type="presParOf" srcId="{062389C0-3E79-4ABA-9A7A-559DAB3ADE7F}" destId="{DB594CAC-927C-4317-B06F-3EFE8055C84C}" srcOrd="5" destOrd="0" presId="urn:microsoft.com/office/officeart/2005/8/layout/orgChart1"/>
    <dgm:cxn modelId="{05BBFF48-C7FA-45EA-9A2C-7E9DAD54E6DE}" type="presParOf" srcId="{DB594CAC-927C-4317-B06F-3EFE8055C84C}" destId="{18613077-0B1C-4908-BC98-67B3DE2E02E8}" srcOrd="0" destOrd="0" presId="urn:microsoft.com/office/officeart/2005/8/layout/orgChart1"/>
    <dgm:cxn modelId="{7D32F972-297F-4FBA-B56E-B8871B678D74}" type="presParOf" srcId="{18613077-0B1C-4908-BC98-67B3DE2E02E8}" destId="{E1D050CE-D9C5-414F-84A0-A93C4DEC8BFE}" srcOrd="0" destOrd="0" presId="urn:microsoft.com/office/officeart/2005/8/layout/orgChart1"/>
    <dgm:cxn modelId="{0B3DD94F-BE91-46DA-AB3E-A52FA59B7B4D}" type="presParOf" srcId="{18613077-0B1C-4908-BC98-67B3DE2E02E8}" destId="{8A94283C-7C2F-4CEB-BFCE-581BD6C1B89A}" srcOrd="1" destOrd="0" presId="urn:microsoft.com/office/officeart/2005/8/layout/orgChart1"/>
    <dgm:cxn modelId="{32A20326-DD8D-4D06-A8AF-20114F1403B6}" type="presParOf" srcId="{DB594CAC-927C-4317-B06F-3EFE8055C84C}" destId="{ACF9C551-84DA-4595-9F87-08996F2F4455}" srcOrd="1" destOrd="0" presId="urn:microsoft.com/office/officeart/2005/8/layout/orgChart1"/>
    <dgm:cxn modelId="{8F40AD40-423E-4DF8-A37C-C840E39E529A}" type="presParOf" srcId="{DB594CAC-927C-4317-B06F-3EFE8055C84C}" destId="{48B62FED-3EFE-40E6-AC44-0D49B9796C94}" srcOrd="2" destOrd="0" presId="urn:microsoft.com/office/officeart/2005/8/layout/orgChart1"/>
    <dgm:cxn modelId="{C585824A-973E-43BB-8D05-80436ADEB7FC}" type="presParOf" srcId="{062389C0-3E79-4ABA-9A7A-559DAB3ADE7F}" destId="{8E2E3BE1-923F-48F6-80CB-CF546CB5420B}" srcOrd="6" destOrd="0" presId="urn:microsoft.com/office/officeart/2005/8/layout/orgChart1"/>
    <dgm:cxn modelId="{A97AD217-99ED-4B33-B415-FFC78D14BCFD}" type="presParOf" srcId="{062389C0-3E79-4ABA-9A7A-559DAB3ADE7F}" destId="{5C634170-866F-47C7-9FB4-5FAD503E9838}" srcOrd="7" destOrd="0" presId="urn:microsoft.com/office/officeart/2005/8/layout/orgChart1"/>
    <dgm:cxn modelId="{8C403AC6-1A1C-4207-B5B5-14CFD7F58287}" type="presParOf" srcId="{5C634170-866F-47C7-9FB4-5FAD503E9838}" destId="{27C3A7F7-91CD-4878-9A94-C727B6705BC9}" srcOrd="0" destOrd="0" presId="urn:microsoft.com/office/officeart/2005/8/layout/orgChart1"/>
    <dgm:cxn modelId="{282F4D62-B156-4560-A0C2-9A0636438BC2}" type="presParOf" srcId="{27C3A7F7-91CD-4878-9A94-C727B6705BC9}" destId="{8B836DB8-9EA4-443C-8096-ECFE9587B76B}" srcOrd="0" destOrd="0" presId="urn:microsoft.com/office/officeart/2005/8/layout/orgChart1"/>
    <dgm:cxn modelId="{93520B64-2046-4B14-86E1-793048589850}" type="presParOf" srcId="{27C3A7F7-91CD-4878-9A94-C727B6705BC9}" destId="{55C2D6B1-1B2B-4009-BBEA-E7CE4E43DC13}" srcOrd="1" destOrd="0" presId="urn:microsoft.com/office/officeart/2005/8/layout/orgChart1"/>
    <dgm:cxn modelId="{25B3B6E7-1B7F-4481-AF1C-08527F5221C7}" type="presParOf" srcId="{5C634170-866F-47C7-9FB4-5FAD503E9838}" destId="{793F74F5-78DA-44E2-814B-D0646C85BFD6}" srcOrd="1" destOrd="0" presId="urn:microsoft.com/office/officeart/2005/8/layout/orgChart1"/>
    <dgm:cxn modelId="{2283ED38-BEA0-4875-B4FD-2A6355E741CC}" type="presParOf" srcId="{5C634170-866F-47C7-9FB4-5FAD503E9838}" destId="{FB28178B-1F06-49AB-BC72-F3BB5DC12974}" srcOrd="2" destOrd="0" presId="urn:microsoft.com/office/officeart/2005/8/layout/orgChart1"/>
    <dgm:cxn modelId="{25AE77FF-02F7-4560-94BA-EB5DCB878078}" type="presParOf" srcId="{062389C0-3E79-4ABA-9A7A-559DAB3ADE7F}" destId="{18A9834F-6085-477D-82DF-A2C7C3147A4F}" srcOrd="8" destOrd="0" presId="urn:microsoft.com/office/officeart/2005/8/layout/orgChart1"/>
    <dgm:cxn modelId="{5700D461-9CBA-4A2E-9597-04350DB16E34}" type="presParOf" srcId="{062389C0-3E79-4ABA-9A7A-559DAB3ADE7F}" destId="{C9DE4B25-3BFD-4B96-8977-EF0410034360}" srcOrd="9" destOrd="0" presId="urn:microsoft.com/office/officeart/2005/8/layout/orgChart1"/>
    <dgm:cxn modelId="{5719DC44-5BB5-4EA3-8A4E-7E60B03A6004}" type="presParOf" srcId="{C9DE4B25-3BFD-4B96-8977-EF0410034360}" destId="{C3F64C85-DE06-4CD1-84AB-96E65D8E8579}" srcOrd="0" destOrd="0" presId="urn:microsoft.com/office/officeart/2005/8/layout/orgChart1"/>
    <dgm:cxn modelId="{2CD16B1E-DF55-4AA1-B285-163D425935CD}" type="presParOf" srcId="{C3F64C85-DE06-4CD1-84AB-96E65D8E8579}" destId="{721EB2B9-5F2B-4FFF-9051-0FA5E94303E1}" srcOrd="0" destOrd="0" presId="urn:microsoft.com/office/officeart/2005/8/layout/orgChart1"/>
    <dgm:cxn modelId="{C2374C89-B35A-4B15-A1D3-0D252441B440}" type="presParOf" srcId="{C3F64C85-DE06-4CD1-84AB-96E65D8E8579}" destId="{659DE5AB-DD12-4D2F-AA58-D9C8BD446B9A}" srcOrd="1" destOrd="0" presId="urn:microsoft.com/office/officeart/2005/8/layout/orgChart1"/>
    <dgm:cxn modelId="{221AD3E0-648C-4B5C-84A4-EF01094F0020}" type="presParOf" srcId="{C9DE4B25-3BFD-4B96-8977-EF0410034360}" destId="{8ABEEADF-4C92-46F2-A387-ED01B34D9BA5}" srcOrd="1" destOrd="0" presId="urn:microsoft.com/office/officeart/2005/8/layout/orgChart1"/>
    <dgm:cxn modelId="{22E9E23D-37E8-441B-89FC-A5899F76DCA4}" type="presParOf" srcId="{C9DE4B25-3BFD-4B96-8977-EF0410034360}" destId="{4E5DBD26-0BDF-4A9C-92DC-5B9F76FACE40}" srcOrd="2" destOrd="0" presId="urn:microsoft.com/office/officeart/2005/8/layout/orgChart1"/>
    <dgm:cxn modelId="{B5D0DAEF-9E71-4CD2-B11C-3BCB4A259861}" type="presParOf" srcId="{062389C0-3E79-4ABA-9A7A-559DAB3ADE7F}" destId="{ABC10BBA-6EE0-4094-B1A8-A373A7770A2C}" srcOrd="10" destOrd="0" presId="urn:microsoft.com/office/officeart/2005/8/layout/orgChart1"/>
    <dgm:cxn modelId="{E66F164C-F5D8-4896-AEC8-65A7EC69B717}" type="presParOf" srcId="{062389C0-3E79-4ABA-9A7A-559DAB3ADE7F}" destId="{435A03AF-AC6D-42E8-9A29-337D28EA61E5}" srcOrd="11" destOrd="0" presId="urn:microsoft.com/office/officeart/2005/8/layout/orgChart1"/>
    <dgm:cxn modelId="{0B06D722-5EAF-452A-B6CC-C0203D2D4F44}" type="presParOf" srcId="{435A03AF-AC6D-42E8-9A29-337D28EA61E5}" destId="{BE567AD4-D21F-43EC-8D2A-D8BE46615DC5}" srcOrd="0" destOrd="0" presId="urn:microsoft.com/office/officeart/2005/8/layout/orgChart1"/>
    <dgm:cxn modelId="{DB3CD73B-FE10-43B3-AA60-D4C5855BE4BE}" type="presParOf" srcId="{BE567AD4-D21F-43EC-8D2A-D8BE46615DC5}" destId="{DBA6ADC8-8384-4411-96AB-B3254E4F3E89}" srcOrd="0" destOrd="0" presId="urn:microsoft.com/office/officeart/2005/8/layout/orgChart1"/>
    <dgm:cxn modelId="{2A269F9B-9FD9-4D31-BE35-96183F056AED}" type="presParOf" srcId="{BE567AD4-D21F-43EC-8D2A-D8BE46615DC5}" destId="{8063F67B-F284-40E0-9F14-960F809C5D7B}" srcOrd="1" destOrd="0" presId="urn:microsoft.com/office/officeart/2005/8/layout/orgChart1"/>
    <dgm:cxn modelId="{8C564266-8A16-4902-8549-9AF00F375AE4}" type="presParOf" srcId="{435A03AF-AC6D-42E8-9A29-337D28EA61E5}" destId="{2820B89E-72B7-4A11-8953-9D17161AF7CC}" srcOrd="1" destOrd="0" presId="urn:microsoft.com/office/officeart/2005/8/layout/orgChart1"/>
    <dgm:cxn modelId="{6766746B-B073-49AD-A1A9-A4133489ECB0}" type="presParOf" srcId="{435A03AF-AC6D-42E8-9A29-337D28EA61E5}" destId="{B83B4152-3D82-419A-A195-17B40D44DDFD}" srcOrd="2" destOrd="0" presId="urn:microsoft.com/office/officeart/2005/8/layout/orgChart1"/>
    <dgm:cxn modelId="{92CD9A6A-DCE3-4794-A952-37AB258931B3}" type="presParOf" srcId="{062389C0-3E79-4ABA-9A7A-559DAB3ADE7F}" destId="{F25F51F2-6998-4519-B3A5-2F570B219F85}" srcOrd="12" destOrd="0" presId="urn:microsoft.com/office/officeart/2005/8/layout/orgChart1"/>
    <dgm:cxn modelId="{916AEEC4-7F5C-4647-8855-502A525CF72E}" type="presParOf" srcId="{062389C0-3E79-4ABA-9A7A-559DAB3ADE7F}" destId="{0F4DFAD6-4AFF-49D0-85F2-47C41087B1F9}" srcOrd="13" destOrd="0" presId="urn:microsoft.com/office/officeart/2005/8/layout/orgChart1"/>
    <dgm:cxn modelId="{68A61D80-9319-4B46-A6A7-8ABD4503C7B0}" type="presParOf" srcId="{0F4DFAD6-4AFF-49D0-85F2-47C41087B1F9}" destId="{725B6415-6F6E-40BB-AB92-00D28EEC0EBC}" srcOrd="0" destOrd="0" presId="urn:microsoft.com/office/officeart/2005/8/layout/orgChart1"/>
    <dgm:cxn modelId="{4995785A-22B8-4D24-BCB8-301397E42270}" type="presParOf" srcId="{725B6415-6F6E-40BB-AB92-00D28EEC0EBC}" destId="{7306B4C5-C388-414A-980A-71CF78381FE9}" srcOrd="0" destOrd="0" presId="urn:microsoft.com/office/officeart/2005/8/layout/orgChart1"/>
    <dgm:cxn modelId="{90DC9127-A643-4F0B-9D2F-FD9835EBA329}" type="presParOf" srcId="{725B6415-6F6E-40BB-AB92-00D28EEC0EBC}" destId="{C1666E0C-CF18-4FE9-B622-CA605CFC0499}" srcOrd="1" destOrd="0" presId="urn:microsoft.com/office/officeart/2005/8/layout/orgChart1"/>
    <dgm:cxn modelId="{BDF396D4-4227-43B4-905B-7307A0F7843C}" type="presParOf" srcId="{0F4DFAD6-4AFF-49D0-85F2-47C41087B1F9}" destId="{60CB766D-4EC6-4A6D-A860-8AD56F99F25D}" srcOrd="1" destOrd="0" presId="urn:microsoft.com/office/officeart/2005/8/layout/orgChart1"/>
    <dgm:cxn modelId="{32EFE31D-D82F-408A-9C02-148051ACA47E}" type="presParOf" srcId="{0F4DFAD6-4AFF-49D0-85F2-47C41087B1F9}" destId="{1A682868-73D2-4CF4-8550-D97D72A77A3E}" srcOrd="2" destOrd="0" presId="urn:microsoft.com/office/officeart/2005/8/layout/orgChart1"/>
    <dgm:cxn modelId="{24AD1C47-5761-4AB5-BCD6-814639030EA3}" type="presParOf" srcId="{CBBB8C79-B870-46DE-AF15-4D616648E27C}" destId="{4C13B3EE-B641-4C5D-AF18-4D8FF09B76C0}" srcOrd="2" destOrd="0" presId="urn:microsoft.com/office/officeart/2005/8/layout/orgChart1"/>
    <dgm:cxn modelId="{67D2CD62-FC1E-41E5-B5A6-EB1C2765FD0B}" type="presParOf" srcId="{B4DEC101-BFAA-4B35-9D2A-3ACA7B4A3903}" destId="{7C8BEA8A-4D46-4FCC-BE6F-FC263071D646}" srcOrd="4" destOrd="0" presId="urn:microsoft.com/office/officeart/2005/8/layout/orgChart1"/>
    <dgm:cxn modelId="{B8E5DADE-1926-4709-B2A3-B69493A34479}" type="presParOf" srcId="{B4DEC101-BFAA-4B35-9D2A-3ACA7B4A3903}" destId="{B854A239-A3A4-4C9C-9657-ED3451DA1C2B}" srcOrd="5" destOrd="0" presId="urn:microsoft.com/office/officeart/2005/8/layout/orgChart1"/>
    <dgm:cxn modelId="{59702425-A8F6-4599-BBC0-C7EA638AA9B8}" type="presParOf" srcId="{B854A239-A3A4-4C9C-9657-ED3451DA1C2B}" destId="{90A02645-E665-49DF-BE81-3AD144CBE04B}" srcOrd="0" destOrd="0" presId="urn:microsoft.com/office/officeart/2005/8/layout/orgChart1"/>
    <dgm:cxn modelId="{A5171442-9062-4B7E-B58F-4F9820EC683D}" type="presParOf" srcId="{90A02645-E665-49DF-BE81-3AD144CBE04B}" destId="{5040640F-CB1E-4268-8858-F87C3E72BBA1}" srcOrd="0" destOrd="0" presId="urn:microsoft.com/office/officeart/2005/8/layout/orgChart1"/>
    <dgm:cxn modelId="{6FF65545-F6E3-4A93-895E-FADB7025A00E}" type="presParOf" srcId="{90A02645-E665-49DF-BE81-3AD144CBE04B}" destId="{980D30F1-8049-4993-9C65-EC9A6A97D610}" srcOrd="1" destOrd="0" presId="urn:microsoft.com/office/officeart/2005/8/layout/orgChart1"/>
    <dgm:cxn modelId="{0612EBB7-226D-4FAD-855C-68DFB42D67E4}" type="presParOf" srcId="{B854A239-A3A4-4C9C-9657-ED3451DA1C2B}" destId="{D1D873C2-B3F4-4F73-96D8-092FCD3D4F3E}" srcOrd="1" destOrd="0" presId="urn:microsoft.com/office/officeart/2005/8/layout/orgChart1"/>
    <dgm:cxn modelId="{F484A53C-EE65-4870-9584-6E9FA780DBB3}" type="presParOf" srcId="{D1D873C2-B3F4-4F73-96D8-092FCD3D4F3E}" destId="{97B8D86D-2144-45FF-A86F-F1F3C8F8A8AC}" srcOrd="0" destOrd="0" presId="urn:microsoft.com/office/officeart/2005/8/layout/orgChart1"/>
    <dgm:cxn modelId="{98DD971D-5057-4D2A-B112-C85447917E1A}" type="presParOf" srcId="{D1D873C2-B3F4-4F73-96D8-092FCD3D4F3E}" destId="{BA8F470A-8D1D-4C63-B478-06A7AC96409B}" srcOrd="1" destOrd="0" presId="urn:microsoft.com/office/officeart/2005/8/layout/orgChart1"/>
    <dgm:cxn modelId="{EE02F3DF-6162-41A2-BD6E-92365FFC0AC0}" type="presParOf" srcId="{BA8F470A-8D1D-4C63-B478-06A7AC96409B}" destId="{9D1C23F6-7085-4A13-83DF-FEAF3717A9DA}" srcOrd="0" destOrd="0" presId="urn:microsoft.com/office/officeart/2005/8/layout/orgChart1"/>
    <dgm:cxn modelId="{E5A4C9D0-E97D-4EDE-A6B2-8EF6309399E3}" type="presParOf" srcId="{9D1C23F6-7085-4A13-83DF-FEAF3717A9DA}" destId="{6D930FFF-E21E-4609-856F-152AC40C0901}" srcOrd="0" destOrd="0" presId="urn:microsoft.com/office/officeart/2005/8/layout/orgChart1"/>
    <dgm:cxn modelId="{0A184B3A-3C63-44E9-9E4A-FAE924212A98}" type="presParOf" srcId="{9D1C23F6-7085-4A13-83DF-FEAF3717A9DA}" destId="{9652EF95-9BD5-45B6-B749-3CDEEA19AB00}" srcOrd="1" destOrd="0" presId="urn:microsoft.com/office/officeart/2005/8/layout/orgChart1"/>
    <dgm:cxn modelId="{1267031D-766B-4C2B-85DD-D965564A5E51}" type="presParOf" srcId="{BA8F470A-8D1D-4C63-B478-06A7AC96409B}" destId="{337F988E-BECA-4426-83BE-59B8C4318AC2}" srcOrd="1" destOrd="0" presId="urn:microsoft.com/office/officeart/2005/8/layout/orgChart1"/>
    <dgm:cxn modelId="{A0D770B5-7245-4AA4-A961-743652DAEF6F}" type="presParOf" srcId="{BA8F470A-8D1D-4C63-B478-06A7AC96409B}" destId="{68B675F7-84C1-49CC-9950-54B478E822D2}" srcOrd="2" destOrd="0" presId="urn:microsoft.com/office/officeart/2005/8/layout/orgChart1"/>
    <dgm:cxn modelId="{9B4B8952-A626-4BEB-87AC-2C76CE7DE621}" type="presParOf" srcId="{D1D873C2-B3F4-4F73-96D8-092FCD3D4F3E}" destId="{AD1ED2D2-BFB8-4FD8-95FD-1DD2BC294146}" srcOrd="2" destOrd="0" presId="urn:microsoft.com/office/officeart/2005/8/layout/orgChart1"/>
    <dgm:cxn modelId="{30DE394C-3FBA-477B-8B92-0DF15583DCE3}" type="presParOf" srcId="{D1D873C2-B3F4-4F73-96D8-092FCD3D4F3E}" destId="{6BE41466-5995-4BBC-9D1F-F5BE54D09AF5}" srcOrd="3" destOrd="0" presId="urn:microsoft.com/office/officeart/2005/8/layout/orgChart1"/>
    <dgm:cxn modelId="{524EABAC-C534-4643-A181-37E0CBAF3543}" type="presParOf" srcId="{6BE41466-5995-4BBC-9D1F-F5BE54D09AF5}" destId="{CE8DC7CB-42D7-4C60-9EFB-F9DDE63E6C92}" srcOrd="0" destOrd="0" presId="urn:microsoft.com/office/officeart/2005/8/layout/orgChart1"/>
    <dgm:cxn modelId="{3C052413-E131-45AA-89E8-BA3E3BFD75B4}" type="presParOf" srcId="{CE8DC7CB-42D7-4C60-9EFB-F9DDE63E6C92}" destId="{C030AB0E-31F2-4C14-BB4F-547398C53526}" srcOrd="0" destOrd="0" presId="urn:microsoft.com/office/officeart/2005/8/layout/orgChart1"/>
    <dgm:cxn modelId="{9E2A0EFF-E1E7-4338-9E59-EFC293602222}" type="presParOf" srcId="{CE8DC7CB-42D7-4C60-9EFB-F9DDE63E6C92}" destId="{402F1CFE-282E-4241-B579-9CCDA90C10D6}" srcOrd="1" destOrd="0" presId="urn:microsoft.com/office/officeart/2005/8/layout/orgChart1"/>
    <dgm:cxn modelId="{D2630534-EBC7-4776-B85C-DD6E4FBB8A37}" type="presParOf" srcId="{6BE41466-5995-4BBC-9D1F-F5BE54D09AF5}" destId="{01C67417-6CF7-4E91-AB42-7BBCC49767DA}" srcOrd="1" destOrd="0" presId="urn:microsoft.com/office/officeart/2005/8/layout/orgChart1"/>
    <dgm:cxn modelId="{2BEEB1A8-DBA3-4A2F-BBA2-B3B7F4A56A0E}" type="presParOf" srcId="{6BE41466-5995-4BBC-9D1F-F5BE54D09AF5}" destId="{EF53CEF9-E3DB-4078-91E3-4DC0C2396FA8}" srcOrd="2" destOrd="0" presId="urn:microsoft.com/office/officeart/2005/8/layout/orgChart1"/>
    <dgm:cxn modelId="{631AB1D2-484E-4D1A-B816-8A96488A4D05}" type="presParOf" srcId="{D1D873C2-B3F4-4F73-96D8-092FCD3D4F3E}" destId="{EFDF4377-8CA8-4D31-8600-BD8A334AADAF}" srcOrd="4" destOrd="0" presId="urn:microsoft.com/office/officeart/2005/8/layout/orgChart1"/>
    <dgm:cxn modelId="{5C583864-7F7B-4CE2-85DC-40982B6E626F}" type="presParOf" srcId="{D1D873C2-B3F4-4F73-96D8-092FCD3D4F3E}" destId="{3AC581C0-F911-43B4-9045-CE0652D7E16B}" srcOrd="5" destOrd="0" presId="urn:microsoft.com/office/officeart/2005/8/layout/orgChart1"/>
    <dgm:cxn modelId="{3F6A6B04-C2EE-4E03-B23F-A928744B53EA}" type="presParOf" srcId="{3AC581C0-F911-43B4-9045-CE0652D7E16B}" destId="{FC3BFF83-7C8E-4EF2-B634-3A4A6CAF1B2B}" srcOrd="0" destOrd="0" presId="urn:microsoft.com/office/officeart/2005/8/layout/orgChart1"/>
    <dgm:cxn modelId="{4741FC29-4C5A-4928-966F-6152A167FE30}" type="presParOf" srcId="{FC3BFF83-7C8E-4EF2-B634-3A4A6CAF1B2B}" destId="{8C664A5B-C196-4C1D-B18A-561990E2CDD1}" srcOrd="0" destOrd="0" presId="urn:microsoft.com/office/officeart/2005/8/layout/orgChart1"/>
    <dgm:cxn modelId="{4A34C0B1-ABB5-47B9-82DF-F6C7095056A5}" type="presParOf" srcId="{FC3BFF83-7C8E-4EF2-B634-3A4A6CAF1B2B}" destId="{CDA395C1-B5DF-4402-9584-09755A3B0ED3}" srcOrd="1" destOrd="0" presId="urn:microsoft.com/office/officeart/2005/8/layout/orgChart1"/>
    <dgm:cxn modelId="{31B41C61-B2DD-469E-8F8E-2A36918CC22A}" type="presParOf" srcId="{3AC581C0-F911-43B4-9045-CE0652D7E16B}" destId="{3C83E5A0-C359-4F3D-87F1-9C036D2037EB}" srcOrd="1" destOrd="0" presId="urn:microsoft.com/office/officeart/2005/8/layout/orgChart1"/>
    <dgm:cxn modelId="{AE3AFB0B-A40A-485B-BCE0-384ED3576F6C}" type="presParOf" srcId="{3AC581C0-F911-43B4-9045-CE0652D7E16B}" destId="{907E6202-6EC7-4286-9059-A0725DDF3219}" srcOrd="2" destOrd="0" presId="urn:microsoft.com/office/officeart/2005/8/layout/orgChart1"/>
    <dgm:cxn modelId="{491D5E69-547A-4B9F-B0C8-00633B3E6438}" type="presParOf" srcId="{D1D873C2-B3F4-4F73-96D8-092FCD3D4F3E}" destId="{C21E7DF1-9E9B-4DEA-B629-85A26FDF5A51}" srcOrd="6" destOrd="0" presId="urn:microsoft.com/office/officeart/2005/8/layout/orgChart1"/>
    <dgm:cxn modelId="{742BA0EA-BABA-4138-8C53-72308E51CE0B}" type="presParOf" srcId="{D1D873C2-B3F4-4F73-96D8-092FCD3D4F3E}" destId="{139376A2-D2A4-41E5-96A6-DA2A94259E83}" srcOrd="7" destOrd="0" presId="urn:microsoft.com/office/officeart/2005/8/layout/orgChart1"/>
    <dgm:cxn modelId="{3EC75A1C-3ACA-46D4-938A-A3D2151642F2}" type="presParOf" srcId="{139376A2-D2A4-41E5-96A6-DA2A94259E83}" destId="{11C3DC9D-E335-4D25-A08D-71CEDD953B90}" srcOrd="0" destOrd="0" presId="urn:microsoft.com/office/officeart/2005/8/layout/orgChart1"/>
    <dgm:cxn modelId="{A37CA58E-BEB9-46D9-A478-99A18032D9A7}" type="presParOf" srcId="{11C3DC9D-E335-4D25-A08D-71CEDD953B90}" destId="{7F4EBA53-A975-40B0-9434-551189679C70}" srcOrd="0" destOrd="0" presId="urn:microsoft.com/office/officeart/2005/8/layout/orgChart1"/>
    <dgm:cxn modelId="{01F8692D-BFCB-4641-87C4-3D6C518DAFE8}" type="presParOf" srcId="{11C3DC9D-E335-4D25-A08D-71CEDD953B90}" destId="{B29B0F8E-A6F1-4600-80DE-BD71C7E9D30D}" srcOrd="1" destOrd="0" presId="urn:microsoft.com/office/officeart/2005/8/layout/orgChart1"/>
    <dgm:cxn modelId="{EC9F79A1-FFE0-47DA-A93D-306E29B14603}" type="presParOf" srcId="{139376A2-D2A4-41E5-96A6-DA2A94259E83}" destId="{EBD11EB2-0100-4960-A30C-2A77436EEE73}" srcOrd="1" destOrd="0" presId="urn:microsoft.com/office/officeart/2005/8/layout/orgChart1"/>
    <dgm:cxn modelId="{5978ADA4-6BC4-4D88-94F9-1C7DB3E80215}" type="presParOf" srcId="{139376A2-D2A4-41E5-96A6-DA2A94259E83}" destId="{5A32F8AB-480C-4C18-AF78-E16A3DC70ABE}" srcOrd="2" destOrd="0" presId="urn:microsoft.com/office/officeart/2005/8/layout/orgChart1"/>
    <dgm:cxn modelId="{17CBD91B-B3AA-40C0-81FB-389C2F0450BC}" type="presParOf" srcId="{B854A239-A3A4-4C9C-9657-ED3451DA1C2B}" destId="{DFD43E0E-1812-49F9-92C8-FF31289F85B9}" srcOrd="2" destOrd="0" presId="urn:microsoft.com/office/officeart/2005/8/layout/orgChart1"/>
    <dgm:cxn modelId="{BA3FF5E2-F4AD-4145-8D13-579716537DC8}" type="presParOf" srcId="{B4DEC101-BFAA-4B35-9D2A-3ACA7B4A3903}" destId="{250283B5-A5DD-4943-ABB7-3C6C08AD0379}" srcOrd="6" destOrd="0" presId="urn:microsoft.com/office/officeart/2005/8/layout/orgChart1"/>
    <dgm:cxn modelId="{48CAE8AC-901A-4279-9526-FAECA2F58889}" type="presParOf" srcId="{B4DEC101-BFAA-4B35-9D2A-3ACA7B4A3903}" destId="{36CC8025-7B64-4B08-8682-ECB10498E5AE}" srcOrd="7" destOrd="0" presId="urn:microsoft.com/office/officeart/2005/8/layout/orgChart1"/>
    <dgm:cxn modelId="{B87DB0FD-7B28-4B67-8340-EAC09F2004FE}" type="presParOf" srcId="{36CC8025-7B64-4B08-8682-ECB10498E5AE}" destId="{5E680AC4-7B55-4FA0-AD38-47BDE9DD0439}" srcOrd="0" destOrd="0" presId="urn:microsoft.com/office/officeart/2005/8/layout/orgChart1"/>
    <dgm:cxn modelId="{A7C1F34C-DD27-4355-8155-0D5E4E6549B8}" type="presParOf" srcId="{5E680AC4-7B55-4FA0-AD38-47BDE9DD0439}" destId="{6CC55C5E-030A-46DE-86B2-3E2DB7BB9AA8}" srcOrd="0" destOrd="0" presId="urn:microsoft.com/office/officeart/2005/8/layout/orgChart1"/>
    <dgm:cxn modelId="{D4A14024-5550-4838-9779-B33006CFF7E0}" type="presParOf" srcId="{5E680AC4-7B55-4FA0-AD38-47BDE9DD0439}" destId="{21F04321-3D2A-4429-B412-8A021340603D}" srcOrd="1" destOrd="0" presId="urn:microsoft.com/office/officeart/2005/8/layout/orgChart1"/>
    <dgm:cxn modelId="{18E4A32E-AF54-48B8-A55E-EB5A9B239CD0}" type="presParOf" srcId="{36CC8025-7B64-4B08-8682-ECB10498E5AE}" destId="{14DC88EC-4E1E-4209-AE6B-A63908F9A9B8}" srcOrd="1" destOrd="0" presId="urn:microsoft.com/office/officeart/2005/8/layout/orgChart1"/>
    <dgm:cxn modelId="{FE496DE2-1C5F-4F33-9B8E-B54775940EA6}" type="presParOf" srcId="{14DC88EC-4E1E-4209-AE6B-A63908F9A9B8}" destId="{28385871-3B12-4112-B997-98D64516446B}" srcOrd="0" destOrd="0" presId="urn:microsoft.com/office/officeart/2005/8/layout/orgChart1"/>
    <dgm:cxn modelId="{F7E6BDBD-3BCE-489D-9C41-2387A97106B5}" type="presParOf" srcId="{14DC88EC-4E1E-4209-AE6B-A63908F9A9B8}" destId="{5574F500-014F-414B-B7E8-7FAE4AD06406}" srcOrd="1" destOrd="0" presId="urn:microsoft.com/office/officeart/2005/8/layout/orgChart1"/>
    <dgm:cxn modelId="{E314E42F-46F4-45FB-9AF0-8F50F0B902A4}" type="presParOf" srcId="{5574F500-014F-414B-B7E8-7FAE4AD06406}" destId="{763BB8CD-ECE7-4B1D-B813-398D4DE86D6E}" srcOrd="0" destOrd="0" presId="urn:microsoft.com/office/officeart/2005/8/layout/orgChart1"/>
    <dgm:cxn modelId="{8D29EABD-69DC-4136-80B8-EDA9E110B86F}" type="presParOf" srcId="{763BB8CD-ECE7-4B1D-B813-398D4DE86D6E}" destId="{524F662D-19D3-420B-A1A7-7202B760C712}" srcOrd="0" destOrd="0" presId="urn:microsoft.com/office/officeart/2005/8/layout/orgChart1"/>
    <dgm:cxn modelId="{A9EC3E68-F43C-4673-82AC-BEAB1CFA601D}" type="presParOf" srcId="{763BB8CD-ECE7-4B1D-B813-398D4DE86D6E}" destId="{BAF2533A-881D-4AC1-92B8-4E86E105AAF2}" srcOrd="1" destOrd="0" presId="urn:microsoft.com/office/officeart/2005/8/layout/orgChart1"/>
    <dgm:cxn modelId="{5C3B0BC5-F5B5-434B-8B6D-5CA83731622B}" type="presParOf" srcId="{5574F500-014F-414B-B7E8-7FAE4AD06406}" destId="{2B64FFE8-F41A-4E15-96D6-79D87A17CEBC}" srcOrd="1" destOrd="0" presId="urn:microsoft.com/office/officeart/2005/8/layout/orgChart1"/>
    <dgm:cxn modelId="{51E7A53F-9D35-48FA-B9E6-C89FA0418755}" type="presParOf" srcId="{5574F500-014F-414B-B7E8-7FAE4AD06406}" destId="{3D669E8F-837E-45B8-A664-7A23E8852CBE}" srcOrd="2" destOrd="0" presId="urn:microsoft.com/office/officeart/2005/8/layout/orgChart1"/>
    <dgm:cxn modelId="{315B063D-4917-4F46-A1A5-27BA687FCDEF}" type="presParOf" srcId="{14DC88EC-4E1E-4209-AE6B-A63908F9A9B8}" destId="{8CBE1289-4AEF-476F-A26D-D978B712BB4A}" srcOrd="2" destOrd="0" presId="urn:microsoft.com/office/officeart/2005/8/layout/orgChart1"/>
    <dgm:cxn modelId="{C43C1BF5-B91F-4895-8456-CF8C5AC84D67}" type="presParOf" srcId="{14DC88EC-4E1E-4209-AE6B-A63908F9A9B8}" destId="{6FBAF846-1A34-4ABD-971B-6F6B506B593E}" srcOrd="3" destOrd="0" presId="urn:microsoft.com/office/officeart/2005/8/layout/orgChart1"/>
    <dgm:cxn modelId="{5AFA0960-1FDE-4BB2-9E18-53CD3030EF84}" type="presParOf" srcId="{6FBAF846-1A34-4ABD-971B-6F6B506B593E}" destId="{90C77350-4845-4123-99E4-EB55EB7E74BF}" srcOrd="0" destOrd="0" presId="urn:microsoft.com/office/officeart/2005/8/layout/orgChart1"/>
    <dgm:cxn modelId="{0AD2AD03-EEAF-480E-9137-F619C0F45571}" type="presParOf" srcId="{90C77350-4845-4123-99E4-EB55EB7E74BF}" destId="{D95718B3-FD93-4B56-8A35-162E099AEC7C}" srcOrd="0" destOrd="0" presId="urn:microsoft.com/office/officeart/2005/8/layout/orgChart1"/>
    <dgm:cxn modelId="{F31A2AB8-CEA1-4912-B9A5-22F2D12E000A}" type="presParOf" srcId="{90C77350-4845-4123-99E4-EB55EB7E74BF}" destId="{206F194D-4ECD-457E-A879-C015E356B4D7}" srcOrd="1" destOrd="0" presId="urn:microsoft.com/office/officeart/2005/8/layout/orgChart1"/>
    <dgm:cxn modelId="{E29E0A6D-5EBD-4368-9CB2-F92B6F9704C5}" type="presParOf" srcId="{6FBAF846-1A34-4ABD-971B-6F6B506B593E}" destId="{8C48C81F-03C5-4266-BBE9-1EB4CECDC027}" srcOrd="1" destOrd="0" presId="urn:microsoft.com/office/officeart/2005/8/layout/orgChart1"/>
    <dgm:cxn modelId="{2C7B02E1-AC31-4E30-9352-8EB036083593}" type="presParOf" srcId="{6FBAF846-1A34-4ABD-971B-6F6B506B593E}" destId="{24734378-BC4A-434B-8E03-E62917DE4C74}" srcOrd="2" destOrd="0" presId="urn:microsoft.com/office/officeart/2005/8/layout/orgChart1"/>
    <dgm:cxn modelId="{8F118984-8EF3-4F46-90B2-CB6038016A11}" type="presParOf" srcId="{14DC88EC-4E1E-4209-AE6B-A63908F9A9B8}" destId="{8E9DA0E2-60DD-402C-A1B7-48CF92D097B7}" srcOrd="4" destOrd="0" presId="urn:microsoft.com/office/officeart/2005/8/layout/orgChart1"/>
    <dgm:cxn modelId="{ACCF6C67-2755-4174-803B-8C20F895599B}" type="presParOf" srcId="{14DC88EC-4E1E-4209-AE6B-A63908F9A9B8}" destId="{84ED445D-5B6E-4D64-A9C9-0C4114737A46}" srcOrd="5" destOrd="0" presId="urn:microsoft.com/office/officeart/2005/8/layout/orgChart1"/>
    <dgm:cxn modelId="{428F9D99-B8B8-43F4-B885-9F03411E4988}" type="presParOf" srcId="{84ED445D-5B6E-4D64-A9C9-0C4114737A46}" destId="{9271ED69-EE9B-4874-876D-F2D80E8B3839}" srcOrd="0" destOrd="0" presId="urn:microsoft.com/office/officeart/2005/8/layout/orgChart1"/>
    <dgm:cxn modelId="{9065BEB0-1E63-43A9-8FE1-AD59BF99B716}" type="presParOf" srcId="{9271ED69-EE9B-4874-876D-F2D80E8B3839}" destId="{B3F4F474-C0EE-4C60-BA05-BD4FBF9BEDC9}" srcOrd="0" destOrd="0" presId="urn:microsoft.com/office/officeart/2005/8/layout/orgChart1"/>
    <dgm:cxn modelId="{9BAFE4CD-3467-4F38-A758-8B7590BE5F74}" type="presParOf" srcId="{9271ED69-EE9B-4874-876D-F2D80E8B3839}" destId="{92B20ED0-C0DC-4DCA-87D8-C9D8A3AB4A6C}" srcOrd="1" destOrd="0" presId="urn:microsoft.com/office/officeart/2005/8/layout/orgChart1"/>
    <dgm:cxn modelId="{A2389483-CFB3-4643-8CDC-6371AE25D426}" type="presParOf" srcId="{84ED445D-5B6E-4D64-A9C9-0C4114737A46}" destId="{064DE8E8-03A9-4E5D-91BE-384041A943C0}" srcOrd="1" destOrd="0" presId="urn:microsoft.com/office/officeart/2005/8/layout/orgChart1"/>
    <dgm:cxn modelId="{46DA5527-C137-4C52-A72D-8DB3248A1FD8}" type="presParOf" srcId="{84ED445D-5B6E-4D64-A9C9-0C4114737A46}" destId="{34550088-7086-4F14-9FF1-563903CED429}" srcOrd="2" destOrd="0" presId="urn:microsoft.com/office/officeart/2005/8/layout/orgChart1"/>
    <dgm:cxn modelId="{80E6BA24-C337-46D3-967F-8F5795155648}" type="presParOf" srcId="{14DC88EC-4E1E-4209-AE6B-A63908F9A9B8}" destId="{DCCB622E-01B7-4B46-8D7E-4E95296C5561}" srcOrd="6" destOrd="0" presId="urn:microsoft.com/office/officeart/2005/8/layout/orgChart1"/>
    <dgm:cxn modelId="{C501026C-885F-4E4D-AA7F-E7C55AA04A42}" type="presParOf" srcId="{14DC88EC-4E1E-4209-AE6B-A63908F9A9B8}" destId="{73F0D3DA-D124-4C7E-826B-C1FEB1DDF19D}" srcOrd="7" destOrd="0" presId="urn:microsoft.com/office/officeart/2005/8/layout/orgChart1"/>
    <dgm:cxn modelId="{45F8D55B-7BA5-4E97-B0BD-1FBF5E535526}" type="presParOf" srcId="{73F0D3DA-D124-4C7E-826B-C1FEB1DDF19D}" destId="{F37C744E-6415-4D66-AAF9-8F14D38FC21B}" srcOrd="0" destOrd="0" presId="urn:microsoft.com/office/officeart/2005/8/layout/orgChart1"/>
    <dgm:cxn modelId="{1465B57B-6347-44D5-A084-2DBD6E78DF7B}" type="presParOf" srcId="{F37C744E-6415-4D66-AAF9-8F14D38FC21B}" destId="{16EDBB62-EDB7-4028-A3A2-883034DA095E}" srcOrd="0" destOrd="0" presId="urn:microsoft.com/office/officeart/2005/8/layout/orgChart1"/>
    <dgm:cxn modelId="{765942A5-9876-4040-88BE-1CADCA9C34A1}" type="presParOf" srcId="{F37C744E-6415-4D66-AAF9-8F14D38FC21B}" destId="{42CF06FA-E012-41EE-8967-87EDBA5817F1}" srcOrd="1" destOrd="0" presId="urn:microsoft.com/office/officeart/2005/8/layout/orgChart1"/>
    <dgm:cxn modelId="{73F8531D-7DDD-4304-B052-2777675B0141}" type="presParOf" srcId="{73F0D3DA-D124-4C7E-826B-C1FEB1DDF19D}" destId="{765FF732-C13F-4383-A1CF-2C6DB45832DF}" srcOrd="1" destOrd="0" presId="urn:microsoft.com/office/officeart/2005/8/layout/orgChart1"/>
    <dgm:cxn modelId="{1B1BC651-4B5B-4789-B437-F2F8C1E62752}" type="presParOf" srcId="{73F0D3DA-D124-4C7E-826B-C1FEB1DDF19D}" destId="{D6D06AD3-030D-4BAA-8832-B63767A94AF8}" srcOrd="2" destOrd="0" presId="urn:microsoft.com/office/officeart/2005/8/layout/orgChart1"/>
    <dgm:cxn modelId="{D81F2000-BE00-421A-81E4-718B73E27068}" type="presParOf" srcId="{36CC8025-7B64-4B08-8682-ECB10498E5AE}" destId="{5F254104-797D-4D64-B885-5E311CC0E933}" srcOrd="2" destOrd="0" presId="urn:microsoft.com/office/officeart/2005/8/layout/orgChart1"/>
    <dgm:cxn modelId="{CBEB420A-A2D5-43D7-AF9C-1EDA0706FD72}" type="presParOf" srcId="{B4DEC101-BFAA-4B35-9D2A-3ACA7B4A3903}" destId="{19C6EFBB-6565-47FF-89B7-B53E6C4CEBDD}" srcOrd="8" destOrd="0" presId="urn:microsoft.com/office/officeart/2005/8/layout/orgChart1"/>
    <dgm:cxn modelId="{B7E6453B-78FD-495C-801A-91B91B1DFEF0}" type="presParOf" srcId="{B4DEC101-BFAA-4B35-9D2A-3ACA7B4A3903}" destId="{FC4C435F-B66E-47DE-AE67-81EC616F5547}" srcOrd="9" destOrd="0" presId="urn:microsoft.com/office/officeart/2005/8/layout/orgChart1"/>
    <dgm:cxn modelId="{57E3648D-73C4-4C70-9A36-0D187BA676EA}" type="presParOf" srcId="{FC4C435F-B66E-47DE-AE67-81EC616F5547}" destId="{6E107B4D-92D0-4950-8904-1C51D1B458EF}" srcOrd="0" destOrd="0" presId="urn:microsoft.com/office/officeart/2005/8/layout/orgChart1"/>
    <dgm:cxn modelId="{49BEDDAC-DC8D-4B12-81E9-8DAC7C2FC118}" type="presParOf" srcId="{6E107B4D-92D0-4950-8904-1C51D1B458EF}" destId="{671D9DDB-D638-47FA-B5F5-C16F5197F411}" srcOrd="0" destOrd="0" presId="urn:microsoft.com/office/officeart/2005/8/layout/orgChart1"/>
    <dgm:cxn modelId="{DCA192D2-6AB8-4FA3-8161-5F54A06D9380}" type="presParOf" srcId="{6E107B4D-92D0-4950-8904-1C51D1B458EF}" destId="{A06D472D-82F3-4179-8C95-343391DA28F6}" srcOrd="1" destOrd="0" presId="urn:microsoft.com/office/officeart/2005/8/layout/orgChart1"/>
    <dgm:cxn modelId="{3582E80A-E905-4E80-B5EA-84A4E5A46FD3}" type="presParOf" srcId="{FC4C435F-B66E-47DE-AE67-81EC616F5547}" destId="{60B4E69C-ECF2-48D8-9E07-149E43153A35}" srcOrd="1" destOrd="0" presId="urn:microsoft.com/office/officeart/2005/8/layout/orgChart1"/>
    <dgm:cxn modelId="{868858A9-A309-45BB-A727-DCB22632EBA7}" type="presParOf" srcId="{60B4E69C-ECF2-48D8-9E07-149E43153A35}" destId="{F2850BC2-9475-4B9F-BDA2-AA19F8DDE998}" srcOrd="0" destOrd="0" presId="urn:microsoft.com/office/officeart/2005/8/layout/orgChart1"/>
    <dgm:cxn modelId="{86C942E9-5B8A-40A7-BFF6-16E6F0201E64}" type="presParOf" srcId="{60B4E69C-ECF2-48D8-9E07-149E43153A35}" destId="{BE93A913-6DC2-4E2F-B168-DC21C7EB9E03}" srcOrd="1" destOrd="0" presId="urn:microsoft.com/office/officeart/2005/8/layout/orgChart1"/>
    <dgm:cxn modelId="{1F7732F9-431E-48C4-AAB6-2063A1216075}" type="presParOf" srcId="{BE93A913-6DC2-4E2F-B168-DC21C7EB9E03}" destId="{CE55F37D-AFCB-415E-9A44-0356D3AAF545}" srcOrd="0" destOrd="0" presId="urn:microsoft.com/office/officeart/2005/8/layout/orgChart1"/>
    <dgm:cxn modelId="{9762A271-1C9F-4BD1-A6F8-8E0020915099}" type="presParOf" srcId="{CE55F37D-AFCB-415E-9A44-0356D3AAF545}" destId="{DC58BA5D-C875-4AF3-BB12-3874258E408D}" srcOrd="0" destOrd="0" presId="urn:microsoft.com/office/officeart/2005/8/layout/orgChart1"/>
    <dgm:cxn modelId="{2B13D3EE-DB93-4ACE-B96D-EDF00D3A019D}" type="presParOf" srcId="{CE55F37D-AFCB-415E-9A44-0356D3AAF545}" destId="{438B9E4C-890B-49C2-83F5-67454D83AD0F}" srcOrd="1" destOrd="0" presId="urn:microsoft.com/office/officeart/2005/8/layout/orgChart1"/>
    <dgm:cxn modelId="{6AA621D7-B695-4931-91DC-8A5CB4A699ED}" type="presParOf" srcId="{BE93A913-6DC2-4E2F-B168-DC21C7EB9E03}" destId="{24F6E41D-4989-4DEC-A641-100D95C92144}" srcOrd="1" destOrd="0" presId="urn:microsoft.com/office/officeart/2005/8/layout/orgChart1"/>
    <dgm:cxn modelId="{582906BE-35A7-46D5-901D-D98B162B1AAA}" type="presParOf" srcId="{BE93A913-6DC2-4E2F-B168-DC21C7EB9E03}" destId="{C9571C38-4C8D-4633-AFA1-95D2D9AD74EB}" srcOrd="2" destOrd="0" presId="urn:microsoft.com/office/officeart/2005/8/layout/orgChart1"/>
    <dgm:cxn modelId="{BC04DD4B-5ADD-40A1-A747-9E3634CE6614}" type="presParOf" srcId="{60B4E69C-ECF2-48D8-9E07-149E43153A35}" destId="{62E94D45-A38C-4510-8F77-2C7CABD6FD05}" srcOrd="2" destOrd="0" presId="urn:microsoft.com/office/officeart/2005/8/layout/orgChart1"/>
    <dgm:cxn modelId="{D6C656E0-0E40-4F1F-8824-112B6C1386E6}" type="presParOf" srcId="{60B4E69C-ECF2-48D8-9E07-149E43153A35}" destId="{0C631497-3346-456E-8CDE-999E94641918}" srcOrd="3" destOrd="0" presId="urn:microsoft.com/office/officeart/2005/8/layout/orgChart1"/>
    <dgm:cxn modelId="{5F29C4A1-A8A4-44A1-9F68-AFEAE2D936A2}" type="presParOf" srcId="{0C631497-3346-456E-8CDE-999E94641918}" destId="{27FDCD83-1618-4B31-9DC3-4D008C6DBB63}" srcOrd="0" destOrd="0" presId="urn:microsoft.com/office/officeart/2005/8/layout/orgChart1"/>
    <dgm:cxn modelId="{97C8EF42-BC92-4275-8FBF-24F53A7B2967}" type="presParOf" srcId="{27FDCD83-1618-4B31-9DC3-4D008C6DBB63}" destId="{5A300110-BBEE-4A18-9403-13331D4F1114}" srcOrd="0" destOrd="0" presId="urn:microsoft.com/office/officeart/2005/8/layout/orgChart1"/>
    <dgm:cxn modelId="{0DA2BDC8-8087-4A5F-8792-F4BE668C2A82}" type="presParOf" srcId="{27FDCD83-1618-4B31-9DC3-4D008C6DBB63}" destId="{D0BCF1E6-A471-4B6B-B837-D52867CFE306}" srcOrd="1" destOrd="0" presId="urn:microsoft.com/office/officeart/2005/8/layout/orgChart1"/>
    <dgm:cxn modelId="{A825B575-C98A-4570-B5B2-CCE571BFCD77}" type="presParOf" srcId="{0C631497-3346-456E-8CDE-999E94641918}" destId="{D8F8D05C-2701-436D-80AC-3DABCA26E791}" srcOrd="1" destOrd="0" presId="urn:microsoft.com/office/officeart/2005/8/layout/orgChart1"/>
    <dgm:cxn modelId="{A3D8582C-2912-45E4-A5B4-A3734FFFC564}" type="presParOf" srcId="{0C631497-3346-456E-8CDE-999E94641918}" destId="{F7A97A6E-C1DB-4A1F-B8E2-3156470A4DA0}" srcOrd="2" destOrd="0" presId="urn:microsoft.com/office/officeart/2005/8/layout/orgChart1"/>
    <dgm:cxn modelId="{6EA9FF71-99B9-4177-894E-A77638C942CF}" type="presParOf" srcId="{60B4E69C-ECF2-48D8-9E07-149E43153A35}" destId="{0F2A3B2A-CB58-44C1-AA4D-965AA4E5F801}" srcOrd="4" destOrd="0" presId="urn:microsoft.com/office/officeart/2005/8/layout/orgChart1"/>
    <dgm:cxn modelId="{317BFA8B-7052-4FD5-B363-962E67494768}" type="presParOf" srcId="{60B4E69C-ECF2-48D8-9E07-149E43153A35}" destId="{5950C84F-13B6-4B30-95EF-F2AC4731EC74}" srcOrd="5" destOrd="0" presId="urn:microsoft.com/office/officeart/2005/8/layout/orgChart1"/>
    <dgm:cxn modelId="{4FBEFA03-1DC6-49C3-8FA5-FC870625E864}" type="presParOf" srcId="{5950C84F-13B6-4B30-95EF-F2AC4731EC74}" destId="{E25AA89D-5D75-4888-99CE-AE32B445CF79}" srcOrd="0" destOrd="0" presId="urn:microsoft.com/office/officeart/2005/8/layout/orgChart1"/>
    <dgm:cxn modelId="{81952DC7-2546-47E4-9006-33C435C6C7C9}" type="presParOf" srcId="{E25AA89D-5D75-4888-99CE-AE32B445CF79}" destId="{7A13505D-A18A-454A-8BBB-FC96E81668C5}" srcOrd="0" destOrd="0" presId="urn:microsoft.com/office/officeart/2005/8/layout/orgChart1"/>
    <dgm:cxn modelId="{19F89D52-6761-4B32-A103-3621A925186B}" type="presParOf" srcId="{E25AA89D-5D75-4888-99CE-AE32B445CF79}" destId="{8CA3CB43-FBF1-4CFA-89F7-EB34B4F08376}" srcOrd="1" destOrd="0" presId="urn:microsoft.com/office/officeart/2005/8/layout/orgChart1"/>
    <dgm:cxn modelId="{229A2ED0-D2F9-4355-AD3B-D22045DAF4F4}" type="presParOf" srcId="{5950C84F-13B6-4B30-95EF-F2AC4731EC74}" destId="{E2F1590D-2938-48C2-BCEA-561193CBB5D3}" srcOrd="1" destOrd="0" presId="urn:microsoft.com/office/officeart/2005/8/layout/orgChart1"/>
    <dgm:cxn modelId="{C55C6413-9E67-4BE3-8BC7-07AD2FEED10A}" type="presParOf" srcId="{5950C84F-13B6-4B30-95EF-F2AC4731EC74}" destId="{C395B140-DA81-4051-A13F-36ABA16FE1CA}" srcOrd="2" destOrd="0" presId="urn:microsoft.com/office/officeart/2005/8/layout/orgChart1"/>
    <dgm:cxn modelId="{3219D80F-69DA-4068-925B-A7AE78A1C5CE}" type="presParOf" srcId="{60B4E69C-ECF2-48D8-9E07-149E43153A35}" destId="{1BFE45E6-C3C2-480F-8063-AF754FCCE3AC}" srcOrd="6" destOrd="0" presId="urn:microsoft.com/office/officeart/2005/8/layout/orgChart1"/>
    <dgm:cxn modelId="{0B3592C2-456B-4A72-BE02-19202A3A6B7A}" type="presParOf" srcId="{60B4E69C-ECF2-48D8-9E07-149E43153A35}" destId="{83BE0DF8-8880-4455-9B5A-347BA2A9D85B}" srcOrd="7" destOrd="0" presId="urn:microsoft.com/office/officeart/2005/8/layout/orgChart1"/>
    <dgm:cxn modelId="{8DA368F2-B64B-487C-9404-BADF2FB56587}" type="presParOf" srcId="{83BE0DF8-8880-4455-9B5A-347BA2A9D85B}" destId="{6A79F84F-C56F-47A5-8427-2B33FA3412A5}" srcOrd="0" destOrd="0" presId="urn:microsoft.com/office/officeart/2005/8/layout/orgChart1"/>
    <dgm:cxn modelId="{0CC55380-6B06-4ECE-A4D2-D0537AC3A2D3}" type="presParOf" srcId="{6A79F84F-C56F-47A5-8427-2B33FA3412A5}" destId="{DC2349D7-16DF-4659-94F9-A12775D36AE9}" srcOrd="0" destOrd="0" presId="urn:microsoft.com/office/officeart/2005/8/layout/orgChart1"/>
    <dgm:cxn modelId="{D1BDFEFA-E1F2-42B4-92F4-7C5422A1A462}" type="presParOf" srcId="{6A79F84F-C56F-47A5-8427-2B33FA3412A5}" destId="{81B51C4A-7AE6-45DA-8E65-113C94E05651}" srcOrd="1" destOrd="0" presId="urn:microsoft.com/office/officeart/2005/8/layout/orgChart1"/>
    <dgm:cxn modelId="{F0EB433A-6EFE-414E-A4F7-0B967510305F}" type="presParOf" srcId="{83BE0DF8-8880-4455-9B5A-347BA2A9D85B}" destId="{B07A0607-007F-40E1-B178-82AE73EBEA6B}" srcOrd="1" destOrd="0" presId="urn:microsoft.com/office/officeart/2005/8/layout/orgChart1"/>
    <dgm:cxn modelId="{AD60541C-953E-461D-8E4D-FA298CE57AE3}" type="presParOf" srcId="{83BE0DF8-8880-4455-9B5A-347BA2A9D85B}" destId="{B52DF22C-C702-4E82-8A6E-DD575775A13B}" srcOrd="2" destOrd="0" presId="urn:microsoft.com/office/officeart/2005/8/layout/orgChart1"/>
    <dgm:cxn modelId="{8C80927E-8FA9-4998-B51C-318677DE59EA}" type="presParOf" srcId="{FC4C435F-B66E-47DE-AE67-81EC616F5547}" destId="{ACB9203C-ECED-4045-8807-8E5624804B6C}" srcOrd="2" destOrd="0" presId="urn:microsoft.com/office/officeart/2005/8/layout/orgChart1"/>
    <dgm:cxn modelId="{48574597-7A2E-45A4-B652-70E37AEAA1A0}" type="presParOf" srcId="{B4DEC101-BFAA-4B35-9D2A-3ACA7B4A3903}" destId="{DCEE3BA0-E00A-4461-8B8B-6FCF24E39389}" srcOrd="10" destOrd="0" presId="urn:microsoft.com/office/officeart/2005/8/layout/orgChart1"/>
    <dgm:cxn modelId="{32C1B1DE-3952-4ADE-916A-CE6B088CD389}" type="presParOf" srcId="{B4DEC101-BFAA-4B35-9D2A-3ACA7B4A3903}" destId="{2B0BB38A-6190-4D6A-AD8F-66D2538101FE}" srcOrd="11" destOrd="0" presId="urn:microsoft.com/office/officeart/2005/8/layout/orgChart1"/>
    <dgm:cxn modelId="{ADE8C6E4-7D5A-4994-B65C-F110793383F3}" type="presParOf" srcId="{2B0BB38A-6190-4D6A-AD8F-66D2538101FE}" destId="{32FABF3B-033C-43ED-9D52-065A3FDDC60A}" srcOrd="0" destOrd="0" presId="urn:microsoft.com/office/officeart/2005/8/layout/orgChart1"/>
    <dgm:cxn modelId="{00EEEE8B-6A49-4C89-A544-33C4E239F8D5}" type="presParOf" srcId="{32FABF3B-033C-43ED-9D52-065A3FDDC60A}" destId="{370C695A-599E-40C0-8A42-33A5D2972CDA}" srcOrd="0" destOrd="0" presId="urn:microsoft.com/office/officeart/2005/8/layout/orgChart1"/>
    <dgm:cxn modelId="{C56578D6-AAEE-4EAD-8B01-5396EEF45E99}" type="presParOf" srcId="{32FABF3B-033C-43ED-9D52-065A3FDDC60A}" destId="{46781EE4-5D0F-4BB5-A303-8B299755839F}" srcOrd="1" destOrd="0" presId="urn:microsoft.com/office/officeart/2005/8/layout/orgChart1"/>
    <dgm:cxn modelId="{1BEBDF72-9320-4660-885B-1BE4EE53A1FC}" type="presParOf" srcId="{2B0BB38A-6190-4D6A-AD8F-66D2538101FE}" destId="{A69F6317-2C20-4C30-8F80-2840689D3E30}" srcOrd="1" destOrd="0" presId="urn:microsoft.com/office/officeart/2005/8/layout/orgChart1"/>
    <dgm:cxn modelId="{5A751C27-838B-40AC-957E-A9F09DB89F63}" type="presParOf" srcId="{A69F6317-2C20-4C30-8F80-2840689D3E30}" destId="{35E1FAB6-A167-42BE-9E36-819AA8FE6989}" srcOrd="0" destOrd="0" presId="urn:microsoft.com/office/officeart/2005/8/layout/orgChart1"/>
    <dgm:cxn modelId="{87C036AC-563B-4732-8CB0-9EFBEC0C6AC2}" type="presParOf" srcId="{A69F6317-2C20-4C30-8F80-2840689D3E30}" destId="{14430F85-574D-46B6-9684-4ED2D5C7CC26}" srcOrd="1" destOrd="0" presId="urn:microsoft.com/office/officeart/2005/8/layout/orgChart1"/>
    <dgm:cxn modelId="{107464A3-4E88-4A17-B5C4-B6CEA8F7CA1B}" type="presParOf" srcId="{14430F85-574D-46B6-9684-4ED2D5C7CC26}" destId="{FC92220A-1F0C-4D17-9012-9613FFCAB4B8}" srcOrd="0" destOrd="0" presId="urn:microsoft.com/office/officeart/2005/8/layout/orgChart1"/>
    <dgm:cxn modelId="{5C28C3E1-3286-4D39-8800-3C6444B66834}" type="presParOf" srcId="{FC92220A-1F0C-4D17-9012-9613FFCAB4B8}" destId="{B8F7110E-608E-473B-915B-949F1272366F}" srcOrd="0" destOrd="0" presId="urn:microsoft.com/office/officeart/2005/8/layout/orgChart1"/>
    <dgm:cxn modelId="{557AC0B8-1BC7-457D-986C-01F9710764B9}" type="presParOf" srcId="{FC92220A-1F0C-4D17-9012-9613FFCAB4B8}" destId="{6CF447B9-D137-4A9D-BE44-EDFD391210DF}" srcOrd="1" destOrd="0" presId="urn:microsoft.com/office/officeart/2005/8/layout/orgChart1"/>
    <dgm:cxn modelId="{6A95323B-C47D-4B3B-9839-ED2BF7C2C09F}" type="presParOf" srcId="{14430F85-574D-46B6-9684-4ED2D5C7CC26}" destId="{F60E10C1-1C7C-4D5E-8012-2B74AC316E1C}" srcOrd="1" destOrd="0" presId="urn:microsoft.com/office/officeart/2005/8/layout/orgChart1"/>
    <dgm:cxn modelId="{0FB43D5F-DCAD-4718-8181-D7A08929AF10}" type="presParOf" srcId="{14430F85-574D-46B6-9684-4ED2D5C7CC26}" destId="{CCE48815-F6B1-4EC4-88C5-F50E3F54742D}" srcOrd="2" destOrd="0" presId="urn:microsoft.com/office/officeart/2005/8/layout/orgChart1"/>
    <dgm:cxn modelId="{703E427E-DE19-493B-9D9F-5911F0BAE3F4}" type="presParOf" srcId="{A69F6317-2C20-4C30-8F80-2840689D3E30}" destId="{7B5DD997-EF47-4ECB-B1EA-65CD1083A84B}" srcOrd="2" destOrd="0" presId="urn:microsoft.com/office/officeart/2005/8/layout/orgChart1"/>
    <dgm:cxn modelId="{A963167B-CFD4-4B11-A34C-17B8CAAC1456}" type="presParOf" srcId="{A69F6317-2C20-4C30-8F80-2840689D3E30}" destId="{AEF3FA02-F0E3-41D5-8872-2A43DCC6A0F5}" srcOrd="3" destOrd="0" presId="urn:microsoft.com/office/officeart/2005/8/layout/orgChart1"/>
    <dgm:cxn modelId="{C86E23BE-C309-4C93-999E-4371C486C070}" type="presParOf" srcId="{AEF3FA02-F0E3-41D5-8872-2A43DCC6A0F5}" destId="{8DB71D5A-663F-43B8-86D0-6678D1962A8A}" srcOrd="0" destOrd="0" presId="urn:microsoft.com/office/officeart/2005/8/layout/orgChart1"/>
    <dgm:cxn modelId="{357CB6AD-5D08-4252-AC60-6F54788F54DB}" type="presParOf" srcId="{8DB71D5A-663F-43B8-86D0-6678D1962A8A}" destId="{A89A3808-C58E-4F76-A12D-0B0A4D188D89}" srcOrd="0" destOrd="0" presId="urn:microsoft.com/office/officeart/2005/8/layout/orgChart1"/>
    <dgm:cxn modelId="{F142F0A8-28C7-4199-A37D-052FF2756631}" type="presParOf" srcId="{8DB71D5A-663F-43B8-86D0-6678D1962A8A}" destId="{CFF90ADB-3260-40DE-BC0D-941DA5AB5BBE}" srcOrd="1" destOrd="0" presId="urn:microsoft.com/office/officeart/2005/8/layout/orgChart1"/>
    <dgm:cxn modelId="{417CAA1F-69A8-483D-9AC0-7775992CD2C4}" type="presParOf" srcId="{AEF3FA02-F0E3-41D5-8872-2A43DCC6A0F5}" destId="{15530375-6472-4BB2-B687-94F6FCBF70FB}" srcOrd="1" destOrd="0" presId="urn:microsoft.com/office/officeart/2005/8/layout/orgChart1"/>
    <dgm:cxn modelId="{E0138843-ACF1-4AD4-BA11-2B335D7A4789}" type="presParOf" srcId="{AEF3FA02-F0E3-41D5-8872-2A43DCC6A0F5}" destId="{4D813469-0F89-473C-A0F9-D99C6C2A3F2C}" srcOrd="2" destOrd="0" presId="urn:microsoft.com/office/officeart/2005/8/layout/orgChart1"/>
    <dgm:cxn modelId="{A93956E8-32A0-4165-928A-1DB3068C155E}" type="presParOf" srcId="{A69F6317-2C20-4C30-8F80-2840689D3E30}" destId="{8E254624-35E3-49A8-A471-7D165E869A77}" srcOrd="4" destOrd="0" presId="urn:microsoft.com/office/officeart/2005/8/layout/orgChart1"/>
    <dgm:cxn modelId="{F5423D86-3268-466C-A6C3-2124DC3120F4}" type="presParOf" srcId="{A69F6317-2C20-4C30-8F80-2840689D3E30}" destId="{85EE4D08-3FE2-4023-9E70-966B4B9730B2}" srcOrd="5" destOrd="0" presId="urn:microsoft.com/office/officeart/2005/8/layout/orgChart1"/>
    <dgm:cxn modelId="{517BF4B8-B461-4C8D-A1A8-3085F0FF8F55}" type="presParOf" srcId="{85EE4D08-3FE2-4023-9E70-966B4B9730B2}" destId="{64201AFF-8F3D-4B1A-A114-EB9D3027EB8E}" srcOrd="0" destOrd="0" presId="urn:microsoft.com/office/officeart/2005/8/layout/orgChart1"/>
    <dgm:cxn modelId="{4865A680-5B32-4422-A58B-BB0B92249040}" type="presParOf" srcId="{64201AFF-8F3D-4B1A-A114-EB9D3027EB8E}" destId="{0347B611-2A2C-47B2-AB22-BF77195FC1CE}" srcOrd="0" destOrd="0" presId="urn:microsoft.com/office/officeart/2005/8/layout/orgChart1"/>
    <dgm:cxn modelId="{53EB94EC-4D9D-4B40-A524-A8EA7712CEFB}" type="presParOf" srcId="{64201AFF-8F3D-4B1A-A114-EB9D3027EB8E}" destId="{255F1C9E-6B1B-4A60-A558-4B8E9BD54302}" srcOrd="1" destOrd="0" presId="urn:microsoft.com/office/officeart/2005/8/layout/orgChart1"/>
    <dgm:cxn modelId="{33D11B72-21A4-430D-86BA-DA639795C80C}" type="presParOf" srcId="{85EE4D08-3FE2-4023-9E70-966B4B9730B2}" destId="{3141CB77-554D-4AB1-9095-24B3BB139320}" srcOrd="1" destOrd="0" presId="urn:microsoft.com/office/officeart/2005/8/layout/orgChart1"/>
    <dgm:cxn modelId="{FB1F12F9-4AA9-4F55-95D4-18997D75988C}" type="presParOf" srcId="{85EE4D08-3FE2-4023-9E70-966B4B9730B2}" destId="{4A6B0D62-DFDB-4144-B25E-CE34F835AFF9}" srcOrd="2" destOrd="0" presId="urn:microsoft.com/office/officeart/2005/8/layout/orgChart1"/>
    <dgm:cxn modelId="{CE165E51-3BD7-401E-B404-3DF6A22E9623}" type="presParOf" srcId="{A69F6317-2C20-4C30-8F80-2840689D3E30}" destId="{D1D750D7-FCA4-4AA5-983B-66B7C28F4F26}" srcOrd="6" destOrd="0" presId="urn:microsoft.com/office/officeart/2005/8/layout/orgChart1"/>
    <dgm:cxn modelId="{C9D9B7AC-B269-4727-97EA-23E04243D929}" type="presParOf" srcId="{A69F6317-2C20-4C30-8F80-2840689D3E30}" destId="{CD743767-AA7B-4066-A31C-546B9C7B173A}" srcOrd="7" destOrd="0" presId="urn:microsoft.com/office/officeart/2005/8/layout/orgChart1"/>
    <dgm:cxn modelId="{642376B8-B52B-4BE1-A9BD-542BCE6B7A88}" type="presParOf" srcId="{CD743767-AA7B-4066-A31C-546B9C7B173A}" destId="{D6260C4F-0AFC-4EB6-A56C-2573B437F049}" srcOrd="0" destOrd="0" presId="urn:microsoft.com/office/officeart/2005/8/layout/orgChart1"/>
    <dgm:cxn modelId="{CD7A8B58-33FB-4B7B-A4A5-6ABB47B53209}" type="presParOf" srcId="{D6260C4F-0AFC-4EB6-A56C-2573B437F049}" destId="{4CF16F1D-063F-4ECF-8BD4-3853B266718E}" srcOrd="0" destOrd="0" presId="urn:microsoft.com/office/officeart/2005/8/layout/orgChart1"/>
    <dgm:cxn modelId="{6247A0F1-D093-44D4-8899-AEF257FB1DEA}" type="presParOf" srcId="{D6260C4F-0AFC-4EB6-A56C-2573B437F049}" destId="{111FF868-F68A-41EC-AE33-6B0CC44DE028}" srcOrd="1" destOrd="0" presId="urn:microsoft.com/office/officeart/2005/8/layout/orgChart1"/>
    <dgm:cxn modelId="{F2CD1D34-1FAF-4BA2-866B-4AF1E47B8E02}" type="presParOf" srcId="{CD743767-AA7B-4066-A31C-546B9C7B173A}" destId="{B0A8450D-1D89-4DD5-A525-0B4A051AA370}" srcOrd="1" destOrd="0" presId="urn:microsoft.com/office/officeart/2005/8/layout/orgChart1"/>
    <dgm:cxn modelId="{A39BE1FB-D6EF-43BE-9208-E1FD81079F93}" type="presParOf" srcId="{CD743767-AA7B-4066-A31C-546B9C7B173A}" destId="{BBA6DE13-8A48-4BBE-9098-1BA63CCD00DE}" srcOrd="2" destOrd="0" presId="urn:microsoft.com/office/officeart/2005/8/layout/orgChart1"/>
    <dgm:cxn modelId="{524B26F2-D7DA-4000-BFB1-B140995935F0}" type="presParOf" srcId="{2B0BB38A-6190-4D6A-AD8F-66D2538101FE}" destId="{A4891AEC-7BCD-4BE3-846F-3B460749BD60}" srcOrd="2" destOrd="0" presId="urn:microsoft.com/office/officeart/2005/8/layout/orgChart1"/>
    <dgm:cxn modelId="{9BC11256-BF9D-42EB-8B09-E5F60CBECAAE}" type="presParOf" srcId="{EDEAE9A2-68E5-4B8E-96CA-48C0C7D4813E}" destId="{BC5E8637-E3A4-4087-B108-9B2F49F91DC7}" srcOrd="2" destOrd="0" presId="urn:microsoft.com/office/officeart/2005/8/layout/orgChart1"/>
    <dgm:cxn modelId="{2A4E8A7A-63E4-42B3-ADB6-59457F9B818C}" type="presParOf" srcId="{962D660D-D381-49DC-8379-3CD40D6A2CC9}" destId="{136CB990-AF63-49A1-8A1B-437366CED58D}" srcOrd="2" destOrd="0" presId="urn:microsoft.com/office/officeart/2005/8/layout/orgChart1"/>
    <dgm:cxn modelId="{FDCCC4A3-505C-46CD-9F3F-63FE60EAB880}" type="presParOf" srcId="{136CB990-AF63-49A1-8A1B-437366CED58D}" destId="{18D08343-52D9-4D8C-B94A-6CEBFD6BA8D7}" srcOrd="0" destOrd="0" presId="urn:microsoft.com/office/officeart/2005/8/layout/orgChart1"/>
    <dgm:cxn modelId="{19DA1E54-A64D-42DF-8AF6-EF5755CE8308}" type="presParOf" srcId="{136CB990-AF63-49A1-8A1B-437366CED58D}" destId="{07A23174-8282-4D7E-A183-E8882EF08F2A}" srcOrd="1" destOrd="0" presId="urn:microsoft.com/office/officeart/2005/8/layout/orgChart1"/>
    <dgm:cxn modelId="{BF02B5EE-9641-4641-8B4B-416E7E986B51}" type="presParOf" srcId="{07A23174-8282-4D7E-A183-E8882EF08F2A}" destId="{D1F3C9E8-C992-4209-B53E-2A8265017850}" srcOrd="0" destOrd="0" presId="urn:microsoft.com/office/officeart/2005/8/layout/orgChart1"/>
    <dgm:cxn modelId="{9BA4E37B-EFA2-471A-B922-58301B5A58C0}" type="presParOf" srcId="{D1F3C9E8-C992-4209-B53E-2A8265017850}" destId="{449E5079-01BA-4D7A-ACAA-306781344FA0}" srcOrd="0" destOrd="0" presId="urn:microsoft.com/office/officeart/2005/8/layout/orgChart1"/>
    <dgm:cxn modelId="{61DD35F8-7203-4F88-8E24-08EF2F5D18B9}" type="presParOf" srcId="{D1F3C9E8-C992-4209-B53E-2A8265017850}" destId="{C9F92D14-0AF2-4FB0-A03B-C265CE546D2C}" srcOrd="1" destOrd="0" presId="urn:microsoft.com/office/officeart/2005/8/layout/orgChart1"/>
    <dgm:cxn modelId="{DA57A4DD-B6E7-4A29-B6A6-59627A226C74}" type="presParOf" srcId="{07A23174-8282-4D7E-A183-E8882EF08F2A}" destId="{7CBADE91-98B1-4EA4-8628-F01865BA7D0D}" srcOrd="1" destOrd="0" presId="urn:microsoft.com/office/officeart/2005/8/layout/orgChart1"/>
    <dgm:cxn modelId="{1A99924A-9613-47BB-80B7-306B4ACBA9B1}" type="presParOf" srcId="{07A23174-8282-4D7E-A183-E8882EF08F2A}" destId="{52710245-353A-4AD7-B462-C316FE408C67}" srcOrd="2" destOrd="0" presId="urn:microsoft.com/office/officeart/2005/8/layout/orgChart1"/>
    <dgm:cxn modelId="{0750EB5B-6CA9-4F80-9BF3-E39B153A1FAD}" type="presParOf" srcId="{136CB990-AF63-49A1-8A1B-437366CED58D}" destId="{355581B2-B65C-43A6-BA76-6F6FB19BD50D}" srcOrd="2" destOrd="0" presId="urn:microsoft.com/office/officeart/2005/8/layout/orgChart1"/>
    <dgm:cxn modelId="{28575F2F-745D-4965-8360-618CA0A9A161}" type="presParOf" srcId="{136CB990-AF63-49A1-8A1B-437366CED58D}" destId="{EC7F4983-DD72-4926-8495-417A738589AC}" srcOrd="3" destOrd="0" presId="urn:microsoft.com/office/officeart/2005/8/layout/orgChart1"/>
    <dgm:cxn modelId="{0E63EADA-D11F-4AC1-827D-285244C6B2C2}" type="presParOf" srcId="{EC7F4983-DD72-4926-8495-417A738589AC}" destId="{ED654AB3-1F0D-4F28-8E8B-8888659194BA}" srcOrd="0" destOrd="0" presId="urn:microsoft.com/office/officeart/2005/8/layout/orgChart1"/>
    <dgm:cxn modelId="{D178BD6F-F580-4FB0-8DAB-B1B8BA495458}" type="presParOf" srcId="{ED654AB3-1F0D-4F28-8E8B-8888659194BA}" destId="{DD3934CC-731A-4EDB-B0BF-8D3468187259}" srcOrd="0" destOrd="0" presId="urn:microsoft.com/office/officeart/2005/8/layout/orgChart1"/>
    <dgm:cxn modelId="{B08F8E52-AB36-4AA8-8003-FD69A492ECFC}" type="presParOf" srcId="{ED654AB3-1F0D-4F28-8E8B-8888659194BA}" destId="{21AE4516-4E77-43A4-B98C-338861F8E3B6}" srcOrd="1" destOrd="0" presId="urn:microsoft.com/office/officeart/2005/8/layout/orgChart1"/>
    <dgm:cxn modelId="{570576ED-FD65-4602-A67B-E31C1115A24F}" type="presParOf" srcId="{EC7F4983-DD72-4926-8495-417A738589AC}" destId="{9F1D7E9F-971A-434D-9FD7-BA8D3A52DD02}" srcOrd="1" destOrd="0" presId="urn:microsoft.com/office/officeart/2005/8/layout/orgChart1"/>
    <dgm:cxn modelId="{9108D987-2360-42EE-876B-8C55C2716688}" type="presParOf" srcId="{EC7F4983-DD72-4926-8495-417A738589AC}" destId="{47B79182-E296-4A27-BB58-3928D405E544}" srcOrd="2" destOrd="0" presId="urn:microsoft.com/office/officeart/2005/8/layout/orgChart1"/>
    <dgm:cxn modelId="{49FE07BF-5767-4F80-AD4B-D06DFC2CC63D}" type="presParOf" srcId="{136CB990-AF63-49A1-8A1B-437366CED58D}" destId="{EC46F2F6-70EC-4E92-B601-73B7144FC1BA}" srcOrd="4" destOrd="0" presId="urn:microsoft.com/office/officeart/2005/8/layout/orgChart1"/>
    <dgm:cxn modelId="{01AB936F-7EEC-4106-9BDC-8CE22AE334EC}" type="presParOf" srcId="{136CB990-AF63-49A1-8A1B-437366CED58D}" destId="{33C6642D-E592-48CA-950A-FB4DFC8812B8}" srcOrd="5" destOrd="0" presId="urn:microsoft.com/office/officeart/2005/8/layout/orgChart1"/>
    <dgm:cxn modelId="{8F97B127-2A75-47B6-986D-3C435B2012D8}" type="presParOf" srcId="{33C6642D-E592-48CA-950A-FB4DFC8812B8}" destId="{12F4BC54-34EA-4666-ACA7-8B1D5E700918}" srcOrd="0" destOrd="0" presId="urn:microsoft.com/office/officeart/2005/8/layout/orgChart1"/>
    <dgm:cxn modelId="{FA174D54-2EDE-4CAA-A399-73043CD11F61}" type="presParOf" srcId="{12F4BC54-34EA-4666-ACA7-8B1D5E700918}" destId="{87069C5E-B98D-4179-AC1F-97973048C960}" srcOrd="0" destOrd="0" presId="urn:microsoft.com/office/officeart/2005/8/layout/orgChart1"/>
    <dgm:cxn modelId="{BE4AA5E7-1C03-4548-B440-F4986933088B}" type="presParOf" srcId="{12F4BC54-34EA-4666-ACA7-8B1D5E700918}" destId="{ABCB872A-7606-4F76-AA79-CB7AF9DDCDB6}" srcOrd="1" destOrd="0" presId="urn:microsoft.com/office/officeart/2005/8/layout/orgChart1"/>
    <dgm:cxn modelId="{A102979C-C304-4BDD-A339-0C8078B1C45C}" type="presParOf" srcId="{33C6642D-E592-48CA-950A-FB4DFC8812B8}" destId="{F59961E0-0CF4-43B5-A96B-791110F82617}" srcOrd="1" destOrd="0" presId="urn:microsoft.com/office/officeart/2005/8/layout/orgChart1"/>
    <dgm:cxn modelId="{1AFCDB91-C352-4E10-B0E7-62C4002141FD}" type="presParOf" srcId="{33C6642D-E592-48CA-950A-FB4DFC8812B8}" destId="{69951EA8-D061-4203-887D-340E9CF8637B}" srcOrd="2" destOrd="0" presId="urn:microsoft.com/office/officeart/2005/8/layout/orgChart1"/>
    <dgm:cxn modelId="{EE2C182E-8D2C-4E5A-BB11-5ED5F48BB934}" type="presParOf" srcId="{136CB990-AF63-49A1-8A1B-437366CED58D}" destId="{FBE740FC-DBBE-4DEC-BE7C-4169B660AE7C}" srcOrd="6" destOrd="0" presId="urn:microsoft.com/office/officeart/2005/8/layout/orgChart1"/>
    <dgm:cxn modelId="{B9BDD956-34F1-40C8-B62D-3D949CEE9FD0}" type="presParOf" srcId="{136CB990-AF63-49A1-8A1B-437366CED58D}" destId="{0062F2A4-0FBE-42F2-BAC3-431E827DECF5}" srcOrd="7" destOrd="0" presId="urn:microsoft.com/office/officeart/2005/8/layout/orgChart1"/>
    <dgm:cxn modelId="{914EF28F-96F6-4D7D-987E-797265263199}" type="presParOf" srcId="{0062F2A4-0FBE-42F2-BAC3-431E827DECF5}" destId="{47CE2776-AEED-4542-922E-6707A8606A7A}" srcOrd="0" destOrd="0" presId="urn:microsoft.com/office/officeart/2005/8/layout/orgChart1"/>
    <dgm:cxn modelId="{ADA9DEF5-C074-482A-9690-82F9C8903697}" type="presParOf" srcId="{47CE2776-AEED-4542-922E-6707A8606A7A}" destId="{8B8B038F-675C-45F3-AFB9-BAD288ACABD5}" srcOrd="0" destOrd="0" presId="urn:microsoft.com/office/officeart/2005/8/layout/orgChart1"/>
    <dgm:cxn modelId="{360630A0-97E3-46C3-88A4-CA0348518259}" type="presParOf" srcId="{47CE2776-AEED-4542-922E-6707A8606A7A}" destId="{CB9CB2CF-D985-470E-8BBD-FDA664225669}" srcOrd="1" destOrd="0" presId="urn:microsoft.com/office/officeart/2005/8/layout/orgChart1"/>
    <dgm:cxn modelId="{1C65D03A-28E0-4F01-8A3D-E6BA40DE5DB5}" type="presParOf" srcId="{0062F2A4-0FBE-42F2-BAC3-431E827DECF5}" destId="{DBECACFB-8205-41BF-B44A-BDCF46383341}" srcOrd="1" destOrd="0" presId="urn:microsoft.com/office/officeart/2005/8/layout/orgChart1"/>
    <dgm:cxn modelId="{F66484FF-9D82-444C-ACF9-0926967669A5}" type="presParOf" srcId="{0062F2A4-0FBE-42F2-BAC3-431E827DECF5}" destId="{A1CEB885-63EB-40A6-A3EF-97CC95B34CEB}" srcOrd="2" destOrd="0" presId="urn:microsoft.com/office/officeart/2005/8/layout/orgChart1"/>
  </dgm:cxnLst>
  <dgm:bg>
    <a:noFill/>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E740FC-DBBE-4DEC-BE7C-4169B660AE7C}">
      <dsp:nvSpPr>
        <dsp:cNvPr id="0" name=""/>
        <dsp:cNvSpPr/>
      </dsp:nvSpPr>
      <dsp:spPr>
        <a:xfrm>
          <a:off x="3806836" y="627463"/>
          <a:ext cx="91440" cy="603109"/>
        </a:xfrm>
        <a:custGeom>
          <a:avLst/>
          <a:gdLst/>
          <a:ahLst/>
          <a:cxnLst/>
          <a:rect l="0" t="0" r="0" b="0"/>
          <a:pathLst>
            <a:path>
              <a:moveTo>
                <a:pt x="45720" y="0"/>
              </a:moveTo>
              <a:lnTo>
                <a:pt x="45720" y="603109"/>
              </a:lnTo>
              <a:lnTo>
                <a:pt x="99845" y="60310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46F2F6-70EC-4E92-B601-73B7144FC1BA}">
      <dsp:nvSpPr>
        <dsp:cNvPr id="0" name=""/>
        <dsp:cNvSpPr/>
      </dsp:nvSpPr>
      <dsp:spPr>
        <a:xfrm>
          <a:off x="3752711" y="627463"/>
          <a:ext cx="91440" cy="603109"/>
        </a:xfrm>
        <a:custGeom>
          <a:avLst/>
          <a:gdLst/>
          <a:ahLst/>
          <a:cxnLst/>
          <a:rect l="0" t="0" r="0" b="0"/>
          <a:pathLst>
            <a:path>
              <a:moveTo>
                <a:pt x="99845" y="0"/>
              </a:moveTo>
              <a:lnTo>
                <a:pt x="99845" y="603109"/>
              </a:lnTo>
              <a:lnTo>
                <a:pt x="45720" y="60310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5581B2-B65C-43A6-BA76-6F6FB19BD50D}">
      <dsp:nvSpPr>
        <dsp:cNvPr id="0" name=""/>
        <dsp:cNvSpPr/>
      </dsp:nvSpPr>
      <dsp:spPr>
        <a:xfrm>
          <a:off x="3806836" y="627463"/>
          <a:ext cx="91440" cy="237120"/>
        </a:xfrm>
        <a:custGeom>
          <a:avLst/>
          <a:gdLst/>
          <a:ahLst/>
          <a:cxnLst/>
          <a:rect l="0" t="0" r="0" b="0"/>
          <a:pathLst>
            <a:path>
              <a:moveTo>
                <a:pt x="45720" y="0"/>
              </a:moveTo>
              <a:lnTo>
                <a:pt x="45720" y="237120"/>
              </a:lnTo>
              <a:lnTo>
                <a:pt x="99845" y="237120"/>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D08343-52D9-4D8C-B94A-6CEBFD6BA8D7}">
      <dsp:nvSpPr>
        <dsp:cNvPr id="0" name=""/>
        <dsp:cNvSpPr/>
      </dsp:nvSpPr>
      <dsp:spPr>
        <a:xfrm>
          <a:off x="3752711" y="627463"/>
          <a:ext cx="91440" cy="237120"/>
        </a:xfrm>
        <a:custGeom>
          <a:avLst/>
          <a:gdLst/>
          <a:ahLst/>
          <a:cxnLst/>
          <a:rect l="0" t="0" r="0" b="0"/>
          <a:pathLst>
            <a:path>
              <a:moveTo>
                <a:pt x="99845" y="0"/>
              </a:moveTo>
              <a:lnTo>
                <a:pt x="99845" y="237120"/>
              </a:lnTo>
              <a:lnTo>
                <a:pt x="45720" y="237120"/>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D750D7-FCA4-4AA5-983B-66B7C28F4F26}">
      <dsp:nvSpPr>
        <dsp:cNvPr id="0" name=""/>
        <dsp:cNvSpPr/>
      </dsp:nvSpPr>
      <dsp:spPr>
        <a:xfrm>
          <a:off x="7571865" y="2091422"/>
          <a:ext cx="94355" cy="1415545"/>
        </a:xfrm>
        <a:custGeom>
          <a:avLst/>
          <a:gdLst/>
          <a:ahLst/>
          <a:cxnLst/>
          <a:rect l="0" t="0" r="0" b="0"/>
          <a:pathLst>
            <a:path>
              <a:moveTo>
                <a:pt x="0" y="0"/>
              </a:moveTo>
              <a:lnTo>
                <a:pt x="0" y="1415545"/>
              </a:lnTo>
              <a:lnTo>
                <a:pt x="94355" y="1415545"/>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54624-35E3-49A8-A471-7D165E869A77}">
      <dsp:nvSpPr>
        <dsp:cNvPr id="0" name=""/>
        <dsp:cNvSpPr/>
      </dsp:nvSpPr>
      <dsp:spPr>
        <a:xfrm>
          <a:off x="7571865" y="2091422"/>
          <a:ext cx="94355" cy="1049555"/>
        </a:xfrm>
        <a:custGeom>
          <a:avLst/>
          <a:gdLst/>
          <a:ahLst/>
          <a:cxnLst/>
          <a:rect l="0" t="0" r="0" b="0"/>
          <a:pathLst>
            <a:path>
              <a:moveTo>
                <a:pt x="0" y="0"/>
              </a:moveTo>
              <a:lnTo>
                <a:pt x="0" y="1049555"/>
              </a:lnTo>
              <a:lnTo>
                <a:pt x="94355" y="1049555"/>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5DD997-EF47-4ECB-B1EA-65CD1083A84B}">
      <dsp:nvSpPr>
        <dsp:cNvPr id="0" name=""/>
        <dsp:cNvSpPr/>
      </dsp:nvSpPr>
      <dsp:spPr>
        <a:xfrm>
          <a:off x="7571865" y="2091422"/>
          <a:ext cx="94355" cy="643337"/>
        </a:xfrm>
        <a:custGeom>
          <a:avLst/>
          <a:gdLst/>
          <a:ahLst/>
          <a:cxnLst/>
          <a:rect l="0" t="0" r="0" b="0"/>
          <a:pathLst>
            <a:path>
              <a:moveTo>
                <a:pt x="0" y="0"/>
              </a:moveTo>
              <a:lnTo>
                <a:pt x="0" y="643337"/>
              </a:lnTo>
              <a:lnTo>
                <a:pt x="94355" y="643337"/>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E1FAB6-A167-42BE-9E36-819AA8FE6989}">
      <dsp:nvSpPr>
        <dsp:cNvPr id="0" name=""/>
        <dsp:cNvSpPr/>
      </dsp:nvSpPr>
      <dsp:spPr>
        <a:xfrm>
          <a:off x="7571865"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EE3BA0-E00A-4461-8B8B-6FCF24E39389}">
      <dsp:nvSpPr>
        <dsp:cNvPr id="0" name=""/>
        <dsp:cNvSpPr/>
      </dsp:nvSpPr>
      <dsp:spPr>
        <a:xfrm>
          <a:off x="5913487" y="1725432"/>
          <a:ext cx="1909993" cy="108250"/>
        </a:xfrm>
        <a:custGeom>
          <a:avLst/>
          <a:gdLst/>
          <a:ahLst/>
          <a:cxnLst/>
          <a:rect l="0" t="0" r="0" b="0"/>
          <a:pathLst>
            <a:path>
              <a:moveTo>
                <a:pt x="0" y="0"/>
              </a:moveTo>
              <a:lnTo>
                <a:pt x="0" y="54125"/>
              </a:lnTo>
              <a:lnTo>
                <a:pt x="1909993" y="54125"/>
              </a:lnTo>
              <a:lnTo>
                <a:pt x="1909993"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FE45E6-C3C2-480F-8063-AF754FCCE3AC}">
      <dsp:nvSpPr>
        <dsp:cNvPr id="0" name=""/>
        <dsp:cNvSpPr/>
      </dsp:nvSpPr>
      <dsp:spPr>
        <a:xfrm>
          <a:off x="6834576" y="2091422"/>
          <a:ext cx="94355" cy="1414877"/>
        </a:xfrm>
        <a:custGeom>
          <a:avLst/>
          <a:gdLst/>
          <a:ahLst/>
          <a:cxnLst/>
          <a:rect l="0" t="0" r="0" b="0"/>
          <a:pathLst>
            <a:path>
              <a:moveTo>
                <a:pt x="0" y="0"/>
              </a:moveTo>
              <a:lnTo>
                <a:pt x="0" y="1414877"/>
              </a:lnTo>
              <a:lnTo>
                <a:pt x="94355" y="1414877"/>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2A3B2A-CB58-44C1-AA4D-965AA4E5F801}">
      <dsp:nvSpPr>
        <dsp:cNvPr id="0" name=""/>
        <dsp:cNvSpPr/>
      </dsp:nvSpPr>
      <dsp:spPr>
        <a:xfrm>
          <a:off x="6834576" y="2091422"/>
          <a:ext cx="94355" cy="1048887"/>
        </a:xfrm>
        <a:custGeom>
          <a:avLst/>
          <a:gdLst/>
          <a:ahLst/>
          <a:cxnLst/>
          <a:rect l="0" t="0" r="0" b="0"/>
          <a:pathLst>
            <a:path>
              <a:moveTo>
                <a:pt x="0" y="0"/>
              </a:moveTo>
              <a:lnTo>
                <a:pt x="0" y="1048887"/>
              </a:lnTo>
              <a:lnTo>
                <a:pt x="94355" y="1048887"/>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E94D45-A38C-4510-8F77-2C7CABD6FD05}">
      <dsp:nvSpPr>
        <dsp:cNvPr id="0" name=""/>
        <dsp:cNvSpPr/>
      </dsp:nvSpPr>
      <dsp:spPr>
        <a:xfrm>
          <a:off x="6834576" y="2091422"/>
          <a:ext cx="94355" cy="682898"/>
        </a:xfrm>
        <a:custGeom>
          <a:avLst/>
          <a:gdLst/>
          <a:ahLst/>
          <a:cxnLst/>
          <a:rect l="0" t="0" r="0" b="0"/>
          <a:pathLst>
            <a:path>
              <a:moveTo>
                <a:pt x="0" y="0"/>
              </a:moveTo>
              <a:lnTo>
                <a:pt x="0" y="682898"/>
              </a:lnTo>
              <a:lnTo>
                <a:pt x="94355" y="68289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850BC2-9475-4B9F-BDA2-AA19F8DDE998}">
      <dsp:nvSpPr>
        <dsp:cNvPr id="0" name=""/>
        <dsp:cNvSpPr/>
      </dsp:nvSpPr>
      <dsp:spPr>
        <a:xfrm>
          <a:off x="6834576" y="2091422"/>
          <a:ext cx="94355" cy="277014"/>
        </a:xfrm>
        <a:custGeom>
          <a:avLst/>
          <a:gdLst/>
          <a:ahLst/>
          <a:cxnLst/>
          <a:rect l="0" t="0" r="0" b="0"/>
          <a:pathLst>
            <a:path>
              <a:moveTo>
                <a:pt x="0" y="0"/>
              </a:moveTo>
              <a:lnTo>
                <a:pt x="0" y="277014"/>
              </a:lnTo>
              <a:lnTo>
                <a:pt x="94355" y="277014"/>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C6EFBB-6565-47FF-89B7-B53E6C4CEBDD}">
      <dsp:nvSpPr>
        <dsp:cNvPr id="0" name=""/>
        <dsp:cNvSpPr/>
      </dsp:nvSpPr>
      <dsp:spPr>
        <a:xfrm>
          <a:off x="5913487" y="1725432"/>
          <a:ext cx="1172704" cy="108250"/>
        </a:xfrm>
        <a:custGeom>
          <a:avLst/>
          <a:gdLst/>
          <a:ahLst/>
          <a:cxnLst/>
          <a:rect l="0" t="0" r="0" b="0"/>
          <a:pathLst>
            <a:path>
              <a:moveTo>
                <a:pt x="0" y="0"/>
              </a:moveTo>
              <a:lnTo>
                <a:pt x="0" y="54125"/>
              </a:lnTo>
              <a:lnTo>
                <a:pt x="1172704" y="54125"/>
              </a:lnTo>
              <a:lnTo>
                <a:pt x="1172704"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CB622E-01B7-4B46-8D7E-4E95296C5561}">
      <dsp:nvSpPr>
        <dsp:cNvPr id="0" name=""/>
        <dsp:cNvSpPr/>
      </dsp:nvSpPr>
      <dsp:spPr>
        <a:xfrm>
          <a:off x="6097287" y="2091422"/>
          <a:ext cx="94355" cy="1335089"/>
        </a:xfrm>
        <a:custGeom>
          <a:avLst/>
          <a:gdLst/>
          <a:ahLst/>
          <a:cxnLst/>
          <a:rect l="0" t="0" r="0" b="0"/>
          <a:pathLst>
            <a:path>
              <a:moveTo>
                <a:pt x="0" y="0"/>
              </a:moveTo>
              <a:lnTo>
                <a:pt x="0" y="1335089"/>
              </a:lnTo>
              <a:lnTo>
                <a:pt x="94355" y="133508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9DA0E2-60DD-402C-A1B7-48CF92D097B7}">
      <dsp:nvSpPr>
        <dsp:cNvPr id="0" name=""/>
        <dsp:cNvSpPr/>
      </dsp:nvSpPr>
      <dsp:spPr>
        <a:xfrm>
          <a:off x="6097287"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BE1289-4AEF-476F-A26D-D978B712BB4A}">
      <dsp:nvSpPr>
        <dsp:cNvPr id="0" name=""/>
        <dsp:cNvSpPr/>
      </dsp:nvSpPr>
      <dsp:spPr>
        <a:xfrm>
          <a:off x="6097287"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385871-3B12-4112-B997-98D64516446B}">
      <dsp:nvSpPr>
        <dsp:cNvPr id="0" name=""/>
        <dsp:cNvSpPr/>
      </dsp:nvSpPr>
      <dsp:spPr>
        <a:xfrm>
          <a:off x="6097287"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0283B5-A5DD-4943-ABB7-3C6C08AD0379}">
      <dsp:nvSpPr>
        <dsp:cNvPr id="0" name=""/>
        <dsp:cNvSpPr/>
      </dsp:nvSpPr>
      <dsp:spPr>
        <a:xfrm>
          <a:off x="5913487" y="1725432"/>
          <a:ext cx="435415" cy="108250"/>
        </a:xfrm>
        <a:custGeom>
          <a:avLst/>
          <a:gdLst/>
          <a:ahLst/>
          <a:cxnLst/>
          <a:rect l="0" t="0" r="0" b="0"/>
          <a:pathLst>
            <a:path>
              <a:moveTo>
                <a:pt x="0" y="0"/>
              </a:moveTo>
              <a:lnTo>
                <a:pt x="0" y="54125"/>
              </a:lnTo>
              <a:lnTo>
                <a:pt x="435415" y="54125"/>
              </a:lnTo>
              <a:lnTo>
                <a:pt x="435415"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1E7DF1-9E9B-4DEA-B629-85A26FDF5A51}">
      <dsp:nvSpPr>
        <dsp:cNvPr id="0" name=""/>
        <dsp:cNvSpPr/>
      </dsp:nvSpPr>
      <dsp:spPr>
        <a:xfrm>
          <a:off x="5359998" y="2218869"/>
          <a:ext cx="94355" cy="2318969"/>
        </a:xfrm>
        <a:custGeom>
          <a:avLst/>
          <a:gdLst/>
          <a:ahLst/>
          <a:cxnLst/>
          <a:rect l="0" t="0" r="0" b="0"/>
          <a:pathLst>
            <a:path>
              <a:moveTo>
                <a:pt x="0" y="0"/>
              </a:moveTo>
              <a:lnTo>
                <a:pt x="0" y="2318969"/>
              </a:lnTo>
              <a:lnTo>
                <a:pt x="94355" y="231896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DF4377-8CA8-4D31-8600-BD8A334AADAF}">
      <dsp:nvSpPr>
        <dsp:cNvPr id="0" name=""/>
        <dsp:cNvSpPr/>
      </dsp:nvSpPr>
      <dsp:spPr>
        <a:xfrm>
          <a:off x="5359998" y="2218869"/>
          <a:ext cx="94355" cy="1628574"/>
        </a:xfrm>
        <a:custGeom>
          <a:avLst/>
          <a:gdLst/>
          <a:ahLst/>
          <a:cxnLst/>
          <a:rect l="0" t="0" r="0" b="0"/>
          <a:pathLst>
            <a:path>
              <a:moveTo>
                <a:pt x="0" y="0"/>
              </a:moveTo>
              <a:lnTo>
                <a:pt x="0" y="1628574"/>
              </a:lnTo>
              <a:lnTo>
                <a:pt x="94355" y="1628574"/>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1ED2D2-BFB8-4FD8-95FD-1DD2BC294146}">
      <dsp:nvSpPr>
        <dsp:cNvPr id="0" name=""/>
        <dsp:cNvSpPr/>
      </dsp:nvSpPr>
      <dsp:spPr>
        <a:xfrm>
          <a:off x="5359998" y="2218869"/>
          <a:ext cx="94355" cy="943384"/>
        </a:xfrm>
        <a:custGeom>
          <a:avLst/>
          <a:gdLst/>
          <a:ahLst/>
          <a:cxnLst/>
          <a:rect l="0" t="0" r="0" b="0"/>
          <a:pathLst>
            <a:path>
              <a:moveTo>
                <a:pt x="0" y="0"/>
              </a:moveTo>
              <a:lnTo>
                <a:pt x="0" y="943384"/>
              </a:lnTo>
              <a:lnTo>
                <a:pt x="94355" y="943384"/>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B8D86D-2144-45FF-A86F-F1F3C8F8A8AC}">
      <dsp:nvSpPr>
        <dsp:cNvPr id="0" name=""/>
        <dsp:cNvSpPr/>
      </dsp:nvSpPr>
      <dsp:spPr>
        <a:xfrm>
          <a:off x="5359998" y="2218869"/>
          <a:ext cx="94355" cy="323344"/>
        </a:xfrm>
        <a:custGeom>
          <a:avLst/>
          <a:gdLst/>
          <a:ahLst/>
          <a:cxnLst/>
          <a:rect l="0" t="0" r="0" b="0"/>
          <a:pathLst>
            <a:path>
              <a:moveTo>
                <a:pt x="0" y="0"/>
              </a:moveTo>
              <a:lnTo>
                <a:pt x="0" y="323344"/>
              </a:lnTo>
              <a:lnTo>
                <a:pt x="94355" y="323344"/>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8BEA8A-4D46-4FCC-BE6F-FC263071D646}">
      <dsp:nvSpPr>
        <dsp:cNvPr id="0" name=""/>
        <dsp:cNvSpPr/>
      </dsp:nvSpPr>
      <dsp:spPr>
        <a:xfrm>
          <a:off x="5611613" y="1725432"/>
          <a:ext cx="301873" cy="108250"/>
        </a:xfrm>
        <a:custGeom>
          <a:avLst/>
          <a:gdLst/>
          <a:ahLst/>
          <a:cxnLst/>
          <a:rect l="0" t="0" r="0" b="0"/>
          <a:pathLst>
            <a:path>
              <a:moveTo>
                <a:pt x="301873" y="0"/>
              </a:moveTo>
              <a:lnTo>
                <a:pt x="301873" y="54125"/>
              </a:lnTo>
              <a:lnTo>
                <a:pt x="0" y="54125"/>
              </a:lnTo>
              <a:lnTo>
                <a:pt x="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5F51F2-6998-4519-B3A5-2F570B219F85}">
      <dsp:nvSpPr>
        <dsp:cNvPr id="0" name=""/>
        <dsp:cNvSpPr/>
      </dsp:nvSpPr>
      <dsp:spPr>
        <a:xfrm>
          <a:off x="4489167" y="2091422"/>
          <a:ext cx="94355" cy="2527697"/>
        </a:xfrm>
        <a:custGeom>
          <a:avLst/>
          <a:gdLst/>
          <a:ahLst/>
          <a:cxnLst/>
          <a:rect l="0" t="0" r="0" b="0"/>
          <a:pathLst>
            <a:path>
              <a:moveTo>
                <a:pt x="0" y="0"/>
              </a:moveTo>
              <a:lnTo>
                <a:pt x="0" y="2527697"/>
              </a:lnTo>
              <a:lnTo>
                <a:pt x="94355" y="2527697"/>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C10BBA-6EE0-4094-B1A8-A373A7770A2C}">
      <dsp:nvSpPr>
        <dsp:cNvPr id="0" name=""/>
        <dsp:cNvSpPr/>
      </dsp:nvSpPr>
      <dsp:spPr>
        <a:xfrm>
          <a:off x="4489167" y="2091422"/>
          <a:ext cx="94355" cy="2161708"/>
        </a:xfrm>
        <a:custGeom>
          <a:avLst/>
          <a:gdLst/>
          <a:ahLst/>
          <a:cxnLst/>
          <a:rect l="0" t="0" r="0" b="0"/>
          <a:pathLst>
            <a:path>
              <a:moveTo>
                <a:pt x="0" y="0"/>
              </a:moveTo>
              <a:lnTo>
                <a:pt x="0" y="2161708"/>
              </a:lnTo>
              <a:lnTo>
                <a:pt x="94355" y="216170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A9834F-6085-477D-82DF-A2C7C3147A4F}">
      <dsp:nvSpPr>
        <dsp:cNvPr id="0" name=""/>
        <dsp:cNvSpPr/>
      </dsp:nvSpPr>
      <dsp:spPr>
        <a:xfrm>
          <a:off x="4489167" y="2091422"/>
          <a:ext cx="94355" cy="1795718"/>
        </a:xfrm>
        <a:custGeom>
          <a:avLst/>
          <a:gdLst/>
          <a:ahLst/>
          <a:cxnLst/>
          <a:rect l="0" t="0" r="0" b="0"/>
          <a:pathLst>
            <a:path>
              <a:moveTo>
                <a:pt x="0" y="0"/>
              </a:moveTo>
              <a:lnTo>
                <a:pt x="0" y="1795718"/>
              </a:lnTo>
              <a:lnTo>
                <a:pt x="94355" y="179571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E3BE1-923F-48F6-80CB-CF546CB5420B}">
      <dsp:nvSpPr>
        <dsp:cNvPr id="0" name=""/>
        <dsp:cNvSpPr/>
      </dsp:nvSpPr>
      <dsp:spPr>
        <a:xfrm>
          <a:off x="4489167" y="2091422"/>
          <a:ext cx="94355" cy="1429728"/>
        </a:xfrm>
        <a:custGeom>
          <a:avLst/>
          <a:gdLst/>
          <a:ahLst/>
          <a:cxnLst/>
          <a:rect l="0" t="0" r="0" b="0"/>
          <a:pathLst>
            <a:path>
              <a:moveTo>
                <a:pt x="0" y="0"/>
              </a:moveTo>
              <a:lnTo>
                <a:pt x="0" y="1429728"/>
              </a:lnTo>
              <a:lnTo>
                <a:pt x="94355" y="142972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7AA35-2CE7-4A60-83FF-72B9276660A2}">
      <dsp:nvSpPr>
        <dsp:cNvPr id="0" name=""/>
        <dsp:cNvSpPr/>
      </dsp:nvSpPr>
      <dsp:spPr>
        <a:xfrm>
          <a:off x="4489167" y="2091422"/>
          <a:ext cx="94355" cy="1063738"/>
        </a:xfrm>
        <a:custGeom>
          <a:avLst/>
          <a:gdLst/>
          <a:ahLst/>
          <a:cxnLst/>
          <a:rect l="0" t="0" r="0" b="0"/>
          <a:pathLst>
            <a:path>
              <a:moveTo>
                <a:pt x="0" y="0"/>
              </a:moveTo>
              <a:lnTo>
                <a:pt x="0" y="1063738"/>
              </a:lnTo>
              <a:lnTo>
                <a:pt x="94355" y="106373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BC1706-7400-4D8E-95CA-4BBC1E1A4C2E}">
      <dsp:nvSpPr>
        <dsp:cNvPr id="0" name=""/>
        <dsp:cNvSpPr/>
      </dsp:nvSpPr>
      <dsp:spPr>
        <a:xfrm>
          <a:off x="4489167" y="2091422"/>
          <a:ext cx="94355" cy="697749"/>
        </a:xfrm>
        <a:custGeom>
          <a:avLst/>
          <a:gdLst/>
          <a:ahLst/>
          <a:cxnLst/>
          <a:rect l="0" t="0" r="0" b="0"/>
          <a:pathLst>
            <a:path>
              <a:moveTo>
                <a:pt x="0" y="0"/>
              </a:moveTo>
              <a:lnTo>
                <a:pt x="0" y="697749"/>
              </a:lnTo>
              <a:lnTo>
                <a:pt x="94355" y="69774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47CDC3-71D2-4AB0-A960-C804E4CD11E7}">
      <dsp:nvSpPr>
        <dsp:cNvPr id="0" name=""/>
        <dsp:cNvSpPr/>
      </dsp:nvSpPr>
      <dsp:spPr>
        <a:xfrm>
          <a:off x="4489167" y="2091422"/>
          <a:ext cx="94355" cy="284439"/>
        </a:xfrm>
        <a:custGeom>
          <a:avLst/>
          <a:gdLst/>
          <a:ahLst/>
          <a:cxnLst/>
          <a:rect l="0" t="0" r="0" b="0"/>
          <a:pathLst>
            <a:path>
              <a:moveTo>
                <a:pt x="0" y="0"/>
              </a:moveTo>
              <a:lnTo>
                <a:pt x="0" y="284439"/>
              </a:lnTo>
              <a:lnTo>
                <a:pt x="94355" y="28443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5EC572-BB2A-4807-925F-BB49D5CF9605}">
      <dsp:nvSpPr>
        <dsp:cNvPr id="0" name=""/>
        <dsp:cNvSpPr/>
      </dsp:nvSpPr>
      <dsp:spPr>
        <a:xfrm>
          <a:off x="4740782" y="1725432"/>
          <a:ext cx="1172704" cy="108250"/>
        </a:xfrm>
        <a:custGeom>
          <a:avLst/>
          <a:gdLst/>
          <a:ahLst/>
          <a:cxnLst/>
          <a:rect l="0" t="0" r="0" b="0"/>
          <a:pathLst>
            <a:path>
              <a:moveTo>
                <a:pt x="1172704" y="0"/>
              </a:moveTo>
              <a:lnTo>
                <a:pt x="1172704" y="54125"/>
              </a:lnTo>
              <a:lnTo>
                <a:pt x="0" y="54125"/>
              </a:lnTo>
              <a:lnTo>
                <a:pt x="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C3D240-B47E-45AD-8D81-3BE7BB1CD609}">
      <dsp:nvSpPr>
        <dsp:cNvPr id="0" name=""/>
        <dsp:cNvSpPr/>
      </dsp:nvSpPr>
      <dsp:spPr>
        <a:xfrm>
          <a:off x="3751878" y="2091422"/>
          <a:ext cx="94355" cy="3213591"/>
        </a:xfrm>
        <a:custGeom>
          <a:avLst/>
          <a:gdLst/>
          <a:ahLst/>
          <a:cxnLst/>
          <a:rect l="0" t="0" r="0" b="0"/>
          <a:pathLst>
            <a:path>
              <a:moveTo>
                <a:pt x="0" y="0"/>
              </a:moveTo>
              <a:lnTo>
                <a:pt x="0" y="3213591"/>
              </a:lnTo>
              <a:lnTo>
                <a:pt x="94355" y="3213591"/>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A64FC1-43E3-4441-BDDC-A6F6218FFAE5}">
      <dsp:nvSpPr>
        <dsp:cNvPr id="0" name=""/>
        <dsp:cNvSpPr/>
      </dsp:nvSpPr>
      <dsp:spPr>
        <a:xfrm>
          <a:off x="3751878" y="2091422"/>
          <a:ext cx="94355" cy="2799048"/>
        </a:xfrm>
        <a:custGeom>
          <a:avLst/>
          <a:gdLst/>
          <a:ahLst/>
          <a:cxnLst/>
          <a:rect l="0" t="0" r="0" b="0"/>
          <a:pathLst>
            <a:path>
              <a:moveTo>
                <a:pt x="0" y="0"/>
              </a:moveTo>
              <a:lnTo>
                <a:pt x="0" y="2799048"/>
              </a:lnTo>
              <a:lnTo>
                <a:pt x="94355" y="279904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8053C4-EBB1-4A12-86D0-3913FB21A757}">
      <dsp:nvSpPr>
        <dsp:cNvPr id="0" name=""/>
        <dsp:cNvSpPr/>
      </dsp:nvSpPr>
      <dsp:spPr>
        <a:xfrm>
          <a:off x="3751878" y="2091422"/>
          <a:ext cx="94355" cy="2433058"/>
        </a:xfrm>
        <a:custGeom>
          <a:avLst/>
          <a:gdLst/>
          <a:ahLst/>
          <a:cxnLst/>
          <a:rect l="0" t="0" r="0" b="0"/>
          <a:pathLst>
            <a:path>
              <a:moveTo>
                <a:pt x="0" y="0"/>
              </a:moveTo>
              <a:lnTo>
                <a:pt x="0" y="2433058"/>
              </a:lnTo>
              <a:lnTo>
                <a:pt x="94355" y="243305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2AA86A-249B-4E8C-A81E-02BCC1EB81A3}">
      <dsp:nvSpPr>
        <dsp:cNvPr id="0" name=""/>
        <dsp:cNvSpPr/>
      </dsp:nvSpPr>
      <dsp:spPr>
        <a:xfrm>
          <a:off x="3751878" y="2091422"/>
          <a:ext cx="94355" cy="2067068"/>
        </a:xfrm>
        <a:custGeom>
          <a:avLst/>
          <a:gdLst/>
          <a:ahLst/>
          <a:cxnLst/>
          <a:rect l="0" t="0" r="0" b="0"/>
          <a:pathLst>
            <a:path>
              <a:moveTo>
                <a:pt x="0" y="0"/>
              </a:moveTo>
              <a:lnTo>
                <a:pt x="0" y="2067068"/>
              </a:lnTo>
              <a:lnTo>
                <a:pt x="94355" y="2067068"/>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D5DD5F-2E9C-4858-BE53-88ECCD66559E}">
      <dsp:nvSpPr>
        <dsp:cNvPr id="0" name=""/>
        <dsp:cNvSpPr/>
      </dsp:nvSpPr>
      <dsp:spPr>
        <a:xfrm>
          <a:off x="3751878" y="2091422"/>
          <a:ext cx="94355" cy="1701079"/>
        </a:xfrm>
        <a:custGeom>
          <a:avLst/>
          <a:gdLst/>
          <a:ahLst/>
          <a:cxnLst/>
          <a:rect l="0" t="0" r="0" b="0"/>
          <a:pathLst>
            <a:path>
              <a:moveTo>
                <a:pt x="0" y="0"/>
              </a:moveTo>
              <a:lnTo>
                <a:pt x="0" y="1701079"/>
              </a:lnTo>
              <a:lnTo>
                <a:pt x="94355" y="170107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6E22FB-4BCC-4F67-965A-A117B4538F6C}">
      <dsp:nvSpPr>
        <dsp:cNvPr id="0" name=""/>
        <dsp:cNvSpPr/>
      </dsp:nvSpPr>
      <dsp:spPr>
        <a:xfrm>
          <a:off x="3751878" y="2091422"/>
          <a:ext cx="94355" cy="1335089"/>
        </a:xfrm>
        <a:custGeom>
          <a:avLst/>
          <a:gdLst/>
          <a:ahLst/>
          <a:cxnLst/>
          <a:rect l="0" t="0" r="0" b="0"/>
          <a:pathLst>
            <a:path>
              <a:moveTo>
                <a:pt x="0" y="0"/>
              </a:moveTo>
              <a:lnTo>
                <a:pt x="0" y="1335089"/>
              </a:lnTo>
              <a:lnTo>
                <a:pt x="94355" y="133508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0D71A9-8119-49F1-95C0-4B399D133315}">
      <dsp:nvSpPr>
        <dsp:cNvPr id="0" name=""/>
        <dsp:cNvSpPr/>
      </dsp:nvSpPr>
      <dsp:spPr>
        <a:xfrm>
          <a:off x="3751878"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A97DD3-F44B-4E78-8AC2-C1C70282207E}">
      <dsp:nvSpPr>
        <dsp:cNvPr id="0" name=""/>
        <dsp:cNvSpPr/>
      </dsp:nvSpPr>
      <dsp:spPr>
        <a:xfrm>
          <a:off x="3751878"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B07BC3-2201-4EC5-AD3D-5B75C0C1E754}">
      <dsp:nvSpPr>
        <dsp:cNvPr id="0" name=""/>
        <dsp:cNvSpPr/>
      </dsp:nvSpPr>
      <dsp:spPr>
        <a:xfrm>
          <a:off x="3751878"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FF6828-40D0-4812-9A04-EAFF3857C875}">
      <dsp:nvSpPr>
        <dsp:cNvPr id="0" name=""/>
        <dsp:cNvSpPr/>
      </dsp:nvSpPr>
      <dsp:spPr>
        <a:xfrm>
          <a:off x="4003493" y="1725432"/>
          <a:ext cx="1909993" cy="108250"/>
        </a:xfrm>
        <a:custGeom>
          <a:avLst/>
          <a:gdLst/>
          <a:ahLst/>
          <a:cxnLst/>
          <a:rect l="0" t="0" r="0" b="0"/>
          <a:pathLst>
            <a:path>
              <a:moveTo>
                <a:pt x="1909993" y="0"/>
              </a:moveTo>
              <a:lnTo>
                <a:pt x="1909993" y="54125"/>
              </a:lnTo>
              <a:lnTo>
                <a:pt x="0" y="54125"/>
              </a:lnTo>
              <a:lnTo>
                <a:pt x="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63701D-2E70-41B5-B838-4F9A4C758828}">
      <dsp:nvSpPr>
        <dsp:cNvPr id="0" name=""/>
        <dsp:cNvSpPr/>
      </dsp:nvSpPr>
      <dsp:spPr>
        <a:xfrm>
          <a:off x="3852556" y="627463"/>
          <a:ext cx="2060930" cy="840229"/>
        </a:xfrm>
        <a:custGeom>
          <a:avLst/>
          <a:gdLst/>
          <a:ahLst/>
          <a:cxnLst/>
          <a:rect l="0" t="0" r="0" b="0"/>
          <a:pathLst>
            <a:path>
              <a:moveTo>
                <a:pt x="0" y="0"/>
              </a:moveTo>
              <a:lnTo>
                <a:pt x="0" y="786104"/>
              </a:lnTo>
              <a:lnTo>
                <a:pt x="2060930" y="786104"/>
              </a:lnTo>
              <a:lnTo>
                <a:pt x="2060930" y="84022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C1AA5A-161C-45E0-B9C4-E030DA03AA8B}">
      <dsp:nvSpPr>
        <dsp:cNvPr id="0" name=""/>
        <dsp:cNvSpPr/>
      </dsp:nvSpPr>
      <dsp:spPr>
        <a:xfrm>
          <a:off x="3014589" y="2091422"/>
          <a:ext cx="94355" cy="2263491"/>
        </a:xfrm>
        <a:custGeom>
          <a:avLst/>
          <a:gdLst/>
          <a:ahLst/>
          <a:cxnLst/>
          <a:rect l="0" t="0" r="0" b="0"/>
          <a:pathLst>
            <a:path>
              <a:moveTo>
                <a:pt x="0" y="0"/>
              </a:moveTo>
              <a:lnTo>
                <a:pt x="0" y="2263491"/>
              </a:lnTo>
              <a:lnTo>
                <a:pt x="94355" y="2263491"/>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041BC2-E4F7-4785-A432-3E9106AA941B}">
      <dsp:nvSpPr>
        <dsp:cNvPr id="0" name=""/>
        <dsp:cNvSpPr/>
      </dsp:nvSpPr>
      <dsp:spPr>
        <a:xfrm>
          <a:off x="3014589" y="2091422"/>
          <a:ext cx="94355" cy="1871225"/>
        </a:xfrm>
        <a:custGeom>
          <a:avLst/>
          <a:gdLst/>
          <a:ahLst/>
          <a:cxnLst/>
          <a:rect l="0" t="0" r="0" b="0"/>
          <a:pathLst>
            <a:path>
              <a:moveTo>
                <a:pt x="0" y="0"/>
              </a:moveTo>
              <a:lnTo>
                <a:pt x="0" y="1871225"/>
              </a:lnTo>
              <a:lnTo>
                <a:pt x="94355" y="1871225"/>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28DD69-F8E3-4E9C-93B2-256313D42FFE}">
      <dsp:nvSpPr>
        <dsp:cNvPr id="0" name=""/>
        <dsp:cNvSpPr/>
      </dsp:nvSpPr>
      <dsp:spPr>
        <a:xfrm>
          <a:off x="3014589" y="2091422"/>
          <a:ext cx="94355" cy="1407024"/>
        </a:xfrm>
        <a:custGeom>
          <a:avLst/>
          <a:gdLst/>
          <a:ahLst/>
          <a:cxnLst/>
          <a:rect l="0" t="0" r="0" b="0"/>
          <a:pathLst>
            <a:path>
              <a:moveTo>
                <a:pt x="0" y="0"/>
              </a:moveTo>
              <a:lnTo>
                <a:pt x="0" y="1407024"/>
              </a:lnTo>
              <a:lnTo>
                <a:pt x="94355" y="1407024"/>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EF9F38-F7BE-4F67-A557-E3897A491C21}">
      <dsp:nvSpPr>
        <dsp:cNvPr id="0" name=""/>
        <dsp:cNvSpPr/>
      </dsp:nvSpPr>
      <dsp:spPr>
        <a:xfrm>
          <a:off x="3014589"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EBB3A9-8A37-4937-AE5F-A42D0FE9CE3A}">
      <dsp:nvSpPr>
        <dsp:cNvPr id="0" name=""/>
        <dsp:cNvSpPr/>
      </dsp:nvSpPr>
      <dsp:spPr>
        <a:xfrm>
          <a:off x="3014589"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49334D-300B-4735-B2B4-A9EC0E5DEACB}">
      <dsp:nvSpPr>
        <dsp:cNvPr id="0" name=""/>
        <dsp:cNvSpPr/>
      </dsp:nvSpPr>
      <dsp:spPr>
        <a:xfrm>
          <a:off x="3014589"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C224BE-7741-4676-A46A-5BF419505716}">
      <dsp:nvSpPr>
        <dsp:cNvPr id="0" name=""/>
        <dsp:cNvSpPr/>
      </dsp:nvSpPr>
      <dsp:spPr>
        <a:xfrm>
          <a:off x="1791626" y="1725432"/>
          <a:ext cx="1474577" cy="108250"/>
        </a:xfrm>
        <a:custGeom>
          <a:avLst/>
          <a:gdLst/>
          <a:ahLst/>
          <a:cxnLst/>
          <a:rect l="0" t="0" r="0" b="0"/>
          <a:pathLst>
            <a:path>
              <a:moveTo>
                <a:pt x="0" y="0"/>
              </a:moveTo>
              <a:lnTo>
                <a:pt x="0" y="54125"/>
              </a:lnTo>
              <a:lnTo>
                <a:pt x="1474577" y="54125"/>
              </a:lnTo>
              <a:lnTo>
                <a:pt x="1474577"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B751C0-2D2D-418B-A8F7-35D01BDC5DE1}">
      <dsp:nvSpPr>
        <dsp:cNvPr id="0" name=""/>
        <dsp:cNvSpPr/>
      </dsp:nvSpPr>
      <dsp:spPr>
        <a:xfrm>
          <a:off x="2277300" y="2091422"/>
          <a:ext cx="94355" cy="1701079"/>
        </a:xfrm>
        <a:custGeom>
          <a:avLst/>
          <a:gdLst/>
          <a:ahLst/>
          <a:cxnLst/>
          <a:rect l="0" t="0" r="0" b="0"/>
          <a:pathLst>
            <a:path>
              <a:moveTo>
                <a:pt x="0" y="0"/>
              </a:moveTo>
              <a:lnTo>
                <a:pt x="0" y="1701079"/>
              </a:lnTo>
              <a:lnTo>
                <a:pt x="94355" y="170107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05E8C9-9FE1-4545-84BB-FA380198FAFE}">
      <dsp:nvSpPr>
        <dsp:cNvPr id="0" name=""/>
        <dsp:cNvSpPr/>
      </dsp:nvSpPr>
      <dsp:spPr>
        <a:xfrm>
          <a:off x="2277300" y="2091422"/>
          <a:ext cx="94355" cy="1335089"/>
        </a:xfrm>
        <a:custGeom>
          <a:avLst/>
          <a:gdLst/>
          <a:ahLst/>
          <a:cxnLst/>
          <a:rect l="0" t="0" r="0" b="0"/>
          <a:pathLst>
            <a:path>
              <a:moveTo>
                <a:pt x="0" y="0"/>
              </a:moveTo>
              <a:lnTo>
                <a:pt x="0" y="1335089"/>
              </a:lnTo>
              <a:lnTo>
                <a:pt x="94355" y="133508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6B97CA-7A6E-4888-9AA2-23D6FB5F839D}">
      <dsp:nvSpPr>
        <dsp:cNvPr id="0" name=""/>
        <dsp:cNvSpPr/>
      </dsp:nvSpPr>
      <dsp:spPr>
        <a:xfrm>
          <a:off x="2277300"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6CE618-AFAE-4E87-A189-BA7EED51A6BC}">
      <dsp:nvSpPr>
        <dsp:cNvPr id="0" name=""/>
        <dsp:cNvSpPr/>
      </dsp:nvSpPr>
      <dsp:spPr>
        <a:xfrm>
          <a:off x="2277300"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B52C30-6081-4109-9A47-5570134E2F77}">
      <dsp:nvSpPr>
        <dsp:cNvPr id="0" name=""/>
        <dsp:cNvSpPr/>
      </dsp:nvSpPr>
      <dsp:spPr>
        <a:xfrm>
          <a:off x="2277300"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17FB98-DAA0-421E-8CA8-AD5B975866DE}">
      <dsp:nvSpPr>
        <dsp:cNvPr id="0" name=""/>
        <dsp:cNvSpPr/>
      </dsp:nvSpPr>
      <dsp:spPr>
        <a:xfrm>
          <a:off x="1791626" y="1725432"/>
          <a:ext cx="737288" cy="108250"/>
        </a:xfrm>
        <a:custGeom>
          <a:avLst/>
          <a:gdLst/>
          <a:ahLst/>
          <a:cxnLst/>
          <a:rect l="0" t="0" r="0" b="0"/>
          <a:pathLst>
            <a:path>
              <a:moveTo>
                <a:pt x="0" y="0"/>
              </a:moveTo>
              <a:lnTo>
                <a:pt x="0" y="54125"/>
              </a:lnTo>
              <a:lnTo>
                <a:pt x="737288" y="54125"/>
              </a:lnTo>
              <a:lnTo>
                <a:pt x="737288"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125864-2D90-443F-B234-843E82736838}">
      <dsp:nvSpPr>
        <dsp:cNvPr id="0" name=""/>
        <dsp:cNvSpPr/>
      </dsp:nvSpPr>
      <dsp:spPr>
        <a:xfrm>
          <a:off x="1540011" y="2091422"/>
          <a:ext cx="94355" cy="1701079"/>
        </a:xfrm>
        <a:custGeom>
          <a:avLst/>
          <a:gdLst/>
          <a:ahLst/>
          <a:cxnLst/>
          <a:rect l="0" t="0" r="0" b="0"/>
          <a:pathLst>
            <a:path>
              <a:moveTo>
                <a:pt x="0" y="0"/>
              </a:moveTo>
              <a:lnTo>
                <a:pt x="0" y="1701079"/>
              </a:lnTo>
              <a:lnTo>
                <a:pt x="94355" y="170107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7FD01D-3C0C-4D0E-9930-131D6CFAEC76}">
      <dsp:nvSpPr>
        <dsp:cNvPr id="0" name=""/>
        <dsp:cNvSpPr/>
      </dsp:nvSpPr>
      <dsp:spPr>
        <a:xfrm>
          <a:off x="1540011" y="2091422"/>
          <a:ext cx="94355" cy="1335089"/>
        </a:xfrm>
        <a:custGeom>
          <a:avLst/>
          <a:gdLst/>
          <a:ahLst/>
          <a:cxnLst/>
          <a:rect l="0" t="0" r="0" b="0"/>
          <a:pathLst>
            <a:path>
              <a:moveTo>
                <a:pt x="0" y="0"/>
              </a:moveTo>
              <a:lnTo>
                <a:pt x="0" y="1335089"/>
              </a:lnTo>
              <a:lnTo>
                <a:pt x="94355" y="133508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275D1-BE8A-4EF2-B888-3882E047FB3C}">
      <dsp:nvSpPr>
        <dsp:cNvPr id="0" name=""/>
        <dsp:cNvSpPr/>
      </dsp:nvSpPr>
      <dsp:spPr>
        <a:xfrm>
          <a:off x="1540011"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28A5AF-0B53-4C45-804E-1B332AC8AF37}">
      <dsp:nvSpPr>
        <dsp:cNvPr id="0" name=""/>
        <dsp:cNvSpPr/>
      </dsp:nvSpPr>
      <dsp:spPr>
        <a:xfrm>
          <a:off x="1540011"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7354A1-8AC6-4295-BB58-8EB17E2DF900}">
      <dsp:nvSpPr>
        <dsp:cNvPr id="0" name=""/>
        <dsp:cNvSpPr/>
      </dsp:nvSpPr>
      <dsp:spPr>
        <a:xfrm>
          <a:off x="1540011"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407B79-0EFD-4C34-B5BF-45C9FA19ECC4}">
      <dsp:nvSpPr>
        <dsp:cNvPr id="0" name=""/>
        <dsp:cNvSpPr/>
      </dsp:nvSpPr>
      <dsp:spPr>
        <a:xfrm>
          <a:off x="1745906" y="1725432"/>
          <a:ext cx="91440" cy="108250"/>
        </a:xfrm>
        <a:custGeom>
          <a:avLst/>
          <a:gdLst/>
          <a:ahLst/>
          <a:cxnLst/>
          <a:rect l="0" t="0" r="0" b="0"/>
          <a:pathLst>
            <a:path>
              <a:moveTo>
                <a:pt x="45720" y="0"/>
              </a:moveTo>
              <a:lnTo>
                <a:pt x="4572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A49E13-D1CB-4211-B42F-1E39AC062B3D}">
      <dsp:nvSpPr>
        <dsp:cNvPr id="0" name=""/>
        <dsp:cNvSpPr/>
      </dsp:nvSpPr>
      <dsp:spPr>
        <a:xfrm>
          <a:off x="802722" y="2091422"/>
          <a:ext cx="94355" cy="1920892"/>
        </a:xfrm>
        <a:custGeom>
          <a:avLst/>
          <a:gdLst/>
          <a:ahLst/>
          <a:cxnLst/>
          <a:rect l="0" t="0" r="0" b="0"/>
          <a:pathLst>
            <a:path>
              <a:moveTo>
                <a:pt x="0" y="0"/>
              </a:moveTo>
              <a:lnTo>
                <a:pt x="0" y="1920892"/>
              </a:lnTo>
              <a:lnTo>
                <a:pt x="94355" y="1920892"/>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7C0550-BB2A-4960-A1C7-C73AD3A03A30}">
      <dsp:nvSpPr>
        <dsp:cNvPr id="0" name=""/>
        <dsp:cNvSpPr/>
      </dsp:nvSpPr>
      <dsp:spPr>
        <a:xfrm>
          <a:off x="802722" y="2091422"/>
          <a:ext cx="94355" cy="1554902"/>
        </a:xfrm>
        <a:custGeom>
          <a:avLst/>
          <a:gdLst/>
          <a:ahLst/>
          <a:cxnLst/>
          <a:rect l="0" t="0" r="0" b="0"/>
          <a:pathLst>
            <a:path>
              <a:moveTo>
                <a:pt x="0" y="0"/>
              </a:moveTo>
              <a:lnTo>
                <a:pt x="0" y="1554902"/>
              </a:lnTo>
              <a:lnTo>
                <a:pt x="94355" y="1554902"/>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C9EFC8-C1B8-4126-AB80-A8CB6629DAB5}">
      <dsp:nvSpPr>
        <dsp:cNvPr id="0" name=""/>
        <dsp:cNvSpPr/>
      </dsp:nvSpPr>
      <dsp:spPr>
        <a:xfrm>
          <a:off x="802722" y="2091422"/>
          <a:ext cx="94355" cy="1079006"/>
        </a:xfrm>
        <a:custGeom>
          <a:avLst/>
          <a:gdLst/>
          <a:ahLst/>
          <a:cxnLst/>
          <a:rect l="0" t="0" r="0" b="0"/>
          <a:pathLst>
            <a:path>
              <a:moveTo>
                <a:pt x="0" y="0"/>
              </a:moveTo>
              <a:lnTo>
                <a:pt x="0" y="1079006"/>
              </a:lnTo>
              <a:lnTo>
                <a:pt x="94355" y="1079006"/>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B5FDDC-3AEB-45F4-9326-D73E740BDBE3}">
      <dsp:nvSpPr>
        <dsp:cNvPr id="0" name=""/>
        <dsp:cNvSpPr/>
      </dsp:nvSpPr>
      <dsp:spPr>
        <a:xfrm>
          <a:off x="802722"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7CC1A9-9175-45EF-A3AC-63F8539A1763}">
      <dsp:nvSpPr>
        <dsp:cNvPr id="0" name=""/>
        <dsp:cNvSpPr/>
      </dsp:nvSpPr>
      <dsp:spPr>
        <a:xfrm>
          <a:off x="802722"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4FAC78-CC9C-4DED-B4F2-B5423FF8E371}">
      <dsp:nvSpPr>
        <dsp:cNvPr id="0" name=""/>
        <dsp:cNvSpPr/>
      </dsp:nvSpPr>
      <dsp:spPr>
        <a:xfrm>
          <a:off x="1054337" y="1725432"/>
          <a:ext cx="737288" cy="108250"/>
        </a:xfrm>
        <a:custGeom>
          <a:avLst/>
          <a:gdLst/>
          <a:ahLst/>
          <a:cxnLst/>
          <a:rect l="0" t="0" r="0" b="0"/>
          <a:pathLst>
            <a:path>
              <a:moveTo>
                <a:pt x="737288" y="0"/>
              </a:moveTo>
              <a:lnTo>
                <a:pt x="737288" y="54125"/>
              </a:lnTo>
              <a:lnTo>
                <a:pt x="0" y="54125"/>
              </a:lnTo>
              <a:lnTo>
                <a:pt x="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10E03D-A83B-4487-82C6-5A6BDC00F688}">
      <dsp:nvSpPr>
        <dsp:cNvPr id="0" name=""/>
        <dsp:cNvSpPr/>
      </dsp:nvSpPr>
      <dsp:spPr>
        <a:xfrm>
          <a:off x="65433" y="2091422"/>
          <a:ext cx="94355" cy="969099"/>
        </a:xfrm>
        <a:custGeom>
          <a:avLst/>
          <a:gdLst/>
          <a:ahLst/>
          <a:cxnLst/>
          <a:rect l="0" t="0" r="0" b="0"/>
          <a:pathLst>
            <a:path>
              <a:moveTo>
                <a:pt x="0" y="0"/>
              </a:moveTo>
              <a:lnTo>
                <a:pt x="0" y="969099"/>
              </a:lnTo>
              <a:lnTo>
                <a:pt x="94355" y="96909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6FB5F2-3803-43D9-99A9-6E812902D34E}">
      <dsp:nvSpPr>
        <dsp:cNvPr id="0" name=""/>
        <dsp:cNvSpPr/>
      </dsp:nvSpPr>
      <dsp:spPr>
        <a:xfrm>
          <a:off x="65433" y="2091422"/>
          <a:ext cx="94355" cy="603109"/>
        </a:xfrm>
        <a:custGeom>
          <a:avLst/>
          <a:gdLst/>
          <a:ahLst/>
          <a:cxnLst/>
          <a:rect l="0" t="0" r="0" b="0"/>
          <a:pathLst>
            <a:path>
              <a:moveTo>
                <a:pt x="0" y="0"/>
              </a:moveTo>
              <a:lnTo>
                <a:pt x="0" y="603109"/>
              </a:lnTo>
              <a:lnTo>
                <a:pt x="94355" y="603109"/>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A30A55-0924-49C1-977D-33103C630CD6}">
      <dsp:nvSpPr>
        <dsp:cNvPr id="0" name=""/>
        <dsp:cNvSpPr/>
      </dsp:nvSpPr>
      <dsp:spPr>
        <a:xfrm>
          <a:off x="65433" y="2091422"/>
          <a:ext cx="94355" cy="237120"/>
        </a:xfrm>
        <a:custGeom>
          <a:avLst/>
          <a:gdLst/>
          <a:ahLst/>
          <a:cxnLst/>
          <a:rect l="0" t="0" r="0" b="0"/>
          <a:pathLst>
            <a:path>
              <a:moveTo>
                <a:pt x="0" y="0"/>
              </a:moveTo>
              <a:lnTo>
                <a:pt x="0" y="237120"/>
              </a:lnTo>
              <a:lnTo>
                <a:pt x="94355" y="237120"/>
              </a:lnTo>
            </a:path>
          </a:pathLst>
        </a:custGeom>
        <a:no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B4D687-72B2-4C0A-B548-A7E6A0F84389}">
      <dsp:nvSpPr>
        <dsp:cNvPr id="0" name=""/>
        <dsp:cNvSpPr/>
      </dsp:nvSpPr>
      <dsp:spPr>
        <a:xfrm>
          <a:off x="317048" y="1725432"/>
          <a:ext cx="1474577" cy="108250"/>
        </a:xfrm>
        <a:custGeom>
          <a:avLst/>
          <a:gdLst/>
          <a:ahLst/>
          <a:cxnLst/>
          <a:rect l="0" t="0" r="0" b="0"/>
          <a:pathLst>
            <a:path>
              <a:moveTo>
                <a:pt x="1474577" y="0"/>
              </a:moveTo>
              <a:lnTo>
                <a:pt x="1474577" y="54125"/>
              </a:lnTo>
              <a:lnTo>
                <a:pt x="0" y="54125"/>
              </a:lnTo>
              <a:lnTo>
                <a:pt x="0" y="108250"/>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900511-924E-40DB-B0C0-0616F90A164B}">
      <dsp:nvSpPr>
        <dsp:cNvPr id="0" name=""/>
        <dsp:cNvSpPr/>
      </dsp:nvSpPr>
      <dsp:spPr>
        <a:xfrm>
          <a:off x="1791626" y="627463"/>
          <a:ext cx="2060930" cy="840229"/>
        </a:xfrm>
        <a:custGeom>
          <a:avLst/>
          <a:gdLst/>
          <a:ahLst/>
          <a:cxnLst/>
          <a:rect l="0" t="0" r="0" b="0"/>
          <a:pathLst>
            <a:path>
              <a:moveTo>
                <a:pt x="2060930" y="0"/>
              </a:moveTo>
              <a:lnTo>
                <a:pt x="2060930" y="786104"/>
              </a:lnTo>
              <a:lnTo>
                <a:pt x="0" y="786104"/>
              </a:lnTo>
              <a:lnTo>
                <a:pt x="0" y="84022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2196DF-03CB-4E02-93DC-9F79A3BA2708}">
      <dsp:nvSpPr>
        <dsp:cNvPr id="0" name=""/>
        <dsp:cNvSpPr/>
      </dsp:nvSpPr>
      <dsp:spPr>
        <a:xfrm>
          <a:off x="2952557" y="369724"/>
          <a:ext cx="1799999" cy="257739"/>
        </a:xfrm>
        <a:prstGeom prst="rect">
          <a:avLst/>
        </a:prstGeom>
        <a:solidFill>
          <a:schemeClr val="accent2">
            <a:lumMod val="60000"/>
            <a:lumOff val="4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solidFill>
                <a:sysClr val="windowText" lastClr="000000"/>
              </a:solidFill>
            </a:rPr>
            <a:t>President</a:t>
          </a:r>
        </a:p>
      </dsp:txBody>
      <dsp:txXfrm>
        <a:off x="2952557" y="369724"/>
        <a:ext cx="1799999" cy="257739"/>
      </dsp:txXfrm>
    </dsp:sp>
    <dsp:sp modelId="{66FB4634-2010-48B1-8044-06A89C92E9B5}">
      <dsp:nvSpPr>
        <dsp:cNvPr id="0" name=""/>
        <dsp:cNvSpPr/>
      </dsp:nvSpPr>
      <dsp:spPr>
        <a:xfrm>
          <a:off x="1161626" y="1467693"/>
          <a:ext cx="125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Vice President</a:t>
          </a:r>
        </a:p>
      </dsp:txBody>
      <dsp:txXfrm>
        <a:off x="1161626" y="1467693"/>
        <a:ext cx="1259999" cy="257739"/>
      </dsp:txXfrm>
    </dsp:sp>
    <dsp:sp modelId="{D14AEFF4-B081-4238-9582-6374609AA8E8}">
      <dsp:nvSpPr>
        <dsp:cNvPr id="0" name=""/>
        <dsp:cNvSpPr/>
      </dsp:nvSpPr>
      <dsp:spPr>
        <a:xfrm>
          <a:off x="2529"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Legal Affairs Dept.</a:t>
          </a:r>
        </a:p>
      </dsp:txBody>
      <dsp:txXfrm>
        <a:off x="2529" y="1833683"/>
        <a:ext cx="629038" cy="257739"/>
      </dsp:txXfrm>
    </dsp:sp>
    <dsp:sp modelId="{27E36F6E-E10D-42D9-B66D-BC6DA1644262}">
      <dsp:nvSpPr>
        <dsp:cNvPr id="0" name=""/>
        <dsp:cNvSpPr/>
      </dsp:nvSpPr>
      <dsp:spPr>
        <a:xfrm>
          <a:off x="159789"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1st Group</a:t>
          </a:r>
        </a:p>
      </dsp:txBody>
      <dsp:txXfrm>
        <a:off x="159789" y="2199672"/>
        <a:ext cx="605321" cy="257739"/>
      </dsp:txXfrm>
    </dsp:sp>
    <dsp:sp modelId="{58C37BC5-424C-4580-A0A4-5304C242EBC7}">
      <dsp:nvSpPr>
        <dsp:cNvPr id="0" name=""/>
        <dsp:cNvSpPr/>
      </dsp:nvSpPr>
      <dsp:spPr>
        <a:xfrm>
          <a:off x="159789" y="256566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2nd Group</a:t>
          </a:r>
        </a:p>
      </dsp:txBody>
      <dsp:txXfrm>
        <a:off x="159789" y="2565662"/>
        <a:ext cx="611249" cy="257739"/>
      </dsp:txXfrm>
    </dsp:sp>
    <dsp:sp modelId="{53ED98AA-A6D5-43BD-A692-BECBD0142472}">
      <dsp:nvSpPr>
        <dsp:cNvPr id="0" name=""/>
        <dsp:cNvSpPr/>
      </dsp:nvSpPr>
      <dsp:spPr>
        <a:xfrm>
          <a:off x="159789" y="293165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3rd Group</a:t>
          </a:r>
        </a:p>
      </dsp:txBody>
      <dsp:txXfrm>
        <a:off x="159789" y="2931652"/>
        <a:ext cx="611249" cy="257739"/>
      </dsp:txXfrm>
    </dsp:sp>
    <dsp:sp modelId="{2734AE6D-7E4C-462B-AA55-5E06A8BAC55B}">
      <dsp:nvSpPr>
        <dsp:cNvPr id="0" name=""/>
        <dsp:cNvSpPr/>
      </dsp:nvSpPr>
      <dsp:spPr>
        <a:xfrm>
          <a:off x="739818"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LPG Market Dept.</a:t>
          </a:r>
        </a:p>
      </dsp:txBody>
      <dsp:txXfrm>
        <a:off x="739818" y="1833683"/>
        <a:ext cx="629038" cy="257739"/>
      </dsp:txXfrm>
    </dsp:sp>
    <dsp:sp modelId="{C96D2213-AA47-432E-9577-0757E0EBCA63}">
      <dsp:nvSpPr>
        <dsp:cNvPr id="0" name=""/>
        <dsp:cNvSpPr/>
      </dsp:nvSpPr>
      <dsp:spPr>
        <a:xfrm>
          <a:off x="897078"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1st Retailer Licenses Group</a:t>
          </a:r>
        </a:p>
      </dsp:txBody>
      <dsp:txXfrm>
        <a:off x="897078" y="2199672"/>
        <a:ext cx="605321" cy="257739"/>
      </dsp:txXfrm>
    </dsp:sp>
    <dsp:sp modelId="{70FFCA45-3772-4F53-803F-719E4E2B36F8}">
      <dsp:nvSpPr>
        <dsp:cNvPr id="0" name=""/>
        <dsp:cNvSpPr/>
      </dsp:nvSpPr>
      <dsp:spPr>
        <a:xfrm>
          <a:off x="897078" y="256566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2nd Retailer Licenses Group</a:t>
          </a:r>
        </a:p>
      </dsp:txBody>
      <dsp:txXfrm>
        <a:off x="897078" y="2565662"/>
        <a:ext cx="611249" cy="257739"/>
      </dsp:txXfrm>
    </dsp:sp>
    <dsp:sp modelId="{402182B7-D784-4AFB-932C-74A1E928ED56}">
      <dsp:nvSpPr>
        <dsp:cNvPr id="0" name=""/>
        <dsp:cNvSpPr/>
      </dsp:nvSpPr>
      <dsp:spPr>
        <a:xfrm>
          <a:off x="897078" y="2931652"/>
          <a:ext cx="611249" cy="477552"/>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Legistation, Tech., Reg. Consumer Group</a:t>
          </a:r>
        </a:p>
      </dsp:txBody>
      <dsp:txXfrm>
        <a:off x="897078" y="2931652"/>
        <a:ext cx="611249" cy="477552"/>
      </dsp:txXfrm>
    </dsp:sp>
    <dsp:sp modelId="{1B71C4E1-1DC7-4FA4-B6A4-4A74DAF9A03A}">
      <dsp:nvSpPr>
        <dsp:cNvPr id="0" name=""/>
        <dsp:cNvSpPr/>
      </dsp:nvSpPr>
      <dsp:spPr>
        <a:xfrm>
          <a:off x="897078" y="3517454"/>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Orher Licenses Group</a:t>
          </a:r>
        </a:p>
      </dsp:txBody>
      <dsp:txXfrm>
        <a:off x="897078" y="3517454"/>
        <a:ext cx="611249" cy="257739"/>
      </dsp:txXfrm>
    </dsp:sp>
    <dsp:sp modelId="{B768F0DD-78D5-4988-9AAB-0E7591093BCC}">
      <dsp:nvSpPr>
        <dsp:cNvPr id="0" name=""/>
        <dsp:cNvSpPr/>
      </dsp:nvSpPr>
      <dsp:spPr>
        <a:xfrm>
          <a:off x="897078" y="3883444"/>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Monitoring Group</a:t>
          </a:r>
        </a:p>
      </dsp:txBody>
      <dsp:txXfrm>
        <a:off x="897078" y="3883444"/>
        <a:ext cx="611249" cy="257739"/>
      </dsp:txXfrm>
    </dsp:sp>
    <dsp:sp modelId="{7D0112EC-5CB7-4A7B-8DBE-6528661CB40A}">
      <dsp:nvSpPr>
        <dsp:cNvPr id="0" name=""/>
        <dsp:cNvSpPr/>
      </dsp:nvSpPr>
      <dsp:spPr>
        <a:xfrm>
          <a:off x="1477107"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Auditing Dept.</a:t>
          </a:r>
        </a:p>
      </dsp:txBody>
      <dsp:txXfrm>
        <a:off x="1477107" y="1833683"/>
        <a:ext cx="629038" cy="257739"/>
      </dsp:txXfrm>
    </dsp:sp>
    <dsp:sp modelId="{65FE2CD7-55E7-432A-8B8C-129D0326310B}">
      <dsp:nvSpPr>
        <dsp:cNvPr id="0" name=""/>
        <dsp:cNvSpPr/>
      </dsp:nvSpPr>
      <dsp:spPr>
        <a:xfrm>
          <a:off x="1634367"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1st Petroleum Group</a:t>
          </a:r>
        </a:p>
      </dsp:txBody>
      <dsp:txXfrm>
        <a:off x="1634367" y="2199672"/>
        <a:ext cx="605321" cy="257739"/>
      </dsp:txXfrm>
    </dsp:sp>
    <dsp:sp modelId="{FE3E2183-A55E-4434-9D41-9BB6CF0F9736}">
      <dsp:nvSpPr>
        <dsp:cNvPr id="0" name=""/>
        <dsp:cNvSpPr/>
      </dsp:nvSpPr>
      <dsp:spPr>
        <a:xfrm>
          <a:off x="1634367" y="256566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2nd Petroleum Group</a:t>
          </a:r>
        </a:p>
      </dsp:txBody>
      <dsp:txXfrm>
        <a:off x="1634367" y="2565662"/>
        <a:ext cx="611249" cy="257739"/>
      </dsp:txXfrm>
    </dsp:sp>
    <dsp:sp modelId="{7F0306AC-675C-4FF6-A0CD-8838AE68C7FC}">
      <dsp:nvSpPr>
        <dsp:cNvPr id="0" name=""/>
        <dsp:cNvSpPr/>
      </dsp:nvSpPr>
      <dsp:spPr>
        <a:xfrm>
          <a:off x="1634367" y="293165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LPG Group</a:t>
          </a:r>
        </a:p>
      </dsp:txBody>
      <dsp:txXfrm>
        <a:off x="1634367" y="2931652"/>
        <a:ext cx="611249" cy="257739"/>
      </dsp:txXfrm>
    </dsp:sp>
    <dsp:sp modelId="{4AEA1E02-DF48-4061-B133-64E5BA3DF2AE}">
      <dsp:nvSpPr>
        <dsp:cNvPr id="0" name=""/>
        <dsp:cNvSpPr/>
      </dsp:nvSpPr>
      <dsp:spPr>
        <a:xfrm>
          <a:off x="1634367" y="329764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Electricit Group</a:t>
          </a:r>
        </a:p>
      </dsp:txBody>
      <dsp:txXfrm>
        <a:off x="1634367" y="3297642"/>
        <a:ext cx="611249" cy="257739"/>
      </dsp:txXfrm>
    </dsp:sp>
    <dsp:sp modelId="{0AEB890C-2876-41D0-B9BC-F63E242705E1}">
      <dsp:nvSpPr>
        <dsp:cNvPr id="0" name=""/>
        <dsp:cNvSpPr/>
      </dsp:nvSpPr>
      <dsp:spPr>
        <a:xfrm>
          <a:off x="1634367" y="3663631"/>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Natural Gas Group</a:t>
          </a:r>
        </a:p>
      </dsp:txBody>
      <dsp:txXfrm>
        <a:off x="1634367" y="3663631"/>
        <a:ext cx="611249" cy="257739"/>
      </dsp:txXfrm>
    </dsp:sp>
    <dsp:sp modelId="{1CFB3BEA-9AA9-4D4D-AFD5-4EB26671C546}">
      <dsp:nvSpPr>
        <dsp:cNvPr id="0" name=""/>
        <dsp:cNvSpPr/>
      </dsp:nvSpPr>
      <dsp:spPr>
        <a:xfrm>
          <a:off x="2214396"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Humans Res. Dept.</a:t>
          </a:r>
        </a:p>
      </dsp:txBody>
      <dsp:txXfrm>
        <a:off x="2214396" y="1833683"/>
        <a:ext cx="629038" cy="257739"/>
      </dsp:txXfrm>
    </dsp:sp>
    <dsp:sp modelId="{39776CE1-75D1-46BB-BFB4-5A93DCB0783D}">
      <dsp:nvSpPr>
        <dsp:cNvPr id="0" name=""/>
        <dsp:cNvSpPr/>
      </dsp:nvSpPr>
      <dsp:spPr>
        <a:xfrm>
          <a:off x="2371656"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Personnel Affairs Group</a:t>
          </a:r>
        </a:p>
      </dsp:txBody>
      <dsp:txXfrm>
        <a:off x="2371656" y="2199672"/>
        <a:ext cx="605321" cy="257739"/>
      </dsp:txXfrm>
    </dsp:sp>
    <dsp:sp modelId="{420ADE94-A944-4D75-9FEE-A5B94C2EF654}">
      <dsp:nvSpPr>
        <dsp:cNvPr id="0" name=""/>
        <dsp:cNvSpPr/>
      </dsp:nvSpPr>
      <dsp:spPr>
        <a:xfrm>
          <a:off x="2371656" y="256566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Purchasing Group</a:t>
          </a:r>
        </a:p>
      </dsp:txBody>
      <dsp:txXfrm>
        <a:off x="2371656" y="2565662"/>
        <a:ext cx="611249" cy="257739"/>
      </dsp:txXfrm>
    </dsp:sp>
    <dsp:sp modelId="{CE6E1443-3584-4FBB-AA76-C2B6FD20BD3A}">
      <dsp:nvSpPr>
        <dsp:cNvPr id="0" name=""/>
        <dsp:cNvSpPr/>
      </dsp:nvSpPr>
      <dsp:spPr>
        <a:xfrm>
          <a:off x="2371656" y="293165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Education Group</a:t>
          </a:r>
        </a:p>
      </dsp:txBody>
      <dsp:txXfrm>
        <a:off x="2371656" y="2931652"/>
        <a:ext cx="611249" cy="257739"/>
      </dsp:txXfrm>
    </dsp:sp>
    <dsp:sp modelId="{AFAA1CB7-F81E-4D7F-8DDB-E13DCF915B4F}">
      <dsp:nvSpPr>
        <dsp:cNvPr id="0" name=""/>
        <dsp:cNvSpPr/>
      </dsp:nvSpPr>
      <dsp:spPr>
        <a:xfrm>
          <a:off x="2371656" y="329764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Technical Services Group</a:t>
          </a:r>
        </a:p>
      </dsp:txBody>
      <dsp:txXfrm>
        <a:off x="2371656" y="3297642"/>
        <a:ext cx="611249" cy="257739"/>
      </dsp:txXfrm>
    </dsp:sp>
    <dsp:sp modelId="{8884BCC6-A89A-42D4-867F-834C653C37C2}">
      <dsp:nvSpPr>
        <dsp:cNvPr id="0" name=""/>
        <dsp:cNvSpPr/>
      </dsp:nvSpPr>
      <dsp:spPr>
        <a:xfrm>
          <a:off x="2371656" y="3663631"/>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Social Affairs Group</a:t>
          </a:r>
        </a:p>
      </dsp:txBody>
      <dsp:txXfrm>
        <a:off x="2371656" y="3663631"/>
        <a:ext cx="611249" cy="257739"/>
      </dsp:txXfrm>
    </dsp:sp>
    <dsp:sp modelId="{6B54BAFD-7F37-4819-8801-40DA7CB96D5A}">
      <dsp:nvSpPr>
        <dsp:cNvPr id="0" name=""/>
        <dsp:cNvSpPr/>
      </dsp:nvSpPr>
      <dsp:spPr>
        <a:xfrm>
          <a:off x="2951685"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Petroleum Market Dept.</a:t>
          </a:r>
        </a:p>
      </dsp:txBody>
      <dsp:txXfrm>
        <a:off x="2951685" y="1833683"/>
        <a:ext cx="629038" cy="257739"/>
      </dsp:txXfrm>
    </dsp:sp>
    <dsp:sp modelId="{31C406F9-FAD5-4C34-B088-D848B76AD332}">
      <dsp:nvSpPr>
        <dsp:cNvPr id="0" name=""/>
        <dsp:cNvSpPr/>
      </dsp:nvSpPr>
      <dsp:spPr>
        <a:xfrm>
          <a:off x="3108945"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1st Retailer Licenses Group</a:t>
          </a:r>
        </a:p>
      </dsp:txBody>
      <dsp:txXfrm>
        <a:off x="3108945" y="2199672"/>
        <a:ext cx="605321" cy="257739"/>
      </dsp:txXfrm>
    </dsp:sp>
    <dsp:sp modelId="{60AB6B83-B070-439A-BA87-45447BD71542}">
      <dsp:nvSpPr>
        <dsp:cNvPr id="0" name=""/>
        <dsp:cNvSpPr/>
      </dsp:nvSpPr>
      <dsp:spPr>
        <a:xfrm>
          <a:off x="3108945" y="256566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2nd Retailer Licenses Group</a:t>
          </a:r>
        </a:p>
      </dsp:txBody>
      <dsp:txXfrm>
        <a:off x="3108945" y="2565662"/>
        <a:ext cx="611249" cy="257739"/>
      </dsp:txXfrm>
    </dsp:sp>
    <dsp:sp modelId="{C60DDCA0-895E-42F5-9186-A43048767D4E}">
      <dsp:nvSpPr>
        <dsp:cNvPr id="0" name=""/>
        <dsp:cNvSpPr/>
      </dsp:nvSpPr>
      <dsp:spPr>
        <a:xfrm>
          <a:off x="3108945" y="293165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Other Licences Group</a:t>
          </a:r>
        </a:p>
      </dsp:txBody>
      <dsp:txXfrm>
        <a:off x="3108945" y="2931652"/>
        <a:ext cx="611249" cy="257739"/>
      </dsp:txXfrm>
    </dsp:sp>
    <dsp:sp modelId="{DD4D6429-1959-486B-8C83-B2C3F01CA2A9}">
      <dsp:nvSpPr>
        <dsp:cNvPr id="0" name=""/>
        <dsp:cNvSpPr/>
      </dsp:nvSpPr>
      <dsp:spPr>
        <a:xfrm>
          <a:off x="3108945" y="3297642"/>
          <a:ext cx="611249" cy="40160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Legislation, Tech. Reg. Consumer Group</a:t>
          </a:r>
        </a:p>
      </dsp:txBody>
      <dsp:txXfrm>
        <a:off x="3108945" y="3297642"/>
        <a:ext cx="611249" cy="401609"/>
      </dsp:txXfrm>
    </dsp:sp>
    <dsp:sp modelId="{53C8E187-8431-46AC-B35F-9FF28CB651A1}">
      <dsp:nvSpPr>
        <dsp:cNvPr id="0" name=""/>
        <dsp:cNvSpPr/>
      </dsp:nvSpPr>
      <dsp:spPr>
        <a:xfrm>
          <a:off x="3108945" y="3807501"/>
          <a:ext cx="611249" cy="310292"/>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Supervision &amp; Automation Group</a:t>
          </a:r>
        </a:p>
      </dsp:txBody>
      <dsp:txXfrm>
        <a:off x="3108945" y="3807501"/>
        <a:ext cx="611249" cy="310292"/>
      </dsp:txXfrm>
    </dsp:sp>
    <dsp:sp modelId="{EE57F8F1-CCDA-432C-9E96-7B3C295D70FB}">
      <dsp:nvSpPr>
        <dsp:cNvPr id="0" name=""/>
        <dsp:cNvSpPr/>
      </dsp:nvSpPr>
      <dsp:spPr>
        <a:xfrm>
          <a:off x="3108945" y="4226044"/>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Marker &amp; Other Products Group</a:t>
          </a:r>
        </a:p>
      </dsp:txBody>
      <dsp:txXfrm>
        <a:off x="3108945" y="4226044"/>
        <a:ext cx="611249" cy="257739"/>
      </dsp:txXfrm>
    </dsp:sp>
    <dsp:sp modelId="{35E88083-CC5F-4586-8BC7-78DAB5D70CEF}">
      <dsp:nvSpPr>
        <dsp:cNvPr id="0" name=""/>
        <dsp:cNvSpPr/>
      </dsp:nvSpPr>
      <dsp:spPr>
        <a:xfrm>
          <a:off x="5283487" y="1467693"/>
          <a:ext cx="125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Vice President</a:t>
          </a:r>
        </a:p>
      </dsp:txBody>
      <dsp:txXfrm>
        <a:off x="5283487" y="1467693"/>
        <a:ext cx="1259999" cy="257739"/>
      </dsp:txXfrm>
    </dsp:sp>
    <dsp:sp modelId="{E95FFD38-9874-4015-83F1-336B22014284}">
      <dsp:nvSpPr>
        <dsp:cNvPr id="0" name=""/>
        <dsp:cNvSpPr/>
      </dsp:nvSpPr>
      <dsp:spPr>
        <a:xfrm>
          <a:off x="3688974"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Electiricty Market Dept.</a:t>
          </a:r>
        </a:p>
      </dsp:txBody>
      <dsp:txXfrm>
        <a:off x="3688974" y="1833683"/>
        <a:ext cx="629038" cy="257739"/>
      </dsp:txXfrm>
    </dsp:sp>
    <dsp:sp modelId="{BC89AB6F-45B7-4C0F-93B8-3E80446BB100}">
      <dsp:nvSpPr>
        <dsp:cNvPr id="0" name=""/>
        <dsp:cNvSpPr/>
      </dsp:nvSpPr>
      <dsp:spPr>
        <a:xfrm>
          <a:off x="3846233"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Hydro Projects Group</a:t>
          </a:r>
        </a:p>
      </dsp:txBody>
      <dsp:txXfrm>
        <a:off x="3846233" y="2199672"/>
        <a:ext cx="605321" cy="257739"/>
      </dsp:txXfrm>
    </dsp:sp>
    <dsp:sp modelId="{1EBAA58C-809B-42C7-8D90-5D3B8B4B33F3}">
      <dsp:nvSpPr>
        <dsp:cNvPr id="0" name=""/>
        <dsp:cNvSpPr/>
      </dsp:nvSpPr>
      <dsp:spPr>
        <a:xfrm>
          <a:off x="3846233" y="2565662"/>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Win &amp; Solar Projects Group</a:t>
          </a:r>
        </a:p>
      </dsp:txBody>
      <dsp:txXfrm>
        <a:off x="3846233" y="2565662"/>
        <a:ext cx="612001" cy="257739"/>
      </dsp:txXfrm>
    </dsp:sp>
    <dsp:sp modelId="{D0220285-8769-4F04-B0A4-DF4827A80904}">
      <dsp:nvSpPr>
        <dsp:cNvPr id="0" name=""/>
        <dsp:cNvSpPr/>
      </dsp:nvSpPr>
      <dsp:spPr>
        <a:xfrm>
          <a:off x="3846233" y="2931652"/>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Unlicenced Projects Group</a:t>
          </a:r>
        </a:p>
      </dsp:txBody>
      <dsp:txXfrm>
        <a:off x="3846233" y="2931652"/>
        <a:ext cx="612001" cy="257739"/>
      </dsp:txXfrm>
    </dsp:sp>
    <dsp:sp modelId="{43A6C74F-4111-48FE-8ED3-A9770FBE85CB}">
      <dsp:nvSpPr>
        <dsp:cNvPr id="0" name=""/>
        <dsp:cNvSpPr/>
      </dsp:nvSpPr>
      <dsp:spPr>
        <a:xfrm>
          <a:off x="3846233" y="3297642"/>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Thermal Projects Group</a:t>
          </a:r>
        </a:p>
      </dsp:txBody>
      <dsp:txXfrm>
        <a:off x="3846233" y="3297642"/>
        <a:ext cx="612001" cy="257739"/>
      </dsp:txXfrm>
    </dsp:sp>
    <dsp:sp modelId="{257B2F7E-AC7D-4EE8-ADAF-CE561052367E}">
      <dsp:nvSpPr>
        <dsp:cNvPr id="0" name=""/>
        <dsp:cNvSpPr/>
      </dsp:nvSpPr>
      <dsp:spPr>
        <a:xfrm>
          <a:off x="3846233" y="366363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Distribution &amp; Retail Group</a:t>
          </a:r>
        </a:p>
      </dsp:txBody>
      <dsp:txXfrm>
        <a:off x="3846233" y="3663631"/>
        <a:ext cx="612001" cy="257739"/>
      </dsp:txXfrm>
    </dsp:sp>
    <dsp:sp modelId="{00147DD0-EDAB-4E6F-8AE5-F21783FF0245}">
      <dsp:nvSpPr>
        <dsp:cNvPr id="0" name=""/>
        <dsp:cNvSpPr/>
      </dsp:nvSpPr>
      <dsp:spPr>
        <a:xfrm>
          <a:off x="3846233" y="402962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Transmission &amp; OIZ Group</a:t>
          </a:r>
        </a:p>
      </dsp:txBody>
      <dsp:txXfrm>
        <a:off x="3846233" y="4029621"/>
        <a:ext cx="612001" cy="257739"/>
      </dsp:txXfrm>
    </dsp:sp>
    <dsp:sp modelId="{476CDE72-3290-448A-937F-F2B163EC05B4}">
      <dsp:nvSpPr>
        <dsp:cNvPr id="0" name=""/>
        <dsp:cNvSpPr/>
      </dsp:nvSpPr>
      <dsp:spPr>
        <a:xfrm>
          <a:off x="3846233" y="439561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Organized Markets Group</a:t>
          </a:r>
        </a:p>
      </dsp:txBody>
      <dsp:txXfrm>
        <a:off x="3846233" y="4395611"/>
        <a:ext cx="612001" cy="257739"/>
      </dsp:txXfrm>
    </dsp:sp>
    <dsp:sp modelId="{032F31ED-B444-4148-8080-DC8FC7D3DB20}">
      <dsp:nvSpPr>
        <dsp:cNvPr id="0" name=""/>
        <dsp:cNvSpPr/>
      </dsp:nvSpPr>
      <dsp:spPr>
        <a:xfrm>
          <a:off x="3846233" y="476160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Consumers Group</a:t>
          </a:r>
        </a:p>
      </dsp:txBody>
      <dsp:txXfrm>
        <a:off x="3846233" y="4761601"/>
        <a:ext cx="612001" cy="257739"/>
      </dsp:txXfrm>
    </dsp:sp>
    <dsp:sp modelId="{CFB59F79-8585-4D89-9BBE-BD3D6FBD420B}">
      <dsp:nvSpPr>
        <dsp:cNvPr id="0" name=""/>
        <dsp:cNvSpPr/>
      </dsp:nvSpPr>
      <dsp:spPr>
        <a:xfrm>
          <a:off x="3846233" y="5127590"/>
          <a:ext cx="611249" cy="354845"/>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Monitoring &amp; Legislation Group</a:t>
          </a:r>
        </a:p>
      </dsp:txBody>
      <dsp:txXfrm>
        <a:off x="3846233" y="5127590"/>
        <a:ext cx="611249" cy="354845"/>
      </dsp:txXfrm>
    </dsp:sp>
    <dsp:sp modelId="{A5CC8792-8A4C-4FD3-8C69-8685E4E44389}">
      <dsp:nvSpPr>
        <dsp:cNvPr id="0" name=""/>
        <dsp:cNvSpPr/>
      </dsp:nvSpPr>
      <dsp:spPr>
        <a:xfrm>
          <a:off x="4426263"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Strategy Dept.</a:t>
          </a:r>
        </a:p>
      </dsp:txBody>
      <dsp:txXfrm>
        <a:off x="4426263" y="1833683"/>
        <a:ext cx="629038" cy="257739"/>
      </dsp:txXfrm>
    </dsp:sp>
    <dsp:sp modelId="{B0F70718-29A8-48D3-85D7-2251AD7A69B7}">
      <dsp:nvSpPr>
        <dsp:cNvPr id="0" name=""/>
        <dsp:cNvSpPr/>
      </dsp:nvSpPr>
      <dsp:spPr>
        <a:xfrm>
          <a:off x="4583522" y="2199672"/>
          <a:ext cx="605321" cy="352378"/>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Statistics &amp; Reporting Group</a:t>
          </a:r>
        </a:p>
      </dsp:txBody>
      <dsp:txXfrm>
        <a:off x="4583522" y="2199672"/>
        <a:ext cx="605321" cy="352378"/>
      </dsp:txXfrm>
    </dsp:sp>
    <dsp:sp modelId="{262CB4B6-BD84-4056-B54A-18F7BF330FBB}">
      <dsp:nvSpPr>
        <dsp:cNvPr id="0" name=""/>
        <dsp:cNvSpPr/>
      </dsp:nvSpPr>
      <dsp:spPr>
        <a:xfrm>
          <a:off x="4583522" y="266030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Foreign Relations Group</a:t>
          </a:r>
        </a:p>
      </dsp:txBody>
      <dsp:txXfrm>
        <a:off x="4583522" y="2660301"/>
        <a:ext cx="612001" cy="257739"/>
      </dsp:txXfrm>
    </dsp:sp>
    <dsp:sp modelId="{E1D050CE-D9C5-414F-84A0-A93C4DEC8BFE}">
      <dsp:nvSpPr>
        <dsp:cNvPr id="0" name=""/>
        <dsp:cNvSpPr/>
      </dsp:nvSpPr>
      <dsp:spPr>
        <a:xfrm>
          <a:off x="4583522" y="302629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Consumer Rights Group</a:t>
          </a:r>
        </a:p>
      </dsp:txBody>
      <dsp:txXfrm>
        <a:off x="4583522" y="3026291"/>
        <a:ext cx="612001" cy="257739"/>
      </dsp:txXfrm>
    </dsp:sp>
    <dsp:sp modelId="{8B836DB8-9EA4-443C-8096-ECFE9587B76B}">
      <dsp:nvSpPr>
        <dsp:cNvPr id="0" name=""/>
        <dsp:cNvSpPr/>
      </dsp:nvSpPr>
      <dsp:spPr>
        <a:xfrm>
          <a:off x="4583522" y="339228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Strategy &amp; Policy Group</a:t>
          </a:r>
        </a:p>
      </dsp:txBody>
      <dsp:txXfrm>
        <a:off x="4583522" y="3392281"/>
        <a:ext cx="612001" cy="257739"/>
      </dsp:txXfrm>
    </dsp:sp>
    <dsp:sp modelId="{721EB2B9-5F2B-4FFF-9051-0FA5E94303E1}">
      <dsp:nvSpPr>
        <dsp:cNvPr id="0" name=""/>
        <dsp:cNvSpPr/>
      </dsp:nvSpPr>
      <dsp:spPr>
        <a:xfrm>
          <a:off x="4583522" y="3758271"/>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Budget &amp; Fiscal Services Group</a:t>
          </a:r>
        </a:p>
      </dsp:txBody>
      <dsp:txXfrm>
        <a:off x="4583522" y="3758271"/>
        <a:ext cx="612001" cy="257739"/>
      </dsp:txXfrm>
    </dsp:sp>
    <dsp:sp modelId="{DBA6ADC8-8384-4411-96AB-B3254E4F3E89}">
      <dsp:nvSpPr>
        <dsp:cNvPr id="0" name=""/>
        <dsp:cNvSpPr/>
      </dsp:nvSpPr>
      <dsp:spPr>
        <a:xfrm>
          <a:off x="4583522" y="4124260"/>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Accounting Group</a:t>
          </a:r>
        </a:p>
      </dsp:txBody>
      <dsp:txXfrm>
        <a:off x="4583522" y="4124260"/>
        <a:ext cx="612001" cy="257739"/>
      </dsp:txXfrm>
    </dsp:sp>
    <dsp:sp modelId="{7306B4C5-C388-414A-980A-71CF78381FE9}">
      <dsp:nvSpPr>
        <dsp:cNvPr id="0" name=""/>
        <dsp:cNvSpPr/>
      </dsp:nvSpPr>
      <dsp:spPr>
        <a:xfrm>
          <a:off x="4583522" y="4490250"/>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Administrative Fines Group</a:t>
          </a:r>
        </a:p>
      </dsp:txBody>
      <dsp:txXfrm>
        <a:off x="4583522" y="4490250"/>
        <a:ext cx="611249" cy="257739"/>
      </dsp:txXfrm>
    </dsp:sp>
    <dsp:sp modelId="{5040640F-CB1E-4268-8858-F87C3E72BBA1}">
      <dsp:nvSpPr>
        <dsp:cNvPr id="0" name=""/>
        <dsp:cNvSpPr/>
      </dsp:nvSpPr>
      <dsp:spPr>
        <a:xfrm>
          <a:off x="5297094" y="1833683"/>
          <a:ext cx="629038" cy="385186"/>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Information Technologies Dept.</a:t>
          </a:r>
        </a:p>
      </dsp:txBody>
      <dsp:txXfrm>
        <a:off x="5297094" y="1833683"/>
        <a:ext cx="629038" cy="385186"/>
      </dsp:txXfrm>
    </dsp:sp>
    <dsp:sp modelId="{6D930FFF-E21E-4609-856F-152AC40C0901}">
      <dsp:nvSpPr>
        <dsp:cNvPr id="0" name=""/>
        <dsp:cNvSpPr/>
      </dsp:nvSpPr>
      <dsp:spPr>
        <a:xfrm>
          <a:off x="5454354" y="2327119"/>
          <a:ext cx="605321" cy="430187"/>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Software Development Services Group</a:t>
          </a:r>
        </a:p>
      </dsp:txBody>
      <dsp:txXfrm>
        <a:off x="5454354" y="2327119"/>
        <a:ext cx="605321" cy="430187"/>
      </dsp:txXfrm>
    </dsp:sp>
    <dsp:sp modelId="{C030AB0E-31F2-4C14-BB4F-547398C53526}">
      <dsp:nvSpPr>
        <dsp:cNvPr id="0" name=""/>
        <dsp:cNvSpPr/>
      </dsp:nvSpPr>
      <dsp:spPr>
        <a:xfrm>
          <a:off x="5454354" y="2865557"/>
          <a:ext cx="611249" cy="593393"/>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Data Management and Business Intelligence Group</a:t>
          </a:r>
        </a:p>
      </dsp:txBody>
      <dsp:txXfrm>
        <a:off x="5454354" y="2865557"/>
        <a:ext cx="611249" cy="593393"/>
      </dsp:txXfrm>
    </dsp:sp>
    <dsp:sp modelId="{8C664A5B-C196-4C1D-B18A-561990E2CDD1}">
      <dsp:nvSpPr>
        <dsp:cNvPr id="0" name=""/>
        <dsp:cNvSpPr/>
      </dsp:nvSpPr>
      <dsp:spPr>
        <a:xfrm>
          <a:off x="5454354" y="3567201"/>
          <a:ext cx="611249" cy="560484"/>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Information Security and Management Group</a:t>
          </a:r>
        </a:p>
      </dsp:txBody>
      <dsp:txXfrm>
        <a:off x="5454354" y="3567201"/>
        <a:ext cx="611249" cy="560484"/>
      </dsp:txXfrm>
    </dsp:sp>
    <dsp:sp modelId="{7F4EBA53-A975-40B0-9434-551189679C70}">
      <dsp:nvSpPr>
        <dsp:cNvPr id="0" name=""/>
        <dsp:cNvSpPr/>
      </dsp:nvSpPr>
      <dsp:spPr>
        <a:xfrm>
          <a:off x="5454354" y="4235936"/>
          <a:ext cx="611249" cy="603803"/>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IT Infrastructure Systems and Support Services Group</a:t>
          </a:r>
        </a:p>
      </dsp:txBody>
      <dsp:txXfrm>
        <a:off x="5454354" y="4235936"/>
        <a:ext cx="611249" cy="603803"/>
      </dsp:txXfrm>
    </dsp:sp>
    <dsp:sp modelId="{6CC55C5E-030A-46DE-86B2-3E2DB7BB9AA8}">
      <dsp:nvSpPr>
        <dsp:cNvPr id="0" name=""/>
        <dsp:cNvSpPr/>
      </dsp:nvSpPr>
      <dsp:spPr>
        <a:xfrm>
          <a:off x="6034383"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Expropriation Dept.</a:t>
          </a:r>
        </a:p>
      </dsp:txBody>
      <dsp:txXfrm>
        <a:off x="6034383" y="1833683"/>
        <a:ext cx="629038" cy="257739"/>
      </dsp:txXfrm>
    </dsp:sp>
    <dsp:sp modelId="{524F662D-19D3-420B-A1A7-7202B760C712}">
      <dsp:nvSpPr>
        <dsp:cNvPr id="0" name=""/>
        <dsp:cNvSpPr/>
      </dsp:nvSpPr>
      <dsp:spPr>
        <a:xfrm>
          <a:off x="6191643"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1st Group</a:t>
          </a:r>
        </a:p>
      </dsp:txBody>
      <dsp:txXfrm>
        <a:off x="6191643" y="2199672"/>
        <a:ext cx="605321" cy="257739"/>
      </dsp:txXfrm>
    </dsp:sp>
    <dsp:sp modelId="{D95718B3-FD93-4B56-8A35-162E099AEC7C}">
      <dsp:nvSpPr>
        <dsp:cNvPr id="0" name=""/>
        <dsp:cNvSpPr/>
      </dsp:nvSpPr>
      <dsp:spPr>
        <a:xfrm>
          <a:off x="6191643" y="2565662"/>
          <a:ext cx="61200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2nd Group</a:t>
          </a:r>
        </a:p>
      </dsp:txBody>
      <dsp:txXfrm>
        <a:off x="6191643" y="2565662"/>
        <a:ext cx="612001" cy="257739"/>
      </dsp:txXfrm>
    </dsp:sp>
    <dsp:sp modelId="{B3F4F474-C0EE-4C60-BA05-BD4FBF9BEDC9}">
      <dsp:nvSpPr>
        <dsp:cNvPr id="0" name=""/>
        <dsp:cNvSpPr/>
      </dsp:nvSpPr>
      <dsp:spPr>
        <a:xfrm>
          <a:off x="6191643" y="293165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3rd Group</a:t>
          </a:r>
        </a:p>
      </dsp:txBody>
      <dsp:txXfrm>
        <a:off x="6191643" y="2931652"/>
        <a:ext cx="611249" cy="257739"/>
      </dsp:txXfrm>
    </dsp:sp>
    <dsp:sp modelId="{16EDBB62-EDB7-4028-A3A2-883034DA095E}">
      <dsp:nvSpPr>
        <dsp:cNvPr id="0" name=""/>
        <dsp:cNvSpPr/>
      </dsp:nvSpPr>
      <dsp:spPr>
        <a:xfrm>
          <a:off x="6191643" y="3297642"/>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4rd Group</a:t>
          </a:r>
        </a:p>
      </dsp:txBody>
      <dsp:txXfrm>
        <a:off x="6191643" y="3297642"/>
        <a:ext cx="611249" cy="257739"/>
      </dsp:txXfrm>
    </dsp:sp>
    <dsp:sp modelId="{671D9DDB-D638-47FA-B5F5-C16F5197F411}">
      <dsp:nvSpPr>
        <dsp:cNvPr id="0" name=""/>
        <dsp:cNvSpPr/>
      </dsp:nvSpPr>
      <dsp:spPr>
        <a:xfrm>
          <a:off x="6771672"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Natural Gas Market Dept.</a:t>
          </a:r>
        </a:p>
      </dsp:txBody>
      <dsp:txXfrm>
        <a:off x="6771672" y="1833683"/>
        <a:ext cx="629038" cy="257739"/>
      </dsp:txXfrm>
    </dsp:sp>
    <dsp:sp modelId="{DC58BA5D-C875-4AF3-BB12-3874258E408D}">
      <dsp:nvSpPr>
        <dsp:cNvPr id="0" name=""/>
        <dsp:cNvSpPr/>
      </dsp:nvSpPr>
      <dsp:spPr>
        <a:xfrm>
          <a:off x="6928932" y="2199672"/>
          <a:ext cx="605321" cy="337527"/>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Network Operation Group</a:t>
          </a:r>
        </a:p>
      </dsp:txBody>
      <dsp:txXfrm>
        <a:off x="6928932" y="2199672"/>
        <a:ext cx="605321" cy="337527"/>
      </dsp:txXfrm>
    </dsp:sp>
    <dsp:sp modelId="{5A300110-BBEE-4A18-9403-13331D4F1114}">
      <dsp:nvSpPr>
        <dsp:cNvPr id="0" name=""/>
        <dsp:cNvSpPr/>
      </dsp:nvSpPr>
      <dsp:spPr>
        <a:xfrm>
          <a:off x="6928932" y="2645450"/>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Consumers Group</a:t>
          </a:r>
        </a:p>
      </dsp:txBody>
      <dsp:txXfrm>
        <a:off x="6928932" y="2645450"/>
        <a:ext cx="611249" cy="257739"/>
      </dsp:txXfrm>
    </dsp:sp>
    <dsp:sp modelId="{7A13505D-A18A-454A-8BBB-FC96E81668C5}">
      <dsp:nvSpPr>
        <dsp:cNvPr id="0" name=""/>
        <dsp:cNvSpPr/>
      </dsp:nvSpPr>
      <dsp:spPr>
        <a:xfrm>
          <a:off x="6928932" y="3011440"/>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Distribution Group</a:t>
          </a:r>
        </a:p>
      </dsp:txBody>
      <dsp:txXfrm>
        <a:off x="6928932" y="3011440"/>
        <a:ext cx="611249" cy="257739"/>
      </dsp:txXfrm>
    </dsp:sp>
    <dsp:sp modelId="{DC2349D7-16DF-4659-94F9-A12775D36AE9}">
      <dsp:nvSpPr>
        <dsp:cNvPr id="0" name=""/>
        <dsp:cNvSpPr/>
      </dsp:nvSpPr>
      <dsp:spPr>
        <a:xfrm>
          <a:off x="6928932" y="3377430"/>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License Group</a:t>
          </a:r>
        </a:p>
      </dsp:txBody>
      <dsp:txXfrm>
        <a:off x="6928932" y="3377430"/>
        <a:ext cx="611249" cy="257739"/>
      </dsp:txXfrm>
    </dsp:sp>
    <dsp:sp modelId="{370C695A-599E-40C0-8A42-33A5D2972CDA}">
      <dsp:nvSpPr>
        <dsp:cNvPr id="0" name=""/>
        <dsp:cNvSpPr/>
      </dsp:nvSpPr>
      <dsp:spPr>
        <a:xfrm>
          <a:off x="7508961" y="1833683"/>
          <a:ext cx="629038"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Tariffs Dept.</a:t>
          </a:r>
        </a:p>
      </dsp:txBody>
      <dsp:txXfrm>
        <a:off x="7508961" y="1833683"/>
        <a:ext cx="629038" cy="257739"/>
      </dsp:txXfrm>
    </dsp:sp>
    <dsp:sp modelId="{B8F7110E-608E-473B-915B-949F1272366F}">
      <dsp:nvSpPr>
        <dsp:cNvPr id="0" name=""/>
        <dsp:cNvSpPr/>
      </dsp:nvSpPr>
      <dsp:spPr>
        <a:xfrm>
          <a:off x="7666220" y="2199672"/>
          <a:ext cx="605321"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Electricity Tariffs Group</a:t>
          </a:r>
        </a:p>
      </dsp:txBody>
      <dsp:txXfrm>
        <a:off x="7666220" y="2199672"/>
        <a:ext cx="605321" cy="257739"/>
      </dsp:txXfrm>
    </dsp:sp>
    <dsp:sp modelId="{A89A3808-C58E-4F76-A12D-0B0A4D188D89}">
      <dsp:nvSpPr>
        <dsp:cNvPr id="0" name=""/>
        <dsp:cNvSpPr/>
      </dsp:nvSpPr>
      <dsp:spPr>
        <a:xfrm>
          <a:off x="7666220" y="2565662"/>
          <a:ext cx="611249" cy="338195"/>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Electricity Investments Group</a:t>
          </a:r>
        </a:p>
      </dsp:txBody>
      <dsp:txXfrm>
        <a:off x="7666220" y="2565662"/>
        <a:ext cx="611249" cy="338195"/>
      </dsp:txXfrm>
    </dsp:sp>
    <dsp:sp modelId="{0347B611-2A2C-47B2-AB22-BF77195FC1CE}">
      <dsp:nvSpPr>
        <dsp:cNvPr id="0" name=""/>
        <dsp:cNvSpPr/>
      </dsp:nvSpPr>
      <dsp:spPr>
        <a:xfrm>
          <a:off x="7666220" y="3012108"/>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Hydrocarbons Tariffs Group</a:t>
          </a:r>
        </a:p>
      </dsp:txBody>
      <dsp:txXfrm>
        <a:off x="7666220" y="3012108"/>
        <a:ext cx="611249" cy="257739"/>
      </dsp:txXfrm>
    </dsp:sp>
    <dsp:sp modelId="{4CF16F1D-063F-4ECF-8BD4-3853B266718E}">
      <dsp:nvSpPr>
        <dsp:cNvPr id="0" name=""/>
        <dsp:cNvSpPr/>
      </dsp:nvSpPr>
      <dsp:spPr>
        <a:xfrm>
          <a:off x="7666220" y="3378097"/>
          <a:ext cx="611249" cy="257739"/>
        </a:xfrm>
        <a:prstGeom prst="rect">
          <a:avLst/>
        </a:prstGeom>
        <a:solidFill>
          <a:schemeClr val="accent2">
            <a:lumMod val="20000"/>
            <a:lumOff val="8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Risk Monitoring Group</a:t>
          </a:r>
        </a:p>
      </dsp:txBody>
      <dsp:txXfrm>
        <a:off x="7666220" y="3378097"/>
        <a:ext cx="611249" cy="257739"/>
      </dsp:txXfrm>
    </dsp:sp>
    <dsp:sp modelId="{449E5079-01BA-4D7A-ACAA-306781344FA0}">
      <dsp:nvSpPr>
        <dsp:cNvPr id="0" name=""/>
        <dsp:cNvSpPr/>
      </dsp:nvSpPr>
      <dsp:spPr>
        <a:xfrm>
          <a:off x="2718432" y="735713"/>
          <a:ext cx="107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Private Secretary</a:t>
          </a:r>
        </a:p>
      </dsp:txBody>
      <dsp:txXfrm>
        <a:off x="2718432" y="735713"/>
        <a:ext cx="1079999" cy="257739"/>
      </dsp:txXfrm>
    </dsp:sp>
    <dsp:sp modelId="{DD3934CC-731A-4EDB-B0BF-8D3468187259}">
      <dsp:nvSpPr>
        <dsp:cNvPr id="0" name=""/>
        <dsp:cNvSpPr/>
      </dsp:nvSpPr>
      <dsp:spPr>
        <a:xfrm>
          <a:off x="3906682" y="735713"/>
          <a:ext cx="107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Board Services</a:t>
          </a:r>
        </a:p>
      </dsp:txBody>
      <dsp:txXfrm>
        <a:off x="3906682" y="735713"/>
        <a:ext cx="1079999" cy="257739"/>
      </dsp:txXfrm>
    </dsp:sp>
    <dsp:sp modelId="{87069C5E-B98D-4179-AC1F-97973048C960}">
      <dsp:nvSpPr>
        <dsp:cNvPr id="0" name=""/>
        <dsp:cNvSpPr/>
      </dsp:nvSpPr>
      <dsp:spPr>
        <a:xfrm>
          <a:off x="2718432" y="1101703"/>
          <a:ext cx="107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solidFill>
            </a:rPr>
            <a:t>Office of Press and Public Relations Counsellor </a:t>
          </a:r>
          <a:endParaRPr lang="tr-TR" sz="700" b="0" kern="1200">
            <a:solidFill>
              <a:sysClr val="windowText" lastClr="000000"/>
            </a:solidFill>
          </a:endParaRPr>
        </a:p>
      </dsp:txBody>
      <dsp:txXfrm>
        <a:off x="2718432" y="1101703"/>
        <a:ext cx="1079999" cy="257739"/>
      </dsp:txXfrm>
    </dsp:sp>
    <dsp:sp modelId="{8B8B038F-675C-45F3-AFB9-BAD288ACABD5}">
      <dsp:nvSpPr>
        <dsp:cNvPr id="0" name=""/>
        <dsp:cNvSpPr/>
      </dsp:nvSpPr>
      <dsp:spPr>
        <a:xfrm>
          <a:off x="3906682" y="1101703"/>
          <a:ext cx="1079999" cy="257739"/>
        </a:xfrm>
        <a:prstGeom prst="rect">
          <a:avLst/>
        </a:prstGeom>
        <a:solidFill>
          <a:schemeClr val="accent2">
            <a:lumMod val="40000"/>
            <a:lumOff val="6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b="0" kern="1200">
              <a:solidFill>
                <a:sysClr val="windowText" lastClr="000000"/>
              </a:solidFill>
            </a:rPr>
            <a:t>Istanbul Liaison Office</a:t>
          </a:r>
        </a:p>
      </dsp:txBody>
      <dsp:txXfrm>
        <a:off x="3906682" y="1101703"/>
        <a:ext cx="1079999" cy="25773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56F33-346F-4EA3-A866-97BA49378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58221</Words>
  <Characters>331865</Characters>
  <Application>Microsoft Office Word</Application>
  <DocSecurity>0</DocSecurity>
  <Lines>2765</Lines>
  <Paragraphs>778</Paragraphs>
  <ScaleCrop>false</ScaleCrop>
  <HeadingPairs>
    <vt:vector size="2" baseType="variant">
      <vt:variant>
        <vt:lpstr>Konu Başlığı</vt:lpstr>
      </vt:variant>
      <vt:variant>
        <vt:i4>1</vt:i4>
      </vt:variant>
    </vt:vector>
  </HeadingPairs>
  <TitlesOfParts>
    <vt:vector size="1" baseType="lpstr">
      <vt:lpstr>ENERGY MARKET REGULATORY AUTHORITY</vt:lpstr>
    </vt:vector>
  </TitlesOfParts>
  <Company>EPDK</Company>
  <LinksUpToDate>false</LinksUpToDate>
  <CharactersWithSpaces>389308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MARKET REGULATORY AUTHORITY</dc:title>
  <dc:subject>2019 ACTIVITY REPORT</dc:subject>
  <dc:creator>Use</dc:creator>
  <cp:lastModifiedBy>Güzide KÖKTÜRK</cp:lastModifiedBy>
  <cp:revision>2</cp:revision>
  <dcterms:created xsi:type="dcterms:W3CDTF">2020-08-20T14:05:00Z</dcterms:created>
  <dcterms:modified xsi:type="dcterms:W3CDTF">2020-08-20T14:05:00Z</dcterms:modified>
</cp:coreProperties>
</file>