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558" w:rsidRDefault="008B6974" w:rsidP="00FF5558">
      <w:pPr>
        <w:ind w:firstLine="708"/>
        <w:jc w:val="both"/>
      </w:pPr>
      <w:bookmarkStart w:id="0" w:name="_GoBack"/>
      <w:bookmarkEnd w:id="0"/>
      <w:proofErr w:type="gramStart"/>
      <w:r>
        <w:t xml:space="preserve">13.12.2017 tarih ve 30269 sayılı Resmi Gazetede yayınlanarak yürürlüğe giren "LPG Piyasasında Zorunlu Petrol </w:t>
      </w:r>
      <w:proofErr w:type="spellStart"/>
      <w:r>
        <w:t>Stoğu</w:t>
      </w:r>
      <w:proofErr w:type="spellEnd"/>
      <w:r>
        <w:t xml:space="preserve"> ve Zorunlu Petrol </w:t>
      </w:r>
      <w:proofErr w:type="spellStart"/>
      <w:r>
        <w:t>Stoğunun</w:t>
      </w:r>
      <w:proofErr w:type="spellEnd"/>
      <w:r>
        <w:t xml:space="preserve"> Kupon Sistemi Kapsamında LPG Olarak Tutulabilmesine Dair </w:t>
      </w:r>
      <w:proofErr w:type="spellStart"/>
      <w:r>
        <w:t>Karar"ın</w:t>
      </w:r>
      <w:proofErr w:type="spellEnd"/>
      <w:r>
        <w:t xml:space="preserve"> 4. maddesinin ikinci fıkrası ''Birinci fıkrada belirtilen usulle hesaplanan stok miktarları, stok tutulması gereken dönem başlamadan önce Kurum internet sitesinde ilan edilir. </w:t>
      </w:r>
      <w:proofErr w:type="gramEnd"/>
      <w:r>
        <w:t xml:space="preserve">İlan edilen stok miktarına ilişkin itirazlar bir hafta içerisinde Kuruma bildirilir. Söz konusu itirazlar değerlendirildikten sonra nihai stok miktarları kesinleşir ve Kurum internet sitesinde ilan edilir. Birinci fıkra ve bu fıkra kapsamındaki iş ve işlemler LPG Piyasası Dairesi Başkanlığınca sonuçlandırılır.'' hükmünü amirdir. </w:t>
      </w:r>
    </w:p>
    <w:p w:rsidR="00FF5558" w:rsidRDefault="008B6974" w:rsidP="00FF5558">
      <w:pPr>
        <w:ind w:firstLine="708"/>
        <w:jc w:val="both"/>
      </w:pPr>
      <w:r>
        <w:t xml:space="preserve">27 Mart 2018 tarihli ve 30373 sayılı 2. Mükerrer Resmi </w:t>
      </w:r>
      <w:proofErr w:type="spellStart"/>
      <w:r>
        <w:t>Gazete'de</w:t>
      </w:r>
      <w:proofErr w:type="spellEnd"/>
      <w:r>
        <w:t xml:space="preserve"> yayımlanarak yürürlüğe giren ''Vergi Kanunları ile Bazı Kanun ve Kanun Hükmünde Kararnamelerde Değişiklik Yapılması Hakkındaki </w:t>
      </w:r>
      <w:proofErr w:type="spellStart"/>
      <w:r>
        <w:t>Kanun''un</w:t>
      </w:r>
      <w:proofErr w:type="spellEnd"/>
      <w:r>
        <w:t xml:space="preserve"> 65 inci maddesinde "</w:t>
      </w:r>
      <w:proofErr w:type="gramStart"/>
      <w:r>
        <w:t>2/3/2005</w:t>
      </w:r>
      <w:proofErr w:type="gramEnd"/>
      <w:r>
        <w:t xml:space="preserve"> tarihli ve 5307 sayılı Sıvılaştırılmış Petrol Gazları (LPG) Piyasası Kanunu ve Elektrik Piyasası Kanununda Değişiklik Yapılmasına Dair Kanunun 5 inci maddesinin dördüncü fıkrasının ikinci cümlesi aşağıdaki şekilde değiştirilmiş ve bu cümleden sonra gelmek üzere aşağıdaki cümle eklenmiştir. Dağıtıcılar, 5015 sayılı Kanun gereği ulusal Petrol stok mükellefiyeti kapsamında stok yükümlülüğünü yerine getirmek zorundadır. Ancak bu yükümlülük, stok hesaplamasına esas alınan dönemde yurt içi pazar payı yüzde ikinin altında olan sıvılaştırılmış Petrol Gazları dağıtıcı lisan</w:t>
      </w:r>
      <w:r w:rsidR="00FF5558">
        <w:t>s</w:t>
      </w:r>
      <w:r>
        <w:t xml:space="preserve"> sahipleri bakımından oluşmaz." hükmünü amirdir.</w:t>
      </w:r>
    </w:p>
    <w:p w:rsidR="00FF5558" w:rsidRDefault="00FF5558" w:rsidP="00FF5558">
      <w:pPr>
        <w:ind w:firstLine="360"/>
        <w:jc w:val="both"/>
      </w:pPr>
      <w:r>
        <w:t xml:space="preserve">Ulusal Petrol Stok Komisyonunun (Komisyon) </w:t>
      </w:r>
      <w:proofErr w:type="gramStart"/>
      <w:r>
        <w:t>28/12/2018</w:t>
      </w:r>
      <w:proofErr w:type="gramEnd"/>
      <w:r>
        <w:t xml:space="preserve"> tarihli ve 2018/3 sayılı Kararı ile 5015 sayılı Petrol Piyasası Kanunu kapsamında; LPG dağıtıcı lisansı sahiplerinin zorunlu LPG stoklarını,</w:t>
      </w:r>
    </w:p>
    <w:p w:rsidR="00FF5558" w:rsidRDefault="00FF5558" w:rsidP="00FF5558">
      <w:pPr>
        <w:pStyle w:val="ListeParagraf"/>
        <w:numPr>
          <w:ilvl w:val="0"/>
          <w:numId w:val="1"/>
        </w:numPr>
        <w:jc w:val="both"/>
      </w:pPr>
      <w:proofErr w:type="gramStart"/>
      <w:r>
        <w:t>31/12/2018</w:t>
      </w:r>
      <w:proofErr w:type="gramEnd"/>
      <w:r>
        <w:t xml:space="preserve"> - 31/01/2019 tarihleri arasında asgari 10 gün,     </w:t>
      </w:r>
    </w:p>
    <w:p w:rsidR="00FF5558" w:rsidRDefault="00FF5558" w:rsidP="00FF5558">
      <w:pPr>
        <w:pStyle w:val="ListeParagraf"/>
        <w:numPr>
          <w:ilvl w:val="0"/>
          <w:numId w:val="1"/>
        </w:numPr>
        <w:jc w:val="both"/>
      </w:pPr>
      <w:proofErr w:type="gramStart"/>
      <w:r>
        <w:t>01/02/2019</w:t>
      </w:r>
      <w:proofErr w:type="gramEnd"/>
      <w:r>
        <w:t xml:space="preserve"> - 30/04/2019 tarihleri arasında asgari 15 gün,     </w:t>
      </w:r>
    </w:p>
    <w:p w:rsidR="00FF5558" w:rsidRDefault="00FF5558" w:rsidP="00FF5558">
      <w:pPr>
        <w:pStyle w:val="ListeParagraf"/>
        <w:numPr>
          <w:ilvl w:val="0"/>
          <w:numId w:val="1"/>
        </w:numPr>
        <w:jc w:val="both"/>
      </w:pPr>
      <w:proofErr w:type="gramStart"/>
      <w:r>
        <w:t>01/05/2019</w:t>
      </w:r>
      <w:proofErr w:type="gramEnd"/>
      <w:r>
        <w:t xml:space="preserve"> - 30/06/2019 tarihleri arasında asgari 17 gün,     </w:t>
      </w:r>
    </w:p>
    <w:p w:rsidR="00FF5558" w:rsidRDefault="00FF5558" w:rsidP="00FF5558">
      <w:pPr>
        <w:pStyle w:val="ListeParagraf"/>
        <w:numPr>
          <w:ilvl w:val="0"/>
          <w:numId w:val="1"/>
        </w:numPr>
        <w:jc w:val="both"/>
      </w:pPr>
      <w:proofErr w:type="gramStart"/>
      <w:r>
        <w:t>01/07/2019</w:t>
      </w:r>
      <w:proofErr w:type="gramEnd"/>
      <w:r>
        <w:t xml:space="preserve"> tarihinden itibaren asgari 20 gün,</w:t>
      </w:r>
    </w:p>
    <w:p w:rsidR="00FF5558" w:rsidRDefault="00FF5558" w:rsidP="008B6974">
      <w:pPr>
        <w:jc w:val="both"/>
      </w:pPr>
      <w:proofErr w:type="gramStart"/>
      <w:r>
        <w:t>olarak</w:t>
      </w:r>
      <w:proofErr w:type="gramEnd"/>
      <w:r>
        <w:t xml:space="preserve"> tutmasına ve Kararın alındığı tarih itibarı ile yürürlüğe girmesine karar verilmiştir.</w:t>
      </w:r>
    </w:p>
    <w:p w:rsidR="00326835" w:rsidRDefault="00FF5558" w:rsidP="00FF5558">
      <w:pPr>
        <w:jc w:val="both"/>
      </w:pPr>
      <w:r>
        <w:t xml:space="preserve">Bu hükümler gereğince Daire Başkanlığımız tarafından hesaplanan "1 Nisan 2019 -31 Mart 2020 Dönemi Ulusal Stok Yükümlülük Listesi" aşağıda yer almaktadır. </w:t>
      </w:r>
    </w:p>
    <w:p w:rsidR="00055538" w:rsidRPr="00B74EE3" w:rsidRDefault="00055538" w:rsidP="00055538">
      <w:pPr>
        <w:jc w:val="center"/>
      </w:pPr>
      <w:r>
        <w:rPr>
          <w:b/>
        </w:rPr>
        <w:t xml:space="preserve">LPG Piyasasında </w:t>
      </w:r>
      <w:r w:rsidRPr="00CF083D">
        <w:rPr>
          <w:b/>
        </w:rPr>
        <w:t>1</w:t>
      </w:r>
      <w:r>
        <w:rPr>
          <w:b/>
        </w:rPr>
        <w:t xml:space="preserve"> Nisan 2019</w:t>
      </w:r>
      <w:r w:rsidRPr="00CF083D">
        <w:rPr>
          <w:b/>
        </w:rPr>
        <w:t xml:space="preserve"> -</w:t>
      </w:r>
      <w:r>
        <w:rPr>
          <w:b/>
        </w:rPr>
        <w:t xml:space="preserve"> </w:t>
      </w:r>
      <w:r w:rsidRPr="00CF083D">
        <w:rPr>
          <w:b/>
        </w:rPr>
        <w:t>31 Mart 20</w:t>
      </w:r>
      <w:r>
        <w:rPr>
          <w:b/>
        </w:rPr>
        <w:t>20</w:t>
      </w:r>
      <w:r w:rsidRPr="00CF083D">
        <w:rPr>
          <w:b/>
        </w:rPr>
        <w:t xml:space="preserve"> Dönemi Ulusal Stok Yükümlülük Listesi</w:t>
      </w:r>
      <w:r w:rsidRPr="00F803C3">
        <w:rPr>
          <w:b/>
        </w:rPr>
        <w:t xml:space="preserve"> </w:t>
      </w:r>
    </w:p>
    <w:tbl>
      <w:tblPr>
        <w:tblpPr w:leftFromText="141" w:rightFromText="141" w:vertAnchor="text" w:horzAnchor="margin" w:tblpY="34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890"/>
        <w:gridCol w:w="1276"/>
        <w:gridCol w:w="1559"/>
        <w:gridCol w:w="1485"/>
      </w:tblGrid>
      <w:tr w:rsidR="00055538" w:rsidRPr="00055538" w:rsidTr="00055538">
        <w:trPr>
          <w:trHeight w:val="342"/>
          <w:tblHeader/>
        </w:trPr>
        <w:tc>
          <w:tcPr>
            <w:tcW w:w="4890" w:type="dxa"/>
            <w:vMerge w:val="restart"/>
            <w:shd w:val="clear" w:color="auto" w:fill="auto"/>
            <w:noWrap/>
            <w:vAlign w:val="bottom"/>
            <w:hideMark/>
          </w:tcPr>
          <w:p w:rsidR="00055538" w:rsidRPr="00055538" w:rsidRDefault="00055538" w:rsidP="00055538">
            <w:pPr>
              <w:spacing w:after="0" w:line="240" w:lineRule="auto"/>
              <w:rPr>
                <w:rFonts w:eastAsia="Times New Roman" w:cstheme="minorHAnsi"/>
                <w:b/>
                <w:bCs/>
                <w:color w:val="000000"/>
                <w:sz w:val="20"/>
                <w:szCs w:val="20"/>
                <w:lang w:eastAsia="tr-TR"/>
              </w:rPr>
            </w:pPr>
            <w:r w:rsidRPr="00055538">
              <w:rPr>
                <w:rFonts w:eastAsia="Times New Roman" w:cstheme="minorHAnsi"/>
                <w:b/>
                <w:bCs/>
                <w:color w:val="000000"/>
                <w:sz w:val="20"/>
                <w:szCs w:val="20"/>
                <w:lang w:eastAsia="tr-TR"/>
              </w:rPr>
              <w:t>LPG Dağıtıcı Lisansı Sahibinin Unvanı</w:t>
            </w:r>
          </w:p>
        </w:tc>
        <w:tc>
          <w:tcPr>
            <w:tcW w:w="4320" w:type="dxa"/>
            <w:gridSpan w:val="3"/>
          </w:tcPr>
          <w:p w:rsidR="00055538" w:rsidRPr="00055538" w:rsidRDefault="00055538" w:rsidP="00055538">
            <w:pPr>
              <w:spacing w:after="0" w:line="240" w:lineRule="auto"/>
              <w:jc w:val="center"/>
              <w:rPr>
                <w:rFonts w:eastAsia="Times New Roman" w:cstheme="minorHAnsi"/>
                <w:b/>
                <w:bCs/>
                <w:color w:val="000000"/>
                <w:sz w:val="20"/>
                <w:szCs w:val="20"/>
                <w:lang w:eastAsia="tr-TR"/>
              </w:rPr>
            </w:pPr>
            <w:r w:rsidRPr="00055538">
              <w:rPr>
                <w:rFonts w:eastAsia="Times New Roman" w:cstheme="minorHAnsi"/>
                <w:b/>
                <w:bCs/>
                <w:color w:val="000000"/>
                <w:sz w:val="20"/>
                <w:szCs w:val="20"/>
                <w:lang w:eastAsia="tr-TR"/>
              </w:rPr>
              <w:t>Tutması Gereken Stok Miktarı (ton)</w:t>
            </w:r>
          </w:p>
        </w:tc>
      </w:tr>
      <w:tr w:rsidR="00055538" w:rsidRPr="00055538" w:rsidTr="00055538">
        <w:trPr>
          <w:trHeight w:val="342"/>
          <w:tblHeader/>
        </w:trPr>
        <w:tc>
          <w:tcPr>
            <w:tcW w:w="4890" w:type="dxa"/>
            <w:vMerge/>
            <w:shd w:val="clear" w:color="auto" w:fill="auto"/>
            <w:noWrap/>
            <w:vAlign w:val="bottom"/>
          </w:tcPr>
          <w:p w:rsidR="00055538" w:rsidRPr="00055538" w:rsidRDefault="00055538" w:rsidP="00055538">
            <w:pPr>
              <w:spacing w:after="0" w:line="240" w:lineRule="auto"/>
              <w:rPr>
                <w:rFonts w:eastAsia="Times New Roman" w:cstheme="minorHAnsi"/>
                <w:b/>
                <w:bCs/>
                <w:color w:val="000000"/>
                <w:sz w:val="20"/>
                <w:szCs w:val="20"/>
                <w:lang w:eastAsia="tr-TR"/>
              </w:rPr>
            </w:pPr>
          </w:p>
        </w:tc>
        <w:tc>
          <w:tcPr>
            <w:tcW w:w="1276" w:type="dxa"/>
          </w:tcPr>
          <w:p w:rsidR="00055538" w:rsidRPr="00055538" w:rsidRDefault="00055538" w:rsidP="00055538">
            <w:pPr>
              <w:spacing w:after="0" w:line="240" w:lineRule="auto"/>
              <w:jc w:val="center"/>
              <w:rPr>
                <w:rFonts w:eastAsia="Times New Roman" w:cstheme="minorHAnsi"/>
                <w:b/>
                <w:bCs/>
                <w:color w:val="000000"/>
                <w:sz w:val="20"/>
                <w:szCs w:val="20"/>
                <w:lang w:eastAsia="tr-TR"/>
              </w:rPr>
            </w:pPr>
            <w:r w:rsidRPr="00055538">
              <w:rPr>
                <w:rFonts w:eastAsia="Times New Roman" w:cstheme="minorHAnsi"/>
                <w:b/>
                <w:bCs/>
                <w:color w:val="000000"/>
                <w:sz w:val="20"/>
                <w:szCs w:val="20"/>
                <w:lang w:eastAsia="tr-TR"/>
              </w:rPr>
              <w:t>1-30 Nisan 2019</w:t>
            </w:r>
          </w:p>
        </w:tc>
        <w:tc>
          <w:tcPr>
            <w:tcW w:w="1559" w:type="dxa"/>
          </w:tcPr>
          <w:p w:rsidR="00055538" w:rsidRPr="00055538" w:rsidRDefault="00055538" w:rsidP="00055538">
            <w:pPr>
              <w:spacing w:after="0" w:line="240" w:lineRule="auto"/>
              <w:jc w:val="center"/>
              <w:rPr>
                <w:rFonts w:eastAsia="Times New Roman" w:cstheme="minorHAnsi"/>
                <w:b/>
                <w:bCs/>
                <w:color w:val="000000"/>
                <w:sz w:val="20"/>
                <w:szCs w:val="20"/>
                <w:lang w:eastAsia="tr-TR"/>
              </w:rPr>
            </w:pPr>
            <w:r w:rsidRPr="00055538">
              <w:rPr>
                <w:rFonts w:eastAsia="Times New Roman" w:cstheme="minorHAnsi"/>
                <w:b/>
                <w:bCs/>
                <w:color w:val="000000"/>
                <w:sz w:val="20"/>
                <w:szCs w:val="20"/>
                <w:lang w:eastAsia="tr-TR"/>
              </w:rPr>
              <w:t xml:space="preserve">01 Mayıs- </w:t>
            </w:r>
          </w:p>
          <w:p w:rsidR="00055538" w:rsidRPr="00055538" w:rsidRDefault="00055538" w:rsidP="00055538">
            <w:pPr>
              <w:spacing w:after="0" w:line="240" w:lineRule="auto"/>
              <w:jc w:val="center"/>
              <w:rPr>
                <w:rFonts w:eastAsia="Times New Roman" w:cstheme="minorHAnsi"/>
                <w:b/>
                <w:bCs/>
                <w:color w:val="000000"/>
                <w:sz w:val="20"/>
                <w:szCs w:val="20"/>
                <w:lang w:eastAsia="tr-TR"/>
              </w:rPr>
            </w:pPr>
            <w:r w:rsidRPr="00055538">
              <w:rPr>
                <w:rFonts w:eastAsia="Times New Roman" w:cstheme="minorHAnsi"/>
                <w:b/>
                <w:bCs/>
                <w:color w:val="000000"/>
                <w:sz w:val="20"/>
                <w:szCs w:val="20"/>
                <w:lang w:eastAsia="tr-TR"/>
              </w:rPr>
              <w:t>30 Haziran 2019</w:t>
            </w:r>
          </w:p>
        </w:tc>
        <w:tc>
          <w:tcPr>
            <w:tcW w:w="1485" w:type="dxa"/>
            <w:shd w:val="clear" w:color="auto" w:fill="auto"/>
            <w:vAlign w:val="bottom"/>
          </w:tcPr>
          <w:p w:rsidR="00055538" w:rsidRPr="00055538" w:rsidRDefault="00055538" w:rsidP="00055538">
            <w:pPr>
              <w:spacing w:after="0" w:line="240" w:lineRule="auto"/>
              <w:jc w:val="center"/>
              <w:rPr>
                <w:rFonts w:eastAsia="Times New Roman" w:cstheme="minorHAnsi"/>
                <w:b/>
                <w:bCs/>
                <w:color w:val="000000"/>
                <w:sz w:val="20"/>
                <w:szCs w:val="20"/>
                <w:lang w:eastAsia="tr-TR"/>
              </w:rPr>
            </w:pPr>
            <w:r w:rsidRPr="00055538">
              <w:rPr>
                <w:rFonts w:eastAsia="Times New Roman" w:cstheme="minorHAnsi"/>
                <w:b/>
                <w:bCs/>
                <w:color w:val="000000"/>
                <w:sz w:val="20"/>
                <w:szCs w:val="20"/>
                <w:lang w:eastAsia="tr-TR"/>
              </w:rPr>
              <w:t>01 Temmuz 2019-31 Mart 2020</w:t>
            </w:r>
          </w:p>
        </w:tc>
      </w:tr>
      <w:tr w:rsidR="00055538" w:rsidRPr="00055538" w:rsidTr="00055538">
        <w:trPr>
          <w:trHeight w:val="300"/>
        </w:trPr>
        <w:tc>
          <w:tcPr>
            <w:tcW w:w="4890" w:type="dxa"/>
            <w:shd w:val="clear" w:color="auto" w:fill="auto"/>
            <w:noWrap/>
            <w:vAlign w:val="bottom"/>
            <w:hideMark/>
          </w:tcPr>
          <w:p w:rsidR="00055538" w:rsidRPr="00055538" w:rsidRDefault="00055538" w:rsidP="00055538">
            <w:pPr>
              <w:spacing w:after="0" w:line="240" w:lineRule="auto"/>
              <w:rPr>
                <w:rFonts w:eastAsia="Times New Roman" w:cstheme="minorHAnsi"/>
                <w:color w:val="000000"/>
                <w:sz w:val="20"/>
                <w:szCs w:val="20"/>
                <w:lang w:eastAsia="tr-TR"/>
              </w:rPr>
            </w:pPr>
            <w:r w:rsidRPr="00055538">
              <w:rPr>
                <w:rFonts w:eastAsia="Times New Roman" w:cstheme="minorHAnsi"/>
                <w:color w:val="000000"/>
                <w:sz w:val="20"/>
                <w:szCs w:val="20"/>
                <w:lang w:eastAsia="tr-TR"/>
              </w:rPr>
              <w:t>AYGAZ ANONİM ŞİRKETİ</w:t>
            </w:r>
          </w:p>
        </w:tc>
        <w:tc>
          <w:tcPr>
            <w:tcW w:w="1276" w:type="dxa"/>
            <w:vAlign w:val="bottom"/>
          </w:tcPr>
          <w:p w:rsidR="00055538" w:rsidRPr="00055538" w:rsidRDefault="00055538" w:rsidP="00055538">
            <w:pPr>
              <w:spacing w:after="0" w:line="240" w:lineRule="auto"/>
              <w:jc w:val="center"/>
              <w:rPr>
                <w:rFonts w:ascii="Calibri" w:eastAsia="Times New Roman" w:hAnsi="Calibri" w:cs="Times New Roman"/>
                <w:color w:val="000000"/>
                <w:sz w:val="20"/>
                <w:szCs w:val="20"/>
                <w:lang w:eastAsia="tr-TR"/>
              </w:rPr>
            </w:pPr>
            <w:r w:rsidRPr="00055538">
              <w:rPr>
                <w:rFonts w:ascii="Calibri" w:eastAsia="Times New Roman" w:hAnsi="Calibri" w:cs="Times New Roman"/>
                <w:color w:val="000000"/>
                <w:sz w:val="20"/>
                <w:szCs w:val="20"/>
                <w:lang w:eastAsia="tr-TR"/>
              </w:rPr>
              <w:t>49.885</w:t>
            </w:r>
          </w:p>
        </w:tc>
        <w:tc>
          <w:tcPr>
            <w:tcW w:w="1559" w:type="dxa"/>
            <w:vAlign w:val="bottom"/>
          </w:tcPr>
          <w:p w:rsidR="00055538" w:rsidRPr="00055538" w:rsidRDefault="00055538" w:rsidP="00055538">
            <w:pPr>
              <w:spacing w:after="0" w:line="240" w:lineRule="auto"/>
              <w:jc w:val="center"/>
              <w:rPr>
                <w:rFonts w:ascii="Calibri" w:eastAsia="Times New Roman" w:hAnsi="Calibri" w:cs="Times New Roman"/>
                <w:color w:val="000000"/>
                <w:sz w:val="20"/>
                <w:szCs w:val="20"/>
                <w:lang w:eastAsia="tr-TR"/>
              </w:rPr>
            </w:pPr>
            <w:r w:rsidRPr="00055538">
              <w:rPr>
                <w:rFonts w:ascii="Calibri" w:eastAsia="Times New Roman" w:hAnsi="Calibri" w:cs="Times New Roman"/>
                <w:color w:val="000000"/>
                <w:sz w:val="20"/>
                <w:szCs w:val="20"/>
                <w:lang w:eastAsia="tr-TR"/>
              </w:rPr>
              <w:t>56.536</w:t>
            </w:r>
          </w:p>
        </w:tc>
        <w:tc>
          <w:tcPr>
            <w:tcW w:w="1485" w:type="dxa"/>
            <w:shd w:val="clear" w:color="auto" w:fill="auto"/>
            <w:noWrap/>
            <w:vAlign w:val="bottom"/>
            <w:hideMark/>
          </w:tcPr>
          <w:p w:rsidR="00055538" w:rsidRPr="00055538" w:rsidRDefault="00055538" w:rsidP="00055538">
            <w:pPr>
              <w:spacing w:after="0" w:line="240" w:lineRule="auto"/>
              <w:jc w:val="center"/>
              <w:rPr>
                <w:rFonts w:ascii="Calibri" w:eastAsia="Times New Roman" w:hAnsi="Calibri" w:cs="Times New Roman"/>
                <w:color w:val="000000"/>
                <w:sz w:val="20"/>
                <w:szCs w:val="20"/>
                <w:lang w:eastAsia="tr-TR"/>
              </w:rPr>
            </w:pPr>
            <w:r w:rsidRPr="00055538">
              <w:rPr>
                <w:rFonts w:ascii="Calibri" w:eastAsia="Times New Roman" w:hAnsi="Calibri" w:cs="Times New Roman"/>
                <w:color w:val="000000"/>
                <w:sz w:val="20"/>
                <w:szCs w:val="20"/>
                <w:lang w:eastAsia="tr-TR"/>
              </w:rPr>
              <w:t>66.513</w:t>
            </w:r>
          </w:p>
        </w:tc>
      </w:tr>
      <w:tr w:rsidR="00055538" w:rsidRPr="00055538" w:rsidTr="00055538">
        <w:trPr>
          <w:trHeight w:val="300"/>
        </w:trPr>
        <w:tc>
          <w:tcPr>
            <w:tcW w:w="4890" w:type="dxa"/>
            <w:shd w:val="clear" w:color="auto" w:fill="auto"/>
            <w:noWrap/>
            <w:vAlign w:val="bottom"/>
            <w:hideMark/>
          </w:tcPr>
          <w:p w:rsidR="00055538" w:rsidRPr="00055538" w:rsidRDefault="00055538" w:rsidP="00055538">
            <w:pPr>
              <w:spacing w:after="0" w:line="240" w:lineRule="auto"/>
              <w:rPr>
                <w:rFonts w:eastAsia="Times New Roman" w:cstheme="minorHAnsi"/>
                <w:color w:val="000000"/>
                <w:sz w:val="20"/>
                <w:szCs w:val="20"/>
                <w:lang w:eastAsia="tr-TR"/>
              </w:rPr>
            </w:pPr>
            <w:r w:rsidRPr="00055538">
              <w:rPr>
                <w:rFonts w:eastAsia="Times New Roman" w:cstheme="minorHAnsi"/>
                <w:color w:val="000000"/>
                <w:sz w:val="20"/>
                <w:szCs w:val="20"/>
                <w:lang w:eastAsia="tr-TR"/>
              </w:rPr>
              <w:t>İPRAGAZ ANONİM ŞİRKETİ</w:t>
            </w:r>
          </w:p>
        </w:tc>
        <w:tc>
          <w:tcPr>
            <w:tcW w:w="1276" w:type="dxa"/>
            <w:vAlign w:val="bottom"/>
          </w:tcPr>
          <w:p w:rsidR="00055538" w:rsidRPr="00055538" w:rsidRDefault="00055538" w:rsidP="00055538">
            <w:pPr>
              <w:spacing w:after="0" w:line="240" w:lineRule="auto"/>
              <w:jc w:val="center"/>
              <w:rPr>
                <w:rFonts w:ascii="Calibri" w:eastAsia="Times New Roman" w:hAnsi="Calibri" w:cs="Times New Roman"/>
                <w:color w:val="000000"/>
                <w:sz w:val="20"/>
                <w:szCs w:val="20"/>
                <w:lang w:eastAsia="tr-TR"/>
              </w:rPr>
            </w:pPr>
            <w:r w:rsidRPr="00055538">
              <w:rPr>
                <w:rFonts w:ascii="Calibri" w:eastAsia="Times New Roman" w:hAnsi="Calibri" w:cs="Times New Roman"/>
                <w:color w:val="000000"/>
                <w:sz w:val="20"/>
                <w:szCs w:val="20"/>
                <w:lang w:eastAsia="tr-TR"/>
              </w:rPr>
              <w:t>19.739</w:t>
            </w:r>
          </w:p>
        </w:tc>
        <w:tc>
          <w:tcPr>
            <w:tcW w:w="1559" w:type="dxa"/>
            <w:vAlign w:val="bottom"/>
          </w:tcPr>
          <w:p w:rsidR="00055538" w:rsidRPr="00055538" w:rsidRDefault="00055538" w:rsidP="00055538">
            <w:pPr>
              <w:spacing w:after="0" w:line="240" w:lineRule="auto"/>
              <w:jc w:val="center"/>
              <w:rPr>
                <w:rFonts w:ascii="Calibri" w:eastAsia="Times New Roman" w:hAnsi="Calibri" w:cs="Times New Roman"/>
                <w:color w:val="000000"/>
                <w:sz w:val="20"/>
                <w:szCs w:val="20"/>
                <w:lang w:eastAsia="tr-TR"/>
              </w:rPr>
            </w:pPr>
            <w:r w:rsidRPr="00055538">
              <w:rPr>
                <w:rFonts w:ascii="Calibri" w:eastAsia="Times New Roman" w:hAnsi="Calibri" w:cs="Times New Roman"/>
                <w:color w:val="000000"/>
                <w:sz w:val="20"/>
                <w:szCs w:val="20"/>
                <w:lang w:eastAsia="tr-TR"/>
              </w:rPr>
              <w:t>22.371</w:t>
            </w:r>
          </w:p>
        </w:tc>
        <w:tc>
          <w:tcPr>
            <w:tcW w:w="1485" w:type="dxa"/>
            <w:shd w:val="clear" w:color="auto" w:fill="auto"/>
            <w:noWrap/>
            <w:vAlign w:val="bottom"/>
            <w:hideMark/>
          </w:tcPr>
          <w:p w:rsidR="00055538" w:rsidRPr="00055538" w:rsidRDefault="00055538" w:rsidP="00055538">
            <w:pPr>
              <w:spacing w:after="0" w:line="240" w:lineRule="auto"/>
              <w:jc w:val="center"/>
              <w:rPr>
                <w:rFonts w:ascii="Calibri" w:eastAsia="Times New Roman" w:hAnsi="Calibri" w:cs="Times New Roman"/>
                <w:color w:val="000000"/>
                <w:sz w:val="20"/>
                <w:szCs w:val="20"/>
                <w:lang w:eastAsia="tr-TR"/>
              </w:rPr>
            </w:pPr>
            <w:r w:rsidRPr="00055538">
              <w:rPr>
                <w:rFonts w:ascii="Calibri" w:eastAsia="Times New Roman" w:hAnsi="Calibri" w:cs="Times New Roman"/>
                <w:color w:val="000000"/>
                <w:sz w:val="20"/>
                <w:szCs w:val="20"/>
                <w:lang w:eastAsia="tr-TR"/>
              </w:rPr>
              <w:t>26.319</w:t>
            </w:r>
          </w:p>
        </w:tc>
      </w:tr>
      <w:tr w:rsidR="00055538" w:rsidRPr="00055538" w:rsidTr="00055538">
        <w:trPr>
          <w:trHeight w:val="300"/>
        </w:trPr>
        <w:tc>
          <w:tcPr>
            <w:tcW w:w="4890" w:type="dxa"/>
            <w:shd w:val="clear" w:color="auto" w:fill="auto"/>
            <w:noWrap/>
            <w:vAlign w:val="bottom"/>
            <w:hideMark/>
          </w:tcPr>
          <w:p w:rsidR="00055538" w:rsidRPr="00055538" w:rsidRDefault="00055538" w:rsidP="00055538">
            <w:pPr>
              <w:spacing w:after="0" w:line="240" w:lineRule="auto"/>
              <w:rPr>
                <w:rFonts w:eastAsia="Times New Roman" w:cstheme="minorHAnsi"/>
                <w:color w:val="000000"/>
                <w:sz w:val="20"/>
                <w:szCs w:val="20"/>
                <w:lang w:eastAsia="tr-TR"/>
              </w:rPr>
            </w:pPr>
            <w:r w:rsidRPr="00055538">
              <w:rPr>
                <w:rFonts w:eastAsia="Times New Roman" w:cstheme="minorHAnsi"/>
                <w:color w:val="000000"/>
                <w:sz w:val="20"/>
                <w:szCs w:val="20"/>
                <w:lang w:eastAsia="tr-TR"/>
              </w:rPr>
              <w:t>PETROL OFİSİ ANONİM ŞİRKETİ</w:t>
            </w:r>
          </w:p>
        </w:tc>
        <w:tc>
          <w:tcPr>
            <w:tcW w:w="1276" w:type="dxa"/>
            <w:vAlign w:val="bottom"/>
          </w:tcPr>
          <w:p w:rsidR="00055538" w:rsidRPr="00055538" w:rsidRDefault="00055538" w:rsidP="00055538">
            <w:pPr>
              <w:spacing w:after="0" w:line="240" w:lineRule="auto"/>
              <w:jc w:val="center"/>
              <w:rPr>
                <w:rFonts w:ascii="Calibri" w:eastAsia="Times New Roman" w:hAnsi="Calibri" w:cs="Times New Roman"/>
                <w:color w:val="000000"/>
                <w:sz w:val="20"/>
                <w:szCs w:val="20"/>
                <w:lang w:eastAsia="tr-TR"/>
              </w:rPr>
            </w:pPr>
            <w:r w:rsidRPr="00055538">
              <w:rPr>
                <w:rFonts w:ascii="Calibri" w:eastAsia="Times New Roman" w:hAnsi="Calibri" w:cs="Times New Roman"/>
                <w:color w:val="000000"/>
                <w:sz w:val="20"/>
                <w:szCs w:val="20"/>
                <w:lang w:eastAsia="tr-TR"/>
              </w:rPr>
              <w:t>18.125</w:t>
            </w:r>
          </w:p>
        </w:tc>
        <w:tc>
          <w:tcPr>
            <w:tcW w:w="1559" w:type="dxa"/>
            <w:vAlign w:val="bottom"/>
          </w:tcPr>
          <w:p w:rsidR="00055538" w:rsidRPr="00055538" w:rsidRDefault="00055538" w:rsidP="00055538">
            <w:pPr>
              <w:spacing w:after="0" w:line="240" w:lineRule="auto"/>
              <w:jc w:val="center"/>
              <w:rPr>
                <w:rFonts w:ascii="Calibri" w:eastAsia="Times New Roman" w:hAnsi="Calibri" w:cs="Times New Roman"/>
                <w:color w:val="000000"/>
                <w:sz w:val="20"/>
                <w:szCs w:val="20"/>
                <w:lang w:eastAsia="tr-TR"/>
              </w:rPr>
            </w:pPr>
            <w:r w:rsidRPr="00055538">
              <w:rPr>
                <w:rFonts w:ascii="Calibri" w:eastAsia="Times New Roman" w:hAnsi="Calibri" w:cs="Times New Roman"/>
                <w:color w:val="000000"/>
                <w:sz w:val="20"/>
                <w:szCs w:val="20"/>
                <w:lang w:eastAsia="tr-TR"/>
              </w:rPr>
              <w:t>20.541</w:t>
            </w:r>
          </w:p>
        </w:tc>
        <w:tc>
          <w:tcPr>
            <w:tcW w:w="1485" w:type="dxa"/>
            <w:shd w:val="clear" w:color="auto" w:fill="auto"/>
            <w:noWrap/>
            <w:vAlign w:val="bottom"/>
            <w:hideMark/>
          </w:tcPr>
          <w:p w:rsidR="00055538" w:rsidRPr="00055538" w:rsidRDefault="00055538" w:rsidP="00055538">
            <w:pPr>
              <w:spacing w:after="0" w:line="240" w:lineRule="auto"/>
              <w:jc w:val="center"/>
              <w:rPr>
                <w:rFonts w:ascii="Calibri" w:eastAsia="Times New Roman" w:hAnsi="Calibri" w:cs="Times New Roman"/>
                <w:color w:val="000000"/>
                <w:sz w:val="20"/>
                <w:szCs w:val="20"/>
                <w:lang w:eastAsia="tr-TR"/>
              </w:rPr>
            </w:pPr>
            <w:r w:rsidRPr="00055538">
              <w:rPr>
                <w:rFonts w:ascii="Calibri" w:eastAsia="Times New Roman" w:hAnsi="Calibri" w:cs="Times New Roman"/>
                <w:color w:val="000000"/>
                <w:sz w:val="20"/>
                <w:szCs w:val="20"/>
                <w:lang w:eastAsia="tr-TR"/>
              </w:rPr>
              <w:t>24.166</w:t>
            </w:r>
          </w:p>
        </w:tc>
      </w:tr>
      <w:tr w:rsidR="00055538" w:rsidRPr="00055538" w:rsidTr="00055538">
        <w:trPr>
          <w:trHeight w:val="300"/>
        </w:trPr>
        <w:tc>
          <w:tcPr>
            <w:tcW w:w="4890" w:type="dxa"/>
            <w:shd w:val="clear" w:color="auto" w:fill="auto"/>
            <w:noWrap/>
            <w:hideMark/>
          </w:tcPr>
          <w:p w:rsidR="00055538" w:rsidRPr="00055538" w:rsidRDefault="00055538" w:rsidP="00055538">
            <w:pPr>
              <w:spacing w:after="0" w:line="240" w:lineRule="auto"/>
              <w:rPr>
                <w:rFonts w:ascii="Tahoma" w:eastAsia="Times New Roman" w:hAnsi="Tahoma" w:cs="Tahoma"/>
                <w:bCs/>
                <w:color w:val="000000"/>
                <w:sz w:val="20"/>
                <w:szCs w:val="20"/>
                <w:lang w:eastAsia="tr-TR"/>
              </w:rPr>
            </w:pPr>
            <w:r w:rsidRPr="00055538">
              <w:rPr>
                <w:rFonts w:ascii="Tahoma" w:eastAsia="Times New Roman" w:hAnsi="Tahoma" w:cs="Tahoma"/>
                <w:bCs/>
                <w:color w:val="000000"/>
                <w:sz w:val="20"/>
                <w:szCs w:val="20"/>
                <w:lang w:eastAsia="tr-TR"/>
              </w:rPr>
              <w:t>SHELL &amp; TURCAS PETROL ANONİM ŞİRKETİ</w:t>
            </w:r>
          </w:p>
        </w:tc>
        <w:tc>
          <w:tcPr>
            <w:tcW w:w="1276" w:type="dxa"/>
            <w:vAlign w:val="bottom"/>
          </w:tcPr>
          <w:p w:rsidR="00055538" w:rsidRPr="00055538" w:rsidRDefault="00055538" w:rsidP="00055538">
            <w:pPr>
              <w:spacing w:after="0" w:line="240" w:lineRule="auto"/>
              <w:jc w:val="center"/>
              <w:rPr>
                <w:rFonts w:ascii="Calibri" w:eastAsia="Times New Roman" w:hAnsi="Calibri" w:cs="Times New Roman"/>
                <w:color w:val="000000"/>
                <w:sz w:val="20"/>
                <w:szCs w:val="20"/>
                <w:lang w:eastAsia="tr-TR"/>
              </w:rPr>
            </w:pPr>
            <w:r w:rsidRPr="00055538">
              <w:rPr>
                <w:rFonts w:ascii="Calibri" w:eastAsia="Times New Roman" w:hAnsi="Calibri" w:cs="Times New Roman"/>
                <w:color w:val="000000"/>
                <w:sz w:val="20"/>
                <w:szCs w:val="20"/>
                <w:lang w:eastAsia="tr-TR"/>
              </w:rPr>
              <w:t>17.460</w:t>
            </w:r>
          </w:p>
        </w:tc>
        <w:tc>
          <w:tcPr>
            <w:tcW w:w="1559" w:type="dxa"/>
            <w:vAlign w:val="bottom"/>
          </w:tcPr>
          <w:p w:rsidR="00055538" w:rsidRPr="00055538" w:rsidRDefault="00055538" w:rsidP="00055538">
            <w:pPr>
              <w:spacing w:after="0" w:line="240" w:lineRule="auto"/>
              <w:jc w:val="center"/>
              <w:rPr>
                <w:rFonts w:ascii="Calibri" w:eastAsia="Times New Roman" w:hAnsi="Calibri" w:cs="Times New Roman"/>
                <w:color w:val="000000"/>
                <w:sz w:val="20"/>
                <w:szCs w:val="20"/>
                <w:lang w:eastAsia="tr-TR"/>
              </w:rPr>
            </w:pPr>
            <w:r w:rsidRPr="00055538">
              <w:rPr>
                <w:rFonts w:ascii="Calibri" w:eastAsia="Times New Roman" w:hAnsi="Calibri" w:cs="Times New Roman"/>
                <w:color w:val="000000"/>
                <w:sz w:val="20"/>
                <w:szCs w:val="20"/>
                <w:lang w:eastAsia="tr-TR"/>
              </w:rPr>
              <w:t>19.788</w:t>
            </w:r>
          </w:p>
        </w:tc>
        <w:tc>
          <w:tcPr>
            <w:tcW w:w="1485" w:type="dxa"/>
            <w:shd w:val="clear" w:color="auto" w:fill="auto"/>
            <w:noWrap/>
            <w:vAlign w:val="bottom"/>
            <w:hideMark/>
          </w:tcPr>
          <w:p w:rsidR="00055538" w:rsidRPr="00055538" w:rsidRDefault="00055538" w:rsidP="00055538">
            <w:pPr>
              <w:spacing w:after="0" w:line="240" w:lineRule="auto"/>
              <w:jc w:val="center"/>
              <w:rPr>
                <w:rFonts w:ascii="Calibri" w:eastAsia="Times New Roman" w:hAnsi="Calibri" w:cs="Times New Roman"/>
                <w:color w:val="000000"/>
                <w:sz w:val="20"/>
                <w:szCs w:val="20"/>
                <w:lang w:eastAsia="tr-TR"/>
              </w:rPr>
            </w:pPr>
            <w:r w:rsidRPr="00055538">
              <w:rPr>
                <w:rFonts w:ascii="Calibri" w:eastAsia="Times New Roman" w:hAnsi="Calibri" w:cs="Times New Roman"/>
                <w:color w:val="000000"/>
                <w:sz w:val="20"/>
                <w:szCs w:val="20"/>
                <w:lang w:eastAsia="tr-TR"/>
              </w:rPr>
              <w:t>23.280</w:t>
            </w:r>
          </w:p>
        </w:tc>
      </w:tr>
      <w:tr w:rsidR="00055538" w:rsidRPr="00055538" w:rsidTr="00055538">
        <w:trPr>
          <w:trHeight w:val="300"/>
        </w:trPr>
        <w:tc>
          <w:tcPr>
            <w:tcW w:w="4890" w:type="dxa"/>
            <w:shd w:val="clear" w:color="auto" w:fill="auto"/>
            <w:noWrap/>
            <w:hideMark/>
          </w:tcPr>
          <w:p w:rsidR="00055538" w:rsidRPr="00055538" w:rsidRDefault="00055538" w:rsidP="00055538">
            <w:pPr>
              <w:spacing w:after="0" w:line="240" w:lineRule="auto"/>
              <w:rPr>
                <w:rFonts w:ascii="Tahoma" w:eastAsia="Times New Roman" w:hAnsi="Tahoma" w:cs="Tahoma"/>
                <w:bCs/>
                <w:color w:val="000000"/>
                <w:sz w:val="20"/>
                <w:szCs w:val="20"/>
                <w:lang w:eastAsia="tr-TR"/>
              </w:rPr>
            </w:pPr>
            <w:r w:rsidRPr="00055538">
              <w:rPr>
                <w:rFonts w:ascii="Tahoma" w:eastAsia="Times New Roman" w:hAnsi="Tahoma" w:cs="Tahoma"/>
                <w:bCs/>
                <w:color w:val="000000"/>
                <w:sz w:val="20"/>
                <w:szCs w:val="20"/>
                <w:lang w:eastAsia="tr-TR"/>
              </w:rPr>
              <w:t>MİLANGAZ LPG DAĞITIM TİCARET VE SANAYİ ANONİM ŞİRKETİ</w:t>
            </w:r>
          </w:p>
        </w:tc>
        <w:tc>
          <w:tcPr>
            <w:tcW w:w="1276" w:type="dxa"/>
            <w:vAlign w:val="bottom"/>
          </w:tcPr>
          <w:p w:rsidR="00055538" w:rsidRPr="00055538" w:rsidRDefault="00055538" w:rsidP="00055538">
            <w:pPr>
              <w:spacing w:after="0" w:line="240" w:lineRule="auto"/>
              <w:jc w:val="center"/>
              <w:rPr>
                <w:rFonts w:ascii="Calibri" w:eastAsia="Times New Roman" w:hAnsi="Calibri" w:cs="Times New Roman"/>
                <w:color w:val="000000"/>
                <w:sz w:val="20"/>
                <w:szCs w:val="20"/>
                <w:lang w:eastAsia="tr-TR"/>
              </w:rPr>
            </w:pPr>
            <w:r w:rsidRPr="00055538">
              <w:rPr>
                <w:rFonts w:ascii="Calibri" w:eastAsia="Times New Roman" w:hAnsi="Calibri" w:cs="Times New Roman"/>
                <w:color w:val="000000"/>
                <w:sz w:val="20"/>
                <w:szCs w:val="20"/>
                <w:lang w:eastAsia="tr-TR"/>
              </w:rPr>
              <w:t>16.481</w:t>
            </w:r>
          </w:p>
        </w:tc>
        <w:tc>
          <w:tcPr>
            <w:tcW w:w="1559" w:type="dxa"/>
            <w:vAlign w:val="bottom"/>
          </w:tcPr>
          <w:p w:rsidR="00055538" w:rsidRPr="00055538" w:rsidRDefault="00055538" w:rsidP="00055538">
            <w:pPr>
              <w:spacing w:after="0" w:line="240" w:lineRule="auto"/>
              <w:jc w:val="center"/>
              <w:rPr>
                <w:rFonts w:ascii="Calibri" w:eastAsia="Times New Roman" w:hAnsi="Calibri" w:cs="Times New Roman"/>
                <w:color w:val="000000"/>
                <w:sz w:val="20"/>
                <w:szCs w:val="20"/>
                <w:lang w:eastAsia="tr-TR"/>
              </w:rPr>
            </w:pPr>
            <w:r w:rsidRPr="00055538">
              <w:rPr>
                <w:rFonts w:ascii="Calibri" w:eastAsia="Times New Roman" w:hAnsi="Calibri" w:cs="Times New Roman"/>
                <w:color w:val="000000"/>
                <w:sz w:val="20"/>
                <w:szCs w:val="20"/>
                <w:lang w:eastAsia="tr-TR"/>
              </w:rPr>
              <w:t>18.678</w:t>
            </w:r>
          </w:p>
        </w:tc>
        <w:tc>
          <w:tcPr>
            <w:tcW w:w="1485" w:type="dxa"/>
            <w:shd w:val="clear" w:color="auto" w:fill="auto"/>
            <w:noWrap/>
            <w:vAlign w:val="bottom"/>
            <w:hideMark/>
          </w:tcPr>
          <w:p w:rsidR="00055538" w:rsidRPr="00055538" w:rsidRDefault="00055538" w:rsidP="00055538">
            <w:pPr>
              <w:spacing w:after="0" w:line="240" w:lineRule="auto"/>
              <w:jc w:val="center"/>
              <w:rPr>
                <w:rFonts w:ascii="Calibri" w:eastAsia="Times New Roman" w:hAnsi="Calibri" w:cs="Times New Roman"/>
                <w:color w:val="000000"/>
                <w:sz w:val="20"/>
                <w:szCs w:val="20"/>
                <w:lang w:eastAsia="tr-TR"/>
              </w:rPr>
            </w:pPr>
            <w:r w:rsidRPr="00055538">
              <w:rPr>
                <w:rFonts w:ascii="Calibri" w:eastAsia="Times New Roman" w:hAnsi="Calibri" w:cs="Times New Roman"/>
                <w:color w:val="000000"/>
                <w:sz w:val="20"/>
                <w:szCs w:val="20"/>
                <w:lang w:eastAsia="tr-TR"/>
              </w:rPr>
              <w:t>21.974</w:t>
            </w:r>
          </w:p>
        </w:tc>
      </w:tr>
      <w:tr w:rsidR="00055538" w:rsidRPr="00055538" w:rsidTr="00055538">
        <w:trPr>
          <w:trHeight w:val="300"/>
        </w:trPr>
        <w:tc>
          <w:tcPr>
            <w:tcW w:w="4890" w:type="dxa"/>
            <w:shd w:val="clear" w:color="auto" w:fill="auto"/>
            <w:noWrap/>
            <w:hideMark/>
          </w:tcPr>
          <w:p w:rsidR="00055538" w:rsidRPr="00055538" w:rsidRDefault="00055538" w:rsidP="00055538">
            <w:pPr>
              <w:spacing w:after="0" w:line="240" w:lineRule="auto"/>
              <w:rPr>
                <w:rFonts w:ascii="Tahoma" w:eastAsia="Times New Roman" w:hAnsi="Tahoma" w:cs="Tahoma"/>
                <w:bCs/>
                <w:color w:val="000000"/>
                <w:sz w:val="20"/>
                <w:szCs w:val="20"/>
                <w:lang w:eastAsia="tr-TR"/>
              </w:rPr>
            </w:pPr>
            <w:r w:rsidRPr="00055538">
              <w:rPr>
                <w:rFonts w:ascii="Tahoma" w:eastAsia="Times New Roman" w:hAnsi="Tahoma" w:cs="Tahoma"/>
                <w:bCs/>
                <w:color w:val="000000"/>
                <w:sz w:val="20"/>
                <w:szCs w:val="20"/>
                <w:lang w:eastAsia="tr-TR"/>
              </w:rPr>
              <w:t>BP PETROLLERİ ANONİM ŞİRKETİ</w:t>
            </w:r>
          </w:p>
        </w:tc>
        <w:tc>
          <w:tcPr>
            <w:tcW w:w="1276" w:type="dxa"/>
            <w:vAlign w:val="bottom"/>
          </w:tcPr>
          <w:p w:rsidR="00055538" w:rsidRPr="00055538" w:rsidRDefault="00055538" w:rsidP="00055538">
            <w:pPr>
              <w:spacing w:after="0" w:line="240" w:lineRule="auto"/>
              <w:jc w:val="center"/>
              <w:rPr>
                <w:rFonts w:ascii="Calibri" w:eastAsia="Times New Roman" w:hAnsi="Calibri" w:cs="Times New Roman"/>
                <w:color w:val="000000"/>
                <w:sz w:val="20"/>
                <w:szCs w:val="20"/>
                <w:lang w:eastAsia="tr-TR"/>
              </w:rPr>
            </w:pPr>
            <w:r w:rsidRPr="00055538">
              <w:rPr>
                <w:rFonts w:ascii="Calibri" w:eastAsia="Times New Roman" w:hAnsi="Calibri" w:cs="Times New Roman"/>
                <w:color w:val="000000"/>
                <w:sz w:val="20"/>
                <w:szCs w:val="20"/>
                <w:lang w:eastAsia="tr-TR"/>
              </w:rPr>
              <w:t>10.374</w:t>
            </w:r>
          </w:p>
        </w:tc>
        <w:tc>
          <w:tcPr>
            <w:tcW w:w="1559" w:type="dxa"/>
            <w:vAlign w:val="bottom"/>
          </w:tcPr>
          <w:p w:rsidR="00055538" w:rsidRPr="00055538" w:rsidRDefault="00055538" w:rsidP="00055538">
            <w:pPr>
              <w:spacing w:after="0" w:line="240" w:lineRule="auto"/>
              <w:jc w:val="center"/>
              <w:rPr>
                <w:rFonts w:ascii="Calibri" w:eastAsia="Times New Roman" w:hAnsi="Calibri" w:cs="Times New Roman"/>
                <w:color w:val="000000"/>
                <w:sz w:val="20"/>
                <w:szCs w:val="20"/>
                <w:lang w:eastAsia="tr-TR"/>
              </w:rPr>
            </w:pPr>
            <w:r w:rsidRPr="00055538">
              <w:rPr>
                <w:rFonts w:ascii="Calibri" w:eastAsia="Times New Roman" w:hAnsi="Calibri" w:cs="Times New Roman"/>
                <w:color w:val="000000"/>
                <w:sz w:val="20"/>
                <w:szCs w:val="20"/>
                <w:lang w:eastAsia="tr-TR"/>
              </w:rPr>
              <w:t>11.757</w:t>
            </w:r>
          </w:p>
        </w:tc>
        <w:tc>
          <w:tcPr>
            <w:tcW w:w="1485" w:type="dxa"/>
            <w:shd w:val="clear" w:color="auto" w:fill="auto"/>
            <w:noWrap/>
            <w:vAlign w:val="bottom"/>
            <w:hideMark/>
          </w:tcPr>
          <w:p w:rsidR="00055538" w:rsidRPr="00055538" w:rsidRDefault="00055538" w:rsidP="00055538">
            <w:pPr>
              <w:spacing w:after="0" w:line="240" w:lineRule="auto"/>
              <w:jc w:val="center"/>
              <w:rPr>
                <w:rFonts w:ascii="Calibri" w:eastAsia="Times New Roman" w:hAnsi="Calibri" w:cs="Times New Roman"/>
                <w:color w:val="000000"/>
                <w:sz w:val="20"/>
                <w:szCs w:val="20"/>
                <w:lang w:eastAsia="tr-TR"/>
              </w:rPr>
            </w:pPr>
            <w:r w:rsidRPr="00055538">
              <w:rPr>
                <w:rFonts w:ascii="Calibri" w:eastAsia="Times New Roman" w:hAnsi="Calibri" w:cs="Times New Roman"/>
                <w:color w:val="000000"/>
                <w:sz w:val="20"/>
                <w:szCs w:val="20"/>
                <w:lang w:eastAsia="tr-TR"/>
              </w:rPr>
              <w:t>13.832</w:t>
            </w:r>
          </w:p>
        </w:tc>
      </w:tr>
      <w:tr w:rsidR="00055538" w:rsidRPr="00055538" w:rsidTr="00055538">
        <w:trPr>
          <w:trHeight w:val="300"/>
        </w:trPr>
        <w:tc>
          <w:tcPr>
            <w:tcW w:w="4890" w:type="dxa"/>
            <w:shd w:val="clear" w:color="auto" w:fill="auto"/>
            <w:noWrap/>
            <w:hideMark/>
          </w:tcPr>
          <w:p w:rsidR="00055538" w:rsidRPr="00055538" w:rsidRDefault="00055538" w:rsidP="00055538">
            <w:pPr>
              <w:spacing w:after="0" w:line="240" w:lineRule="auto"/>
              <w:rPr>
                <w:rFonts w:ascii="Tahoma" w:eastAsia="Times New Roman" w:hAnsi="Tahoma" w:cs="Tahoma"/>
                <w:bCs/>
                <w:color w:val="000000"/>
                <w:sz w:val="20"/>
                <w:szCs w:val="20"/>
                <w:lang w:eastAsia="tr-TR"/>
              </w:rPr>
            </w:pPr>
            <w:r w:rsidRPr="00055538">
              <w:rPr>
                <w:rFonts w:ascii="Tahoma" w:eastAsia="Times New Roman" w:hAnsi="Tahoma" w:cs="Tahoma"/>
                <w:bCs/>
                <w:color w:val="000000"/>
                <w:sz w:val="20"/>
                <w:szCs w:val="20"/>
                <w:lang w:eastAsia="tr-TR"/>
              </w:rPr>
              <w:t>AYTEMİZ AKARYAKIT DAĞITIM ANONİM ŞİRKETİ</w:t>
            </w:r>
          </w:p>
        </w:tc>
        <w:tc>
          <w:tcPr>
            <w:tcW w:w="1276" w:type="dxa"/>
            <w:vAlign w:val="bottom"/>
          </w:tcPr>
          <w:p w:rsidR="00055538" w:rsidRPr="00055538" w:rsidRDefault="00055538" w:rsidP="00055538">
            <w:pPr>
              <w:spacing w:after="0" w:line="240" w:lineRule="auto"/>
              <w:jc w:val="center"/>
              <w:rPr>
                <w:rFonts w:ascii="Calibri" w:eastAsia="Times New Roman" w:hAnsi="Calibri" w:cs="Times New Roman"/>
                <w:color w:val="000000"/>
                <w:sz w:val="20"/>
                <w:szCs w:val="20"/>
                <w:lang w:eastAsia="tr-TR"/>
              </w:rPr>
            </w:pPr>
            <w:r w:rsidRPr="00055538">
              <w:rPr>
                <w:rFonts w:ascii="Calibri" w:eastAsia="Times New Roman" w:hAnsi="Calibri" w:cs="Times New Roman"/>
                <w:color w:val="000000"/>
                <w:sz w:val="20"/>
                <w:szCs w:val="20"/>
                <w:lang w:eastAsia="tr-TR"/>
              </w:rPr>
              <w:t>7.693</w:t>
            </w:r>
          </w:p>
        </w:tc>
        <w:tc>
          <w:tcPr>
            <w:tcW w:w="1559" w:type="dxa"/>
            <w:vAlign w:val="bottom"/>
          </w:tcPr>
          <w:p w:rsidR="00055538" w:rsidRPr="00055538" w:rsidRDefault="00055538" w:rsidP="00055538">
            <w:pPr>
              <w:spacing w:after="0" w:line="240" w:lineRule="auto"/>
              <w:jc w:val="center"/>
              <w:rPr>
                <w:rFonts w:ascii="Calibri" w:eastAsia="Times New Roman" w:hAnsi="Calibri" w:cs="Times New Roman"/>
                <w:color w:val="000000"/>
                <w:sz w:val="20"/>
                <w:szCs w:val="20"/>
                <w:lang w:eastAsia="tr-TR"/>
              </w:rPr>
            </w:pPr>
            <w:r w:rsidRPr="00055538">
              <w:rPr>
                <w:rFonts w:ascii="Calibri" w:eastAsia="Times New Roman" w:hAnsi="Calibri" w:cs="Times New Roman"/>
                <w:color w:val="000000"/>
                <w:sz w:val="20"/>
                <w:szCs w:val="20"/>
                <w:lang w:eastAsia="tr-TR"/>
              </w:rPr>
              <w:t>8.718</w:t>
            </w:r>
          </w:p>
        </w:tc>
        <w:tc>
          <w:tcPr>
            <w:tcW w:w="1485" w:type="dxa"/>
            <w:shd w:val="clear" w:color="auto" w:fill="auto"/>
            <w:noWrap/>
            <w:vAlign w:val="bottom"/>
            <w:hideMark/>
          </w:tcPr>
          <w:p w:rsidR="00055538" w:rsidRPr="00055538" w:rsidRDefault="00055538" w:rsidP="00055538">
            <w:pPr>
              <w:spacing w:after="0" w:line="240" w:lineRule="auto"/>
              <w:jc w:val="center"/>
              <w:rPr>
                <w:rFonts w:ascii="Calibri" w:eastAsia="Times New Roman" w:hAnsi="Calibri" w:cs="Times New Roman"/>
                <w:color w:val="000000"/>
                <w:sz w:val="20"/>
                <w:szCs w:val="20"/>
                <w:lang w:eastAsia="tr-TR"/>
              </w:rPr>
            </w:pPr>
            <w:r w:rsidRPr="00055538">
              <w:rPr>
                <w:rFonts w:ascii="Calibri" w:eastAsia="Times New Roman" w:hAnsi="Calibri" w:cs="Times New Roman"/>
                <w:color w:val="000000"/>
                <w:sz w:val="20"/>
                <w:szCs w:val="20"/>
                <w:lang w:eastAsia="tr-TR"/>
              </w:rPr>
              <w:t>10.257</w:t>
            </w:r>
          </w:p>
        </w:tc>
      </w:tr>
      <w:tr w:rsidR="00055538" w:rsidRPr="00055538" w:rsidTr="00055538">
        <w:trPr>
          <w:trHeight w:val="300"/>
        </w:trPr>
        <w:tc>
          <w:tcPr>
            <w:tcW w:w="4890" w:type="dxa"/>
            <w:shd w:val="clear" w:color="auto" w:fill="auto"/>
            <w:noWrap/>
            <w:hideMark/>
          </w:tcPr>
          <w:p w:rsidR="00055538" w:rsidRPr="00055538" w:rsidRDefault="00055538" w:rsidP="00055538">
            <w:pPr>
              <w:spacing w:after="0" w:line="240" w:lineRule="auto"/>
              <w:rPr>
                <w:rFonts w:ascii="Tahoma" w:eastAsia="Times New Roman" w:hAnsi="Tahoma" w:cs="Tahoma"/>
                <w:bCs/>
                <w:color w:val="000000"/>
                <w:sz w:val="20"/>
                <w:szCs w:val="20"/>
                <w:lang w:eastAsia="tr-TR"/>
              </w:rPr>
            </w:pPr>
            <w:r w:rsidRPr="00055538">
              <w:rPr>
                <w:rFonts w:ascii="Tahoma" w:eastAsia="Times New Roman" w:hAnsi="Tahoma" w:cs="Tahoma"/>
                <w:bCs/>
                <w:color w:val="000000"/>
                <w:sz w:val="20"/>
                <w:szCs w:val="20"/>
                <w:lang w:eastAsia="tr-TR"/>
              </w:rPr>
              <w:t>TOTAL OIL TÜRKİYE ANONİM ŞİRKETİ</w:t>
            </w:r>
          </w:p>
        </w:tc>
        <w:tc>
          <w:tcPr>
            <w:tcW w:w="1276" w:type="dxa"/>
            <w:vAlign w:val="bottom"/>
          </w:tcPr>
          <w:p w:rsidR="00055538" w:rsidRPr="00055538" w:rsidRDefault="00055538" w:rsidP="00055538">
            <w:pPr>
              <w:spacing w:after="0" w:line="240" w:lineRule="auto"/>
              <w:jc w:val="center"/>
              <w:rPr>
                <w:rFonts w:ascii="Calibri" w:eastAsia="Times New Roman" w:hAnsi="Calibri" w:cs="Times New Roman"/>
                <w:color w:val="000000"/>
                <w:sz w:val="20"/>
                <w:szCs w:val="20"/>
                <w:lang w:eastAsia="tr-TR"/>
              </w:rPr>
            </w:pPr>
            <w:r w:rsidRPr="00055538">
              <w:rPr>
                <w:rFonts w:ascii="Calibri" w:eastAsia="Times New Roman" w:hAnsi="Calibri" w:cs="Times New Roman"/>
                <w:color w:val="000000"/>
                <w:sz w:val="20"/>
                <w:szCs w:val="20"/>
                <w:lang w:eastAsia="tr-TR"/>
              </w:rPr>
              <w:t>5.328</w:t>
            </w:r>
          </w:p>
        </w:tc>
        <w:tc>
          <w:tcPr>
            <w:tcW w:w="1559" w:type="dxa"/>
            <w:vAlign w:val="bottom"/>
          </w:tcPr>
          <w:p w:rsidR="00055538" w:rsidRPr="00055538" w:rsidRDefault="00055538" w:rsidP="00055538">
            <w:pPr>
              <w:spacing w:after="0" w:line="240" w:lineRule="auto"/>
              <w:jc w:val="center"/>
              <w:rPr>
                <w:rFonts w:ascii="Calibri" w:eastAsia="Times New Roman" w:hAnsi="Calibri" w:cs="Times New Roman"/>
                <w:color w:val="000000"/>
                <w:sz w:val="20"/>
                <w:szCs w:val="20"/>
                <w:lang w:eastAsia="tr-TR"/>
              </w:rPr>
            </w:pPr>
            <w:r w:rsidRPr="00055538">
              <w:rPr>
                <w:rFonts w:ascii="Calibri" w:eastAsia="Times New Roman" w:hAnsi="Calibri" w:cs="Times New Roman"/>
                <w:color w:val="000000"/>
                <w:sz w:val="20"/>
                <w:szCs w:val="20"/>
                <w:lang w:eastAsia="tr-TR"/>
              </w:rPr>
              <w:t>6.038</w:t>
            </w:r>
          </w:p>
        </w:tc>
        <w:tc>
          <w:tcPr>
            <w:tcW w:w="1485" w:type="dxa"/>
            <w:shd w:val="clear" w:color="auto" w:fill="auto"/>
            <w:noWrap/>
            <w:vAlign w:val="bottom"/>
            <w:hideMark/>
          </w:tcPr>
          <w:p w:rsidR="00055538" w:rsidRPr="00055538" w:rsidRDefault="00055538" w:rsidP="00055538">
            <w:pPr>
              <w:spacing w:after="0" w:line="240" w:lineRule="auto"/>
              <w:jc w:val="center"/>
              <w:rPr>
                <w:rFonts w:ascii="Calibri" w:eastAsia="Times New Roman" w:hAnsi="Calibri" w:cs="Times New Roman"/>
                <w:color w:val="000000"/>
                <w:sz w:val="20"/>
                <w:szCs w:val="20"/>
                <w:lang w:eastAsia="tr-TR"/>
              </w:rPr>
            </w:pPr>
            <w:r w:rsidRPr="00055538">
              <w:rPr>
                <w:rFonts w:ascii="Calibri" w:eastAsia="Times New Roman" w:hAnsi="Calibri" w:cs="Times New Roman"/>
                <w:color w:val="000000"/>
                <w:sz w:val="20"/>
                <w:szCs w:val="20"/>
                <w:lang w:eastAsia="tr-TR"/>
              </w:rPr>
              <w:t>7.104</w:t>
            </w:r>
          </w:p>
        </w:tc>
      </w:tr>
      <w:tr w:rsidR="00055538" w:rsidRPr="00055538" w:rsidTr="00055538">
        <w:trPr>
          <w:trHeight w:val="300"/>
        </w:trPr>
        <w:tc>
          <w:tcPr>
            <w:tcW w:w="4890" w:type="dxa"/>
            <w:shd w:val="clear" w:color="auto" w:fill="auto"/>
            <w:noWrap/>
            <w:hideMark/>
          </w:tcPr>
          <w:p w:rsidR="00055538" w:rsidRPr="00055538" w:rsidRDefault="00055538" w:rsidP="00055538">
            <w:pPr>
              <w:spacing w:after="0" w:line="240" w:lineRule="auto"/>
              <w:rPr>
                <w:rFonts w:ascii="Tahoma" w:eastAsia="Times New Roman" w:hAnsi="Tahoma" w:cs="Tahoma"/>
                <w:bCs/>
                <w:color w:val="000000"/>
                <w:sz w:val="20"/>
                <w:szCs w:val="20"/>
                <w:lang w:eastAsia="tr-TR"/>
              </w:rPr>
            </w:pPr>
            <w:r w:rsidRPr="00055538">
              <w:rPr>
                <w:rFonts w:ascii="Tahoma" w:eastAsia="Times New Roman" w:hAnsi="Tahoma" w:cs="Tahoma"/>
                <w:bCs/>
                <w:color w:val="000000"/>
                <w:sz w:val="20"/>
                <w:szCs w:val="20"/>
                <w:lang w:eastAsia="tr-TR"/>
              </w:rPr>
              <w:t>AKPET GAZ ANONİM ŞİRKETİ</w:t>
            </w:r>
          </w:p>
        </w:tc>
        <w:tc>
          <w:tcPr>
            <w:tcW w:w="1276" w:type="dxa"/>
            <w:vAlign w:val="bottom"/>
          </w:tcPr>
          <w:p w:rsidR="00055538" w:rsidRPr="00055538" w:rsidRDefault="00055538" w:rsidP="00055538">
            <w:pPr>
              <w:spacing w:after="0" w:line="240" w:lineRule="auto"/>
              <w:jc w:val="center"/>
              <w:rPr>
                <w:rFonts w:ascii="Calibri" w:eastAsia="Times New Roman" w:hAnsi="Calibri" w:cs="Times New Roman"/>
                <w:color w:val="000000"/>
                <w:sz w:val="20"/>
                <w:szCs w:val="20"/>
                <w:lang w:eastAsia="tr-TR"/>
              </w:rPr>
            </w:pPr>
            <w:r w:rsidRPr="00055538">
              <w:rPr>
                <w:rFonts w:ascii="Calibri" w:eastAsia="Times New Roman" w:hAnsi="Calibri" w:cs="Times New Roman"/>
                <w:color w:val="000000"/>
                <w:sz w:val="20"/>
                <w:szCs w:val="20"/>
                <w:lang w:eastAsia="tr-TR"/>
              </w:rPr>
              <w:t>4.198</w:t>
            </w:r>
          </w:p>
        </w:tc>
        <w:tc>
          <w:tcPr>
            <w:tcW w:w="1559" w:type="dxa"/>
            <w:vAlign w:val="bottom"/>
          </w:tcPr>
          <w:p w:rsidR="00055538" w:rsidRPr="00055538" w:rsidRDefault="00055538" w:rsidP="00055538">
            <w:pPr>
              <w:spacing w:after="0" w:line="240" w:lineRule="auto"/>
              <w:jc w:val="center"/>
              <w:rPr>
                <w:rFonts w:ascii="Calibri" w:eastAsia="Times New Roman" w:hAnsi="Calibri" w:cs="Times New Roman"/>
                <w:color w:val="000000"/>
                <w:sz w:val="20"/>
                <w:szCs w:val="20"/>
                <w:lang w:eastAsia="tr-TR"/>
              </w:rPr>
            </w:pPr>
            <w:r w:rsidRPr="00055538">
              <w:rPr>
                <w:rFonts w:ascii="Calibri" w:eastAsia="Times New Roman" w:hAnsi="Calibri" w:cs="Times New Roman"/>
                <w:color w:val="000000"/>
                <w:sz w:val="20"/>
                <w:szCs w:val="20"/>
                <w:lang w:eastAsia="tr-TR"/>
              </w:rPr>
              <w:t>4.757</w:t>
            </w:r>
          </w:p>
        </w:tc>
        <w:tc>
          <w:tcPr>
            <w:tcW w:w="1485" w:type="dxa"/>
            <w:shd w:val="clear" w:color="auto" w:fill="auto"/>
            <w:noWrap/>
            <w:vAlign w:val="bottom"/>
            <w:hideMark/>
          </w:tcPr>
          <w:p w:rsidR="00055538" w:rsidRPr="00055538" w:rsidRDefault="00055538" w:rsidP="00055538">
            <w:pPr>
              <w:spacing w:after="0" w:line="240" w:lineRule="auto"/>
              <w:jc w:val="center"/>
              <w:rPr>
                <w:rFonts w:ascii="Calibri" w:eastAsia="Times New Roman" w:hAnsi="Calibri" w:cs="Times New Roman"/>
                <w:color w:val="000000"/>
                <w:sz w:val="20"/>
                <w:szCs w:val="20"/>
                <w:lang w:eastAsia="tr-TR"/>
              </w:rPr>
            </w:pPr>
            <w:r w:rsidRPr="00055538">
              <w:rPr>
                <w:rFonts w:ascii="Calibri" w:eastAsia="Times New Roman" w:hAnsi="Calibri" w:cs="Times New Roman"/>
                <w:color w:val="000000"/>
                <w:sz w:val="20"/>
                <w:szCs w:val="20"/>
                <w:lang w:eastAsia="tr-TR"/>
              </w:rPr>
              <w:t>5.597</w:t>
            </w:r>
          </w:p>
        </w:tc>
      </w:tr>
    </w:tbl>
    <w:p w:rsidR="00641ECF" w:rsidRDefault="00641ECF" w:rsidP="00326835"/>
    <w:sectPr w:rsidR="00641ECF" w:rsidSect="008957F5">
      <w:footerReference w:type="default" r:id="rId9"/>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33F5" w:rsidRDefault="009233F5" w:rsidP="005879BC">
      <w:pPr>
        <w:spacing w:after="0" w:line="240" w:lineRule="auto"/>
      </w:pPr>
      <w:r>
        <w:separator/>
      </w:r>
    </w:p>
  </w:endnote>
  <w:endnote w:type="continuationSeparator" w:id="0">
    <w:p w:rsidR="009233F5" w:rsidRDefault="009233F5" w:rsidP="005879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5176511"/>
      <w:docPartObj>
        <w:docPartGallery w:val="Page Numbers (Bottom of Page)"/>
        <w:docPartUnique/>
      </w:docPartObj>
    </w:sdtPr>
    <w:sdtEndPr/>
    <w:sdtContent>
      <w:p w:rsidR="005879BC" w:rsidRDefault="00FE5DCF">
        <w:pPr>
          <w:pStyle w:val="Altbilgi"/>
          <w:jc w:val="center"/>
        </w:pPr>
        <w:r>
          <w:fldChar w:fldCharType="begin"/>
        </w:r>
        <w:r w:rsidR="005879BC">
          <w:instrText>PAGE   \* MERGEFORMAT</w:instrText>
        </w:r>
        <w:r>
          <w:fldChar w:fldCharType="separate"/>
        </w:r>
        <w:r w:rsidR="002C5EB3">
          <w:rPr>
            <w:noProof/>
          </w:rPr>
          <w:t>1</w:t>
        </w:r>
        <w:r>
          <w:fldChar w:fldCharType="end"/>
        </w:r>
      </w:p>
    </w:sdtContent>
  </w:sdt>
  <w:p w:rsidR="005879BC" w:rsidRDefault="005879BC">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33F5" w:rsidRDefault="009233F5" w:rsidP="005879BC">
      <w:pPr>
        <w:spacing w:after="0" w:line="240" w:lineRule="auto"/>
      </w:pPr>
      <w:r>
        <w:separator/>
      </w:r>
    </w:p>
  </w:footnote>
  <w:footnote w:type="continuationSeparator" w:id="0">
    <w:p w:rsidR="009233F5" w:rsidRDefault="009233F5" w:rsidP="005879B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2A3212F"/>
    <w:multiLevelType w:val="hybridMultilevel"/>
    <w:tmpl w:val="7C10D4D0"/>
    <w:lvl w:ilvl="0" w:tplc="5E0EA102">
      <w:start w:val="27"/>
      <w:numFmt w:val="bullet"/>
      <w:lvlText w:val="-"/>
      <w:lvlJc w:val="left"/>
      <w:pPr>
        <w:ind w:left="720" w:hanging="360"/>
      </w:pPr>
      <w:rPr>
        <w:rFonts w:ascii="Calibri" w:eastAsiaTheme="minorHAnsi" w:hAnsi="Calibri"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03C3"/>
    <w:rsid w:val="00007F30"/>
    <w:rsid w:val="0001361F"/>
    <w:rsid w:val="00015557"/>
    <w:rsid w:val="000226AE"/>
    <w:rsid w:val="00031FC4"/>
    <w:rsid w:val="00055538"/>
    <w:rsid w:val="00074446"/>
    <w:rsid w:val="000F6CC7"/>
    <w:rsid w:val="00130357"/>
    <w:rsid w:val="00142667"/>
    <w:rsid w:val="001C0308"/>
    <w:rsid w:val="00240388"/>
    <w:rsid w:val="00290BD5"/>
    <w:rsid w:val="002C5EB3"/>
    <w:rsid w:val="00307E5A"/>
    <w:rsid w:val="00326835"/>
    <w:rsid w:val="003477C2"/>
    <w:rsid w:val="00360906"/>
    <w:rsid w:val="00446730"/>
    <w:rsid w:val="00497D2C"/>
    <w:rsid w:val="004A63CE"/>
    <w:rsid w:val="00524261"/>
    <w:rsid w:val="00540207"/>
    <w:rsid w:val="005879BC"/>
    <w:rsid w:val="00641ECF"/>
    <w:rsid w:val="006A46E3"/>
    <w:rsid w:val="006B6136"/>
    <w:rsid w:val="006D531A"/>
    <w:rsid w:val="006E27EC"/>
    <w:rsid w:val="0071076A"/>
    <w:rsid w:val="00754730"/>
    <w:rsid w:val="008010DB"/>
    <w:rsid w:val="008060E5"/>
    <w:rsid w:val="00823708"/>
    <w:rsid w:val="008554FC"/>
    <w:rsid w:val="00877ABF"/>
    <w:rsid w:val="008957F5"/>
    <w:rsid w:val="008B6974"/>
    <w:rsid w:val="008E470A"/>
    <w:rsid w:val="009233F5"/>
    <w:rsid w:val="00927CD6"/>
    <w:rsid w:val="009336B5"/>
    <w:rsid w:val="00975779"/>
    <w:rsid w:val="00A37B4D"/>
    <w:rsid w:val="00AB5693"/>
    <w:rsid w:val="00B06C67"/>
    <w:rsid w:val="00BE60B4"/>
    <w:rsid w:val="00C841BC"/>
    <w:rsid w:val="00CD66C4"/>
    <w:rsid w:val="00CF083D"/>
    <w:rsid w:val="00DC0449"/>
    <w:rsid w:val="00E64C72"/>
    <w:rsid w:val="00EA102A"/>
    <w:rsid w:val="00EC0E41"/>
    <w:rsid w:val="00F227F0"/>
    <w:rsid w:val="00F803C3"/>
    <w:rsid w:val="00F87F4E"/>
    <w:rsid w:val="00FE5DCF"/>
    <w:rsid w:val="00FF5558"/>
  </w:rsids>
  <m:mathPr>
    <m:mathFont m:val="Cambria Math"/>
    <m:brkBin m:val="before"/>
    <m:brkBinSub m:val="--"/>
    <m:smallFrac/>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5DCF"/>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879BC"/>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5879BC"/>
  </w:style>
  <w:style w:type="paragraph" w:styleId="Altbilgi">
    <w:name w:val="footer"/>
    <w:basedOn w:val="Normal"/>
    <w:link w:val="AltbilgiChar"/>
    <w:uiPriority w:val="99"/>
    <w:unhideWhenUsed/>
    <w:rsid w:val="005879BC"/>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5879BC"/>
  </w:style>
  <w:style w:type="character" w:styleId="Vurgu">
    <w:name w:val="Emphasis"/>
    <w:basedOn w:val="VarsaylanParagrafYazTipi"/>
    <w:uiPriority w:val="20"/>
    <w:qFormat/>
    <w:rsid w:val="008957F5"/>
    <w:rPr>
      <w:i/>
      <w:iCs/>
    </w:rPr>
  </w:style>
  <w:style w:type="paragraph" w:styleId="NormalWeb">
    <w:name w:val="Normal (Web)"/>
    <w:basedOn w:val="Normal"/>
    <w:uiPriority w:val="99"/>
    <w:semiHidden/>
    <w:unhideWhenUsed/>
    <w:rsid w:val="00DC0449"/>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ListeParagraf">
    <w:name w:val="List Paragraph"/>
    <w:basedOn w:val="Normal"/>
    <w:uiPriority w:val="34"/>
    <w:qFormat/>
    <w:rsid w:val="00FF555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5DCF"/>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5879BC"/>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5879BC"/>
  </w:style>
  <w:style w:type="paragraph" w:styleId="Altbilgi">
    <w:name w:val="footer"/>
    <w:basedOn w:val="Normal"/>
    <w:link w:val="AltbilgiChar"/>
    <w:uiPriority w:val="99"/>
    <w:unhideWhenUsed/>
    <w:rsid w:val="005879BC"/>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5879BC"/>
  </w:style>
  <w:style w:type="character" w:styleId="Vurgu">
    <w:name w:val="Emphasis"/>
    <w:basedOn w:val="VarsaylanParagrafYazTipi"/>
    <w:uiPriority w:val="20"/>
    <w:qFormat/>
    <w:rsid w:val="008957F5"/>
    <w:rPr>
      <w:i/>
      <w:iCs/>
    </w:rPr>
  </w:style>
  <w:style w:type="paragraph" w:styleId="NormalWeb">
    <w:name w:val="Normal (Web)"/>
    <w:basedOn w:val="Normal"/>
    <w:uiPriority w:val="99"/>
    <w:semiHidden/>
    <w:unhideWhenUsed/>
    <w:rsid w:val="00DC0449"/>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ListeParagraf">
    <w:name w:val="List Paragraph"/>
    <w:basedOn w:val="Normal"/>
    <w:uiPriority w:val="34"/>
    <w:qFormat/>
    <w:rsid w:val="00FF55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3099300">
      <w:bodyDiv w:val="1"/>
      <w:marLeft w:val="0"/>
      <w:marRight w:val="0"/>
      <w:marTop w:val="0"/>
      <w:marBottom w:val="0"/>
      <w:divBdr>
        <w:top w:val="none" w:sz="0" w:space="0" w:color="auto"/>
        <w:left w:val="none" w:sz="0" w:space="0" w:color="auto"/>
        <w:bottom w:val="none" w:sz="0" w:space="0" w:color="auto"/>
        <w:right w:val="none" w:sz="0" w:space="0" w:color="auto"/>
      </w:divBdr>
    </w:div>
    <w:div w:id="789589012">
      <w:bodyDiv w:val="1"/>
      <w:marLeft w:val="0"/>
      <w:marRight w:val="0"/>
      <w:marTop w:val="0"/>
      <w:marBottom w:val="0"/>
      <w:divBdr>
        <w:top w:val="none" w:sz="0" w:space="0" w:color="auto"/>
        <w:left w:val="none" w:sz="0" w:space="0" w:color="auto"/>
        <w:bottom w:val="none" w:sz="0" w:space="0" w:color="auto"/>
        <w:right w:val="none" w:sz="0" w:space="0" w:color="auto"/>
      </w:divBdr>
    </w:div>
    <w:div w:id="810829335">
      <w:bodyDiv w:val="1"/>
      <w:marLeft w:val="0"/>
      <w:marRight w:val="0"/>
      <w:marTop w:val="0"/>
      <w:marBottom w:val="0"/>
      <w:divBdr>
        <w:top w:val="none" w:sz="0" w:space="0" w:color="auto"/>
        <w:left w:val="none" w:sz="0" w:space="0" w:color="auto"/>
        <w:bottom w:val="none" w:sz="0" w:space="0" w:color="auto"/>
        <w:right w:val="none" w:sz="0" w:space="0" w:color="auto"/>
      </w:divBdr>
    </w:div>
    <w:div w:id="1150252698">
      <w:bodyDiv w:val="1"/>
      <w:marLeft w:val="0"/>
      <w:marRight w:val="0"/>
      <w:marTop w:val="0"/>
      <w:marBottom w:val="0"/>
      <w:divBdr>
        <w:top w:val="none" w:sz="0" w:space="0" w:color="auto"/>
        <w:left w:val="none" w:sz="0" w:space="0" w:color="auto"/>
        <w:bottom w:val="none" w:sz="0" w:space="0" w:color="auto"/>
        <w:right w:val="none" w:sz="0" w:space="0" w:color="auto"/>
      </w:divBdr>
    </w:div>
    <w:div w:id="1162892755">
      <w:bodyDiv w:val="1"/>
      <w:marLeft w:val="0"/>
      <w:marRight w:val="0"/>
      <w:marTop w:val="0"/>
      <w:marBottom w:val="0"/>
      <w:divBdr>
        <w:top w:val="none" w:sz="0" w:space="0" w:color="auto"/>
        <w:left w:val="none" w:sz="0" w:space="0" w:color="auto"/>
        <w:bottom w:val="none" w:sz="0" w:space="0" w:color="auto"/>
        <w:right w:val="none" w:sz="0" w:space="0" w:color="auto"/>
      </w:divBdr>
    </w:div>
    <w:div w:id="1738279112">
      <w:bodyDiv w:val="1"/>
      <w:marLeft w:val="0"/>
      <w:marRight w:val="0"/>
      <w:marTop w:val="0"/>
      <w:marBottom w:val="0"/>
      <w:divBdr>
        <w:top w:val="none" w:sz="0" w:space="0" w:color="auto"/>
        <w:left w:val="none" w:sz="0" w:space="0" w:color="auto"/>
        <w:bottom w:val="none" w:sz="0" w:space="0" w:color="auto"/>
        <w:right w:val="none" w:sz="0" w:space="0" w:color="auto"/>
      </w:divBdr>
      <w:divsChild>
        <w:div w:id="1326278542">
          <w:marLeft w:val="0"/>
          <w:marRight w:val="0"/>
          <w:marTop w:val="0"/>
          <w:marBottom w:val="0"/>
          <w:divBdr>
            <w:top w:val="none" w:sz="0" w:space="0" w:color="auto"/>
            <w:left w:val="none" w:sz="0" w:space="0" w:color="auto"/>
            <w:bottom w:val="none" w:sz="0" w:space="0" w:color="auto"/>
            <w:right w:val="none" w:sz="0" w:space="0" w:color="auto"/>
          </w:divBdr>
        </w:div>
      </w:divsChild>
    </w:div>
    <w:div w:id="1962760368">
      <w:bodyDiv w:val="1"/>
      <w:marLeft w:val="0"/>
      <w:marRight w:val="0"/>
      <w:marTop w:val="0"/>
      <w:marBottom w:val="0"/>
      <w:divBdr>
        <w:top w:val="none" w:sz="0" w:space="0" w:color="auto"/>
        <w:left w:val="none" w:sz="0" w:space="0" w:color="auto"/>
        <w:bottom w:val="none" w:sz="0" w:space="0" w:color="auto"/>
        <w:right w:val="none" w:sz="0" w:space="0" w:color="auto"/>
      </w:divBdr>
    </w:div>
    <w:div w:id="2060082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421272-259F-4D13-ACD8-CD1B9A31D3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441</Words>
  <Characters>2519</Characters>
  <Application>Microsoft Office Word</Application>
  <DocSecurity>0</DocSecurity>
  <Lines>20</Lines>
  <Paragraphs>5</Paragraphs>
  <ScaleCrop>false</ScaleCrop>
  <HeadingPairs>
    <vt:vector size="2" baseType="variant">
      <vt:variant>
        <vt:lpstr>Konu Başlığı</vt:lpstr>
      </vt:variant>
      <vt:variant>
        <vt:i4>1</vt:i4>
      </vt:variant>
    </vt:vector>
  </HeadingPairs>
  <TitlesOfParts>
    <vt:vector size="1" baseType="lpstr">
      <vt:lpstr/>
    </vt:vector>
  </TitlesOfParts>
  <Company>EPDK</Company>
  <LinksUpToDate>false</LinksUpToDate>
  <CharactersWithSpaces>2955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Muhammed DEMİR</dc:creator>
  <cp:lastModifiedBy>Güzide KÖKTÜRK</cp:lastModifiedBy>
  <cp:revision>2</cp:revision>
  <dcterms:created xsi:type="dcterms:W3CDTF">2019-03-21T11:05:00Z</dcterms:created>
  <dcterms:modified xsi:type="dcterms:W3CDTF">2019-03-21T11:05:00Z</dcterms:modified>
</cp:coreProperties>
</file>